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5F8B"/>
          <w:sz w:val="22"/>
          <w:szCs w:val="22"/>
        </w:rPr>
        <w:t xml:space="preserve">DESIGN &amp; RECHERCHE UTILISATEUR</w:t>
      </w:r>
    </w:p>
    <w:p>
      <w:pPr>
        <w:spacing w:after="0" w:before="120"/>
        <w:jc w:val="center"/>
      </w:pPr>
      <w:r>
        <w:rPr>
          <w:b/>
          <w:bCs/>
          <w:color w:val="1B2733"/>
          <w:sz w:val="56"/>
          <w:szCs w:val="56"/>
        </w:rPr>
        <w:t xml:space="preserve">Protocole de tests utilisateurs</w:t>
      </w:r>
    </w:p>
    <w:p>
      <w:pPr>
        <w:spacing w:after="0" w:before="80"/>
        <w:jc w:val="center"/>
      </w:pPr>
      <w:r>
        <w:rPr>
          <w:b/>
          <w:bCs/>
          <w:color w:val="1F5F8B"/>
          <w:sz w:val="40"/>
          <w:szCs w:val="40"/>
        </w:rPr>
        <w:t xml:space="preserve">CapClair</w:t>
      </w:r>
    </w:p>
    <w:p>
      <w:pPr>
        <w:spacing w:after="0" w:before="200"/>
        <w:jc w:val="center"/>
      </w:pPr>
      <w:r>
        <w:rPr>
          <w:i/>
          <w:iCs/>
          <w:color w:val="5A6472"/>
          <w:sz w:val="24"/>
          <w:szCs w:val="24"/>
        </w:rPr>
        <w:t xml:space="preserve">Test d'utilisabilité modéré sur prototype haute fidélité</w:t>
      </w:r>
    </w:p>
    <w:p>
      <w:pPr>
        <w:spacing w:after="0" w:before="60"/>
        <w:jc w:val="center"/>
      </w:pPr>
      <w:r>
        <w:rPr>
          <w:color w:val="5A6472"/>
          <w:sz w:val="20"/>
          <w:szCs w:val="20"/>
        </w:rPr>
        <w:t xml:space="preserve">Version 1.0 — juillet 2026</w:t>
      </w:r>
    </w:p>
    <w:p>
      <w:r>
        <w:br w:type="page"/>
      </w:r>
    </w:p>
    <w:p>
      <w:pPr>
        <w:pStyle w:val="Heading1"/>
        <w:spacing w:after="140"/>
      </w:pPr>
      <w:r>
        <w:rPr>
          <w:color w:val="1F5F8B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color w:val="1F5F8B"/>
        </w:rPr>
        <w:t xml:space="preserve">1. Contexte et objectifs</w:t>
      </w:r>
    </w:p>
    <w:p>
      <w:pPr>
        <w:spacing w:after="120" w:line="276"/>
      </w:pPr>
      <w:r>
        <w:t xml:space="preserve">CapClair aide un particulier à comprendre un courrier administratif (CAF, CPAM, France Travail) : explication en français simple, liste d'actions, checklist de justificatifs, échéances, brouillon de réponse et rappels. Le produit repose sur un principe de confiance : l'IA propose, le serveur décide, l'utilisateur a le dernier mot — avec des extraits sources vérifiables et un affichage prudent des informations à faible confiance.</w:t>
      </w:r>
    </w:p>
    <w:p>
      <w:pPr>
        <w:spacing w:after="120" w:line="276"/>
      </w:pPr>
      <w:r>
        <w:t xml:space="preserve">Ce test vérifie l'hypothèse centrale du produit — une personne peu à l'aise avec l'administration et le numérique comprend-elle son courrier et sait-elle quoi faire grâce à CapClair ? — et fournit de quoi trancher trois décisions de conception volontairement laissées ouvertes 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D9 — le dossier a six statuts. Sont-ils compris, ou faut-il réduire à quatre 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D10 — le niveau de confiance n'est affiché qu'à trois niveaux, seul le niveau faible étant mis en avant (« À vérifier »). Ce signal est-il vu et compris 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I-8 — le brouillon de réponse est le point le plus sensible. Le message « CapClair n'envoie aucun courrier » rassure-t-il ou inquiète-t-il ?</w:t>
      </w:r>
    </w:p>
    <w:p>
      <w:pPr>
        <w:pStyle w:val="Heading2"/>
        <w:spacing w:after="100" w:before="220"/>
      </w:pPr>
      <w:r>
        <w:rPr>
          <w:color w:val="1B2733"/>
        </w:rPr>
        <w:t xml:space="preserve">Objectifs spécifiques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Mesurer le succès et la fluidité sur les tâches clés (importer, analyser, comprendre l'action et l'échéance, préparer les justificatifs, consulter le brouillon).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Vérifier la compréhension des statuts de dossier (D9).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Vérifier la perception du niveau de confiance et du signal « À vérifier » (D10).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Observer la réaction au brouillon et au message de non-envoi (I-8).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Évaluer si les utilisateurs font confiance à raison (consultation des extraits sources).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Identifier les points de friction de vocabulaire, de navigation et de mise en page.</w:t>
      </w:r>
    </w:p>
    <w:p>
      <w:pPr>
        <w:pStyle w:val="Heading1"/>
        <w:spacing w:after="140" w:before="320"/>
      </w:pPr>
      <w:r>
        <w:rPr>
          <w:color w:val="1F5F8B"/>
        </w:rPr>
        <w:t xml:space="preserve">2. Hypothèses à tester</w:t>
      </w:r>
    </w:p>
    <w:p>
      <w:pPr>
        <w:spacing w:after="120" w:line="276"/>
      </w:pPr>
      <w:r>
        <w:t xml:space="preserve">Chaque hypothèse est formulée de façon falsifiable, avec un critère d'invalidation explicite.</w:t>
      </w:r>
    </w:p>
    <w:tbl>
      <w:tblPr>
        <w:tblW w:type="dxa" w:w="8480"/>
        <w:tblBorders>
          <w:top w:val="single" w:color="D4DAE0" w:sz="4"/>
          <w:left w:val="single" w:color="D4DAE0" w:sz="4"/>
          <w:bottom w:val="single" w:color="D4DAE0" w:sz="4"/>
          <w:right w:val="single" w:color="D4DAE0" w:sz="4"/>
          <w:insideH w:val="single" w:color="D4DAE0" w:sz="4"/>
          <w:insideV w:val="single" w:color="D4DAE0" w:sz="4"/>
        </w:tblBorders>
      </w:tblPr>
      <w:tblGrid>
        <w:gridCol w:w="520"/>
        <w:gridCol w:w="3200"/>
        <w:gridCol w:w="3400"/>
        <w:gridCol w:w="1360"/>
      </w:tblGrid>
      <w:tr>
        <w:trPr>
          <w:tblHeader/>
        </w:trPr>
        <w:tc>
          <w:tcPr>
            <w:tcW w:type="dxa" w:w="520"/>
            <w:shd w:fill="1F5F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1F5F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Hypothèse</w:t>
            </w:r>
          </w:p>
        </w:tc>
        <w:tc>
          <w:tcPr>
            <w:tcW w:type="dxa" w:w="3400"/>
            <w:shd w:fill="1F5F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 d'invalidation</w:t>
            </w:r>
          </w:p>
        </w:tc>
        <w:tc>
          <w:tcPr>
            <w:tcW w:type="dxa" w:w="1360"/>
            <w:shd w:fill="1F5F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Décision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H1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L'utilisateur identifie l'action principale et l'échéance après analyse.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&lt; 4/5 y parviennent sans aide.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Périmètre MVP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H2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Les six statuts de dossier sont interprétés correctement.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&lt; 4/5 les classent, ou confusion récurrente.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D9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H3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Le signal « À vérifier » est remarqué et compris.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&lt; 3/5 le remarquent, ou mécompréhension.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D10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H4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Le message « n'envoie aucun courrier » rassure.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≥ 2/5 confus ou inquiets.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I-8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H5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Un courrier informatif est compris comme sans action (CPAM-05).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≥ 2/5 cherchent une action inexistante.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US-3.5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H6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L'utilisateur consulte un extrait source pour vérifier.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0/5 ne le consulte jamais.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Vérifiabilité</w:t>
            </w:r>
          </w:p>
        </w:tc>
      </w:tr>
    </w:tbl>
    <w:p>
      <w:pPr>
        <w:pStyle w:val="Heading1"/>
        <w:spacing w:after="140" w:before="320"/>
      </w:pPr>
      <w:r>
        <w:rPr>
          <w:color w:val="1F5F8B"/>
        </w:rPr>
        <w:t xml:space="preserve">3. Méthode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Type : test d'utilisabilité modéré, méthode du think-aloud (le participant pense à voix haute).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Support : prototype haute fidélité Figma cliquable (10 écrans), alimenté par le corpus de 15 courriers fictifs. Aucune donnée réelle.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Format : présentiel de préférence, ou visioconférence avec partage d'écran. Le participant manipule ; l'animateur ne guide pas.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Durée : environ 45 minutes par session.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Rôles : un animateur (pose les tâches, relance sans souffler) et un observateur (grille, chronomètre, verbatims).</w:t>
      </w:r>
    </w:p>
    <w:p>
      <w:pPr>
        <w:spacing w:after="120" w:line="276"/>
      </w:pPr>
      <w:r>
        <w:rPr>
          <w:i/>
          <w:iCs/>
          <w:color w:val="5A6472"/>
        </w:rPr>
        <w:t xml:space="preserve">Règle d'or : ne jamais aider avant 30 secondes de blocage réel, ne jamais dire « cliquez ici », toujours renvoyer la question au participant.</w:t>
      </w:r>
    </w:p>
    <w:p>
      <w:pPr>
        <w:pStyle w:val="Heading1"/>
        <w:spacing w:after="140" w:before="320"/>
      </w:pPr>
      <w:r>
        <w:rPr>
          <w:color w:val="1F5F8B"/>
        </w:rPr>
        <w:t xml:space="preserve">4. Participants</w:t>
      </w:r>
    </w:p>
    <w:p>
      <w:pPr>
        <w:spacing w:after="120" w:line="276"/>
      </w:pPr>
      <w:r>
        <w:t xml:space="preserve">Cinq participants (seuil classique de détection des problèmes majeurs) + un remplaçant, plus une session pilote non comptabilisée. Profils dérivés des personas :</w:t>
      </w:r>
    </w:p>
    <w:tbl>
      <w:tblPr>
        <w:tblW w:type="dxa" w:w="8500"/>
        <w:tblBorders>
          <w:top w:val="single" w:color="D4DAE0" w:sz="4"/>
          <w:left w:val="single" w:color="D4DAE0" w:sz="4"/>
          <w:bottom w:val="single" w:color="D4DAE0" w:sz="4"/>
          <w:right w:val="single" w:color="D4DAE0" w:sz="4"/>
          <w:insideH w:val="single" w:color="D4DAE0" w:sz="4"/>
          <w:insideV w:val="single" w:color="D4DAE0" w:sz="4"/>
        </w:tblBorders>
      </w:tblPr>
      <w:tblGrid>
        <w:gridCol w:w="5600"/>
        <w:gridCol w:w="2200"/>
        <w:gridCol w:w="700"/>
      </w:tblGrid>
      <w:tr>
        <w:trPr>
          <w:tblHeader/>
        </w:trPr>
        <w:tc>
          <w:tcPr>
            <w:tcW w:type="dxa" w:w="5600"/>
            <w:shd w:fill="1F5F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Profil</w:t>
            </w:r>
          </w:p>
        </w:tc>
        <w:tc>
          <w:tcPr>
            <w:tcW w:type="dxa" w:w="2200"/>
            <w:shd w:fill="1F5F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Cible</w:t>
            </w:r>
          </w:p>
        </w:tc>
        <w:tc>
          <w:tcPr>
            <w:tcW w:type="dxa" w:w="700"/>
            <w:shd w:fill="1F5F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Nb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Nadia — faible aisance numérique, reçoit des courriers CAF/CPAM/France Travail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Cœur de cible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Marc — gère plusieurs dossiers en parallèle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Multi-dossiers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Sophie — accompagne un proche (aidant)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Aidant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color w:val="5A6472"/>
        </w:rPr>
        <w:t xml:space="preserve">Défraiement recommandé (~20-30 €). Critères détaillés dans l'annexe A (questionnaire de recrutement).</w:t>
      </w:r>
    </w:p>
    <w:p>
      <w:pPr>
        <w:pStyle w:val="Heading1"/>
        <w:spacing w:after="140" w:before="320"/>
      </w:pPr>
      <w:r>
        <w:rPr>
          <w:color w:val="1F5F8B"/>
        </w:rPr>
        <w:t xml:space="preserve">5. Déroulé d'une session (~45 min)</w:t>
      </w:r>
    </w:p>
    <w:tbl>
      <w:tblPr>
        <w:tblW w:type="dxa" w:w="8500"/>
        <w:tblBorders>
          <w:top w:val="single" w:color="D4DAE0" w:sz="4"/>
          <w:left w:val="single" w:color="D4DAE0" w:sz="4"/>
          <w:bottom w:val="single" w:color="D4DAE0" w:sz="4"/>
          <w:right w:val="single" w:color="D4DAE0" w:sz="4"/>
          <w:insideH w:val="single" w:color="D4DAE0" w:sz="4"/>
          <w:insideV w:val="single" w:color="D4DAE0" w:sz="4"/>
        </w:tblBorders>
      </w:tblPr>
      <w:tblGrid>
        <w:gridCol w:w="1700"/>
        <w:gridCol w:w="1000"/>
        <w:gridCol w:w="5800"/>
      </w:tblGrid>
      <w:tr>
        <w:trPr>
          <w:tblHeader/>
        </w:trPr>
        <w:tc>
          <w:tcPr>
            <w:tcW w:type="dxa" w:w="1700"/>
            <w:shd w:fill="1F5F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1000"/>
            <w:shd w:fill="1F5F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type="dxa" w:w="5800"/>
            <w:shd w:fill="1F5F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1. Accueil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5 min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Mise à l'aise, cadre, signature du consentement.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2. Introduction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3 min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« On teste le logiciel, pas vous. » Rappel : documents fictifs.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3. Contexte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5 min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Questions sur le rapport aux courriers administratifs.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4. Tâches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25 min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6 à 8 scénarios ancrés sur le corpus, en think-aloud.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5. Post-test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5 min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SUS + questions ciblées D9/D10/brouillon.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6. Débrief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 min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Ce qui a le plus aidé / gêné. Remerciements.</w:t>
            </w:r>
          </w:p>
        </w:tc>
      </w:tr>
    </w:tbl>
    <w:p>
      <w:pPr>
        <w:pStyle w:val="Heading1"/>
        <w:spacing w:after="140" w:before="320"/>
      </w:pPr>
      <w:r>
        <w:rPr>
          <w:color w:val="1F5F8B"/>
        </w:rPr>
        <w:t xml:space="preserve">6. Scénarios de tâches</w:t>
      </w:r>
    </w:p>
    <w:p>
      <w:pPr>
        <w:spacing w:after="120" w:line="276"/>
      </w:pPr>
      <w:r>
        <w:t xml:space="preserve">On donne un but, jamais un chemin. Les tâches 3, 4, 6 et 8 (mesures des hypothèses) sont obligatoires.</w:t>
      </w:r>
    </w:p>
    <w:p>
      <w:pPr>
        <w:spacing w:after="40" w:line="276"/>
      </w:pPr>
      <w:r>
        <w:rPr>
          <w:b/>
          <w:bCs/>
        </w:rPr>
        <w:t xml:space="preserve">Tâche 1 — Prise en main / connexion</w:t>
      </w:r>
    </w:p>
    <w:p>
      <w:pPr>
        <w:spacing w:after="140" w:line="276"/>
      </w:pPr>
      <w:r>
        <w:t xml:space="preserve">Échauffement. Entrer dans l'application depuis l'écran d'accueil. On observe l'hésitation connexion / inscription.</w:t>
      </w:r>
    </w:p>
    <w:p>
      <w:pPr>
        <w:spacing w:after="40" w:line="276"/>
      </w:pPr>
      <w:r>
        <w:rPr>
          <w:b/>
          <w:bCs/>
        </w:rPr>
        <w:t xml:space="preserve">Tâche 2 — Importer et lancer l'analyse</w:t>
      </w:r>
    </w:p>
    <w:p>
      <w:pPr>
        <w:spacing w:after="140" w:line="276"/>
      </w:pPr>
      <w:r>
        <w:t xml:space="preserve">Avec CAF-01 : importer le PDF, cocher la case « document fictif », lancer l'analyse. On observe le comportement face à la case de confirmation.</w:t>
      </w:r>
    </w:p>
    <w:p>
      <w:pPr>
        <w:spacing w:after="40" w:line="276"/>
      </w:pPr>
      <w:r>
        <w:rPr>
          <w:b/>
          <w:bCs/>
        </w:rPr>
        <w:t xml:space="preserve">Tâche 3 — Comprendre ce qui est demandé (H1)</w:t>
      </w:r>
    </w:p>
    <w:p>
      <w:pPr>
        <w:spacing w:after="140" w:line="276"/>
      </w:pPr>
      <w:r>
        <w:t xml:space="preserve">Sans relire le courrier, restituer avec ses mots l'action attendue et l'échéance. Mesure centrale.</w:t>
      </w:r>
    </w:p>
    <w:p>
      <w:pPr>
        <w:spacing w:after="40" w:line="276"/>
      </w:pPr>
      <w:r>
        <w:rPr>
          <w:b/>
          <w:bCs/>
        </w:rPr>
        <w:t xml:space="preserve">Tâche 4 — Réagir au niveau de confiance (D10)</w:t>
      </w:r>
    </w:p>
    <w:p>
      <w:pPr>
        <w:spacing w:after="140" w:line="276"/>
      </w:pPr>
      <w:r>
        <w:t xml:space="preserve">Réagir à la date d'échéance. Le signal « À vérifier » est-il vu spontanément et compris ?</w:t>
      </w:r>
    </w:p>
    <w:p>
      <w:pPr>
        <w:spacing w:after="40" w:line="276"/>
      </w:pPr>
      <w:r>
        <w:rPr>
          <w:b/>
          <w:bCs/>
        </w:rPr>
        <w:t xml:space="preserve">Tâche 5 — Vérifier via l'extrait source (H6)</w:t>
      </w:r>
    </w:p>
    <w:p>
      <w:pPr>
        <w:spacing w:after="140" w:line="276"/>
      </w:pPr>
      <w:r>
        <w:t xml:space="preserve">Vérifier que le numéro d'allocataire n'a pas été inventé. Ouvre-t-il « Voir l'extrait source » ?</w:t>
      </w:r>
    </w:p>
    <w:p>
      <w:pPr>
        <w:spacing w:after="40" w:line="276"/>
      </w:pPr>
      <w:r>
        <w:rPr>
          <w:b/>
          <w:bCs/>
        </w:rPr>
        <w:t xml:space="preserve">Tâche 6 — Préparer les justificatifs et lire le statut (D9)</w:t>
      </w:r>
    </w:p>
    <w:p>
      <w:pPr>
        <w:spacing w:after="140" w:line="276"/>
      </w:pPr>
      <w:r>
        <w:t xml:space="preserve">Cocher un justificatif puis dire où en est le dossier. Amorce de la mesure des statuts.</w:t>
      </w:r>
    </w:p>
    <w:p>
      <w:pPr>
        <w:spacing w:after="40" w:line="276"/>
      </w:pPr>
      <w:r>
        <w:rPr>
          <w:b/>
          <w:bCs/>
        </w:rPr>
        <w:t xml:space="preserve">Tâche 7 — Le courrier sans action (H5)</w:t>
      </w:r>
    </w:p>
    <w:p>
      <w:pPr>
        <w:spacing w:after="140" w:line="276"/>
      </w:pPr>
      <w:r>
        <w:t xml:space="preserve">Avec CPAM-05 : conclure qu'il n'y a rien à faire. Cherche-t-il une action inexistante ?</w:t>
      </w:r>
    </w:p>
    <w:p>
      <w:pPr>
        <w:spacing w:after="40" w:line="276"/>
      </w:pPr>
      <w:r>
        <w:rPr>
          <w:b/>
          <w:bCs/>
        </w:rPr>
        <w:t xml:space="preserve">Tâche 8 — Le brouillon de réponse (H4 / I-8)</w:t>
      </w:r>
    </w:p>
    <w:p>
      <w:pPr>
        <w:spacing w:after="140" w:line="276"/>
      </w:pPr>
      <w:r>
        <w:t xml:space="preserve">Ouvrir le brouillon, repérer les zones à compléter, comprendre qu'il devra l'envoyer lui-même.</w:t>
      </w:r>
    </w:p>
    <w:p>
      <w:pPr>
        <w:spacing w:after="40" w:line="276"/>
      </w:pPr>
      <w:r>
        <w:rPr>
          <w:b/>
          <w:bCs/>
        </w:rPr>
        <w:t xml:space="preserve">Tâche 9 (option) — Retrouver un dossier, lire les rappels</w:t>
      </w:r>
    </w:p>
    <w:p>
      <w:pPr>
        <w:spacing w:after="140" w:line="276"/>
      </w:pPr>
      <w:r>
        <w:t xml:space="preserve">Navigation multi-dossiers et compréhension des rappels.</w:t>
      </w:r>
    </w:p>
    <w:p>
      <w:pPr>
        <w:pStyle w:val="Heading1"/>
        <w:spacing w:after="140" w:before="320"/>
      </w:pPr>
      <w:r>
        <w:rPr>
          <w:color w:val="1F5F8B"/>
        </w:rPr>
        <w:t xml:space="preserve">7. Grille d'observation</w:t>
      </w:r>
    </w:p>
    <w:p>
      <w:pPr>
        <w:spacing w:after="120" w:line="276"/>
      </w:pPr>
      <w:r>
        <w:t xml:space="preserve">Une grille par participant, remplie en direct. Barème de succès et échelle de sévérité :</w:t>
      </w:r>
    </w:p>
    <w:p>
      <w:pPr>
        <w:pStyle w:val="Heading2"/>
        <w:spacing w:after="100" w:before="220"/>
      </w:pPr>
      <w:r>
        <w:rPr>
          <w:color w:val="1B2733"/>
        </w:rPr>
        <w:t xml:space="preserve">Barème de succès (par tâche)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Réussi (2) — accomplie sans aide.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Partiel (1) — hésitation notable, détour ou une relance.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Échec (0) — non accomplie, ou seulement après aide directe.</w:t>
      </w:r>
    </w:p>
    <w:p>
      <w:pPr>
        <w:pStyle w:val="Heading2"/>
        <w:spacing w:after="100" w:before="220"/>
      </w:pPr>
      <w:r>
        <w:rPr>
          <w:color w:val="1B2733"/>
        </w:rPr>
        <w:t xml:space="preserve">Échelle de sévérité (Nielsen, 0-4)</w:t>
      </w:r>
    </w:p>
    <w:tbl>
      <w:tblPr>
        <w:tblW w:type="dxa" w:w="8500"/>
        <w:tblBorders>
          <w:top w:val="single" w:color="D4DAE0" w:sz="4"/>
          <w:left w:val="single" w:color="D4DAE0" w:sz="4"/>
          <w:bottom w:val="single" w:color="D4DAE0" w:sz="4"/>
          <w:right w:val="single" w:color="D4DAE0" w:sz="4"/>
          <w:insideH w:val="single" w:color="D4DAE0" w:sz="4"/>
          <w:insideV w:val="single" w:color="D4DAE0" w:sz="4"/>
        </w:tblBorders>
      </w:tblPr>
      <w:tblGrid>
        <w:gridCol w:w="1400"/>
        <w:gridCol w:w="7100"/>
      </w:tblGrid>
      <w:tr>
        <w:trPr>
          <w:tblHeader/>
        </w:trPr>
        <w:tc>
          <w:tcPr>
            <w:tcW w:type="dxa" w:w="1400"/>
            <w:shd w:fill="1F5F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  <w:tc>
          <w:tcPr>
            <w:tcW w:type="dxa" w:w="7100"/>
            <w:shd w:fill="1F5F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Pas un problème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Cosmétique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Mineur — gêne contournable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Majeur — bloque ou fausse la compréhension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Catastrophique — empêche la tâche</w:t>
            </w:r>
          </w:p>
        </w:tc>
      </w:tr>
    </w:tbl>
    <w:p>
      <w:pPr>
        <w:spacing w:after="60" w:line="276"/>
      </w:pPr>
      <w:r>
        <w:t xml:space="preserve">Pour chaque tâche : succès, temps, hésitations, relances, sévérité, faits observés et verbatims. Des grilles ciblées consignent en plus les données de D9 (appariement des statuts), D10 (repérage du signal de confiance), du brouillon (rassure/inquiète) et de la vérifiabilité.</w:t>
      </w:r>
    </w:p>
    <w:p>
      <w:pPr>
        <w:pStyle w:val="Heading1"/>
        <w:spacing w:after="140" w:before="320"/>
      </w:pPr>
      <w:r>
        <w:rPr>
          <w:color w:val="1F5F8B"/>
        </w:rPr>
        <w:t xml:space="preserve">8. Questionnaire post-test</w:t>
      </w:r>
    </w:p>
    <w:p>
      <w:pPr>
        <w:pStyle w:val="Heading2"/>
        <w:spacing w:after="100" w:before="220"/>
      </w:pPr>
      <w:r>
        <w:rPr>
          <w:color w:val="1B2733"/>
        </w:rPr>
        <w:t xml:space="preserve">System Usability Scale (SUS)</w:t>
      </w:r>
    </w:p>
    <w:p>
      <w:pPr>
        <w:spacing w:after="120" w:line="276"/>
      </w:pPr>
      <w:r>
        <w:t xml:space="preserve">Dix affirmations notées de 1 (pas du tout d'accord) à 5 (tout à fait d'accord).</w:t>
      </w:r>
    </w:p>
    <w:tbl>
      <w:tblPr>
        <w:tblW w:type="dxa" w:w="8500"/>
        <w:tblBorders>
          <w:top w:val="single" w:color="D4DAE0" w:sz="4"/>
          <w:left w:val="single" w:color="D4DAE0" w:sz="4"/>
          <w:bottom w:val="single" w:color="D4DAE0" w:sz="4"/>
          <w:right w:val="single" w:color="D4DAE0" w:sz="4"/>
          <w:insideH w:val="single" w:color="D4DAE0" w:sz="4"/>
          <w:insideV w:val="single" w:color="D4DAE0" w:sz="4"/>
        </w:tblBorders>
      </w:tblPr>
      <w:tblGrid>
        <w:gridCol w:w="600"/>
        <w:gridCol w:w="7900"/>
      </w:tblGrid>
      <w:tr>
        <w:trPr>
          <w:tblHeader/>
        </w:trPr>
        <w:tc>
          <w:tcPr>
            <w:tcW w:type="dxa" w:w="600"/>
            <w:shd w:fill="1F5F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900"/>
            <w:shd w:fill="1F5F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Affirmation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7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J'aimerais utiliser ce système régulièrement.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7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Ce système est inutilement complexe.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7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Ce système est facile à utiliser.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7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J'aurais besoin d'aide d'une personne technique pour l'utiliser.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7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Les différentes fonctions sont bien intégrées.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7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Il y a trop d'incohérences dans ce système.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7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La plupart des gens apprendraient très vite à l'utiliser.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7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Ce système est très lourd à utiliser.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7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Je me suis senti·e en confiance en l'utilisant.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7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J'ai dû apprendre beaucoup de choses avant de m'en servir.</w:t>
            </w:r>
          </w:p>
        </w:tc>
      </w:tr>
    </w:tbl>
    <w:p>
      <w:pPr>
        <w:spacing w:after="120" w:line="276"/>
      </w:pPr>
      <w:r>
        <w:rPr>
          <w:color w:val="5A6472"/>
        </w:rPr>
        <w:t xml:space="preserve">Score (0-100) : items impairs = réponse − 1 ; items pairs = 5 − réponse ; somme × 2,5. Repère : 68 = moyenne. Cible CapClair : ≥ 70.</w:t>
      </w:r>
    </w:p>
    <w:p>
      <w:pPr>
        <w:pStyle w:val="Heading2"/>
        <w:spacing w:after="100" w:before="220"/>
      </w:pPr>
      <w:r>
        <w:rPr>
          <w:color w:val="1B2733"/>
        </w:rPr>
        <w:t xml:space="preserve">Questions ciblées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Statuts (D9) : reformuler chaque statut ; lesquels se ressemblent ? apparier situation → statut.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Confiance (D10) : avez-vous remarqué le signal « à vérifier » ? pourquoi certaines infos seulement ? rassure ou inquiète 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Brouillon (I-8) : qui envoie le courrier à l'administration ? le non-envoi est-il rassurant ou gênant 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Confiance générale (0-10) ; une chose à améliorer ; une chose vraiment utile.</w:t>
      </w:r>
    </w:p>
    <w:p>
      <w:pPr>
        <w:pStyle w:val="Heading1"/>
        <w:spacing w:after="140" w:before="320"/>
      </w:pPr>
      <w:r>
        <w:rPr>
          <w:color w:val="1F5F8B"/>
        </w:rPr>
        <w:t xml:space="preserve">9. Plan d'analyse et de décision</w:t>
      </w:r>
    </w:p>
    <w:p>
      <w:pPr>
        <w:spacing w:after="120" w:line="276"/>
      </w:pPr>
      <w:r>
        <w:t xml:space="preserve">Cinq participants donnent des tendances, pas des statistiques. On priorise les problèmes par fréquence × sévérité : un problème vu chez ≥ 3/5 ou de sévérité ≥ 3 devient prioritaire.</w:t>
      </w:r>
    </w:p>
    <w:p>
      <w:pPr>
        <w:pStyle w:val="Heading2"/>
        <w:spacing w:after="100" w:before="220"/>
      </w:pPr>
      <w:r>
        <w:rPr>
          <w:color w:val="1B2733"/>
        </w:rPr>
        <w:t xml:space="preserve">Seuils qui tranchent les décisions</w:t>
      </w:r>
    </w:p>
    <w:tbl>
      <w:tblPr>
        <w:tblW w:type="dxa" w:w="8500"/>
        <w:tblBorders>
          <w:top w:val="single" w:color="D4DAE0" w:sz="4"/>
          <w:left w:val="single" w:color="D4DAE0" w:sz="4"/>
          <w:bottom w:val="single" w:color="D4DAE0" w:sz="4"/>
          <w:right w:val="single" w:color="D4DAE0" w:sz="4"/>
          <w:insideH w:val="single" w:color="D4DAE0" w:sz="4"/>
          <w:insideV w:val="single" w:color="D4DAE0" w:sz="4"/>
        </w:tblBorders>
      </w:tblPr>
      <w:tblGrid>
        <w:gridCol w:w="1900"/>
        <w:gridCol w:w="4300"/>
        <w:gridCol w:w="2300"/>
      </w:tblGrid>
      <w:tr>
        <w:trPr>
          <w:tblHeader/>
        </w:trPr>
        <w:tc>
          <w:tcPr>
            <w:tcW w:type="dxa" w:w="1900"/>
            <w:shd w:fill="1F5F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Décision</w:t>
            </w:r>
          </w:p>
        </w:tc>
        <w:tc>
          <w:tcPr>
            <w:tcW w:type="dxa" w:w="4300"/>
            <w:shd w:fill="1F5F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Si…</w:t>
            </w:r>
          </w:p>
        </w:tc>
        <w:tc>
          <w:tcPr>
            <w:tcW w:type="dxa" w:w="2300"/>
            <w:shd w:fill="1F5F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Alors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D9 — statuts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≥ 4/5 apparient correctement et aucune confusion récurrente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Conserver les 6 statuts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D9 — statuts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&lt; 4/5 ou confusion récurrente entre deux statuts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Réduire à 4 statuts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D10 — confiance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≥ 3/5 voient et comprennent « À vérifier »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Conserver l'affichage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D10 — confiance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Peu vu mais compris une fois montré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Renforcer la visibilité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D10 — confiance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Mal compris / défiance excessive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Revoir le libellé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H4 — brouillon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Rassure (≥ 4/5), zones comprises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Conserver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H4 — brouillon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≥ 2/5 inquiets ou prêts à l'envoyer tel quel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Renforcer l'avertissement, reléguer le brouillon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H1 — compréhension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≥ 4/5 restituent action + échéance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Hypothèse produit validée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H1 — compréhension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&lt; 4/5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Revoir la restitution (écran 05)</w:t>
            </w:r>
          </w:p>
        </w:tc>
      </w:tr>
    </w:tbl>
    <w:p>
      <w:pPr>
        <w:pStyle w:val="Heading2"/>
        <w:spacing w:after="100" w:before="220"/>
      </w:pPr>
      <w:r>
        <w:rPr>
          <w:color w:val="1B2733"/>
        </w:rPr>
        <w:t xml:space="preserve">Restitution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Résumé exécutif (1 page) : promesse tenue ? 3 forces, 3 faiblesses, score SUS.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Décisions : statut de D9, D10, H4, avec la donnée qui tranche.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Liste priorisée des problèmes avec pistes de correction ; tickets Jira pour toute sévérité ≥ 3.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Report des décisions D9/D10 dans le registre d'arbitrages pour clôture.</w:t>
      </w:r>
    </w:p>
    <w:p>
      <w:pPr>
        <w:pStyle w:val="Heading2"/>
        <w:spacing w:after="100" w:before="220"/>
      </w:pPr>
      <w:r>
        <w:rPr>
          <w:color w:val="1B2733"/>
        </w:rPr>
        <w:t xml:space="preserve">Limites méthodologiques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5 participants : problèmes majeurs seulement ; chiffres = tendances.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Prototype, pas produit réel : pas de vraie latence ni de vrais courriers.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Corpus fictif : enjeu émotionnel réduit par rapport à un vrai courrier.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Effet animateur : les participants persévèrent plus qu'en autonomie.</w:t>
      </w:r>
    </w:p>
    <w:p>
      <w:r>
        <w:br w:type="page"/>
      </w:r>
    </w:p>
    <w:p>
      <w:pPr>
        <w:pStyle w:val="Heading1"/>
        <w:spacing w:after="140" w:before="320"/>
      </w:pPr>
      <w:r>
        <w:rPr>
          <w:color w:val="1F5F8B"/>
        </w:rPr>
        <w:t xml:space="preserve">Annexe A — Questionnaire de recrutement</w:t>
      </w:r>
    </w:p>
    <w:p>
      <w:pPr>
        <w:spacing w:after="120" w:line="276"/>
      </w:pPr>
      <w:r>
        <w:t xml:space="preserve">À faire passer en amont (~5 min) sans révéler les hypothèses. Questions de filtrage 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Âge (exclure les mineurs ; viser un mélange d'âges).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Reçoit des courriers CAF/CPAM/France Travail/impôts ? (exclure « jamais »).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Vécu de ces courriers : facile / compliqué / stressant (privilégier compliqué ou stressant).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Aisance numérique : très à l'aise → pas du tout (cœur de cible = peu à l'aise).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Situation : plusieurs démarches (Marc) / aide un proche (Sophie) / aucune (Nadia).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Contrôle d'expertise : exclure les profils design / informatique / accompagnement administratif (sauf aidant recherché).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Disponibilité ~45 min ; confort de lecture en français.</w:t>
      </w:r>
    </w:p>
    <w:p>
      <w:pPr>
        <w:spacing w:after="120" w:line="276"/>
      </w:pPr>
      <w:r>
        <w:rPr>
          <w:color w:val="5A6472"/>
        </w:rPr>
        <w:t xml:space="preserve">Quotas : 3 Nadia, 1 Marc, 1 Sophie, 1 remplaçant. Diversité d'âge et de genre.</w:t>
      </w:r>
    </w:p>
    <w:p>
      <w:pPr>
        <w:pStyle w:val="Heading1"/>
        <w:spacing w:after="140" w:before="320"/>
      </w:pPr>
      <w:r>
        <w:rPr>
          <w:color w:val="1F5F8B"/>
        </w:rPr>
        <w:t xml:space="preserve">Annexe B — Formulaire de consentement (RGPD)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Objet : test d'utilisabilité de CapClair. On teste l'outil, pas la personne ; aucune bonne ou mauvaise réponse.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Durée ~45 min, tâches sur maquette en pensant à voix haute ; documents entièrement fictifs.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Participation volontaire ; arrêt possible à tout moment sans justification.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Enregistrement écran + voix facultatif (case à cocher) ; visage non filmé.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Données anonymisées (« Participant 1 »), enregistrements supprimés sous 3 mois ; droit d'accès, de rectification et de suppression (RGPD).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Aucune donnée sensible ni vrai document ; compensation remise en fin de session.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Recueil de la signature (ou accord oral enregistré en visio).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344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5F8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B27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Protocole de tests utilisateurs — CapClair</dc:title>
  <dc:creator>CapClair</dc:creator>
  <cp:lastModifiedBy>Un-named</cp:lastModifiedBy>
  <cp:revision>1</cp:revision>
  <dcterms:created xsi:type="dcterms:W3CDTF">2026-07-26T13:23:46.467Z</dcterms:created>
  <dcterms:modified xsi:type="dcterms:W3CDTF">2026-07-26T13:23:46.468Z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