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300A24"/>
          <w:sz w:val="64"/>
          <w:szCs w:val="64"/>
        </w:rPr>
        <w:t xml:space="preserve">ADInspector</w:t>
      </w:r>
    </w:p>
    <w:p>
      <w:pPr>
        <w:spacing w:after="0" w:before="120"/>
        <w:jc w:val="center"/>
      </w:pPr>
      <w:r>
        <w:rPr>
          <w:rFonts w:ascii="Arial" w:cs="Arial" w:eastAsia="Arial" w:hAnsi="Arial"/>
          <w:i/>
          <w:iCs/>
          <w:color w:val="5C3A52"/>
          <w:sz w:val="26"/>
          <w:szCs w:val="26"/>
        </w:rPr>
        <w:t xml:space="preserve">Sistema de Agentes LDAP Auto-Adaptativos</w:t>
      </w:r>
    </w:p>
    <w:p>
      <w:pPr>
        <w:pBdr>
          <w:bottom w:val="single" w:color="C98A1B" w:sz="10" w:space="8"/>
        </w:pBdr>
        <w:spacing w:after="0" w:before="40"/>
        <w:jc w:val="center"/>
      </w:pPr>
      <w:r>
        <w:rPr>
          <w:rFonts w:ascii="Arial" w:cs="Arial" w:eastAsia="Arial" w:hAnsi="Arial"/>
          <w:b/>
          <w:bCs/>
          <w:color w:val="C98A1B"/>
          <w:sz w:val="20"/>
          <w:szCs w:val="20"/>
        </w:rPr>
        <w:t xml:space="preserve">MERCADO LIBRE  ·  OFFENSIVE SECURITY TEAM</w:t>
      </w:r>
    </w:p>
    <w:p>
      <w:pPr>
        <w:spacing w:after="0" w:before="360"/>
        <w:jc w:val="center"/>
      </w:pPr>
      <w:r>
        <w:rPr>
          <w:rFonts w:ascii="Arial" w:cs="Arial" w:eastAsia="Arial" w:hAnsi="Arial"/>
          <w:b/>
          <w:bCs/>
          <w:color w:val="300A24"/>
          <w:sz w:val="30"/>
          <w:szCs w:val="30"/>
        </w:rPr>
        <w:t xml:space="preserve">Ejemplos de uso</w:t>
      </w:r>
    </w:p>
    <w:p>
      <w:pPr>
        <w:spacing w:after="700" w:before="200"/>
        <w:jc w:val="center"/>
      </w:pPr>
      <w:r>
        <w:rPr>
          <w:rFonts w:ascii="Arial" w:cs="Arial" w:eastAsia="Arial" w:hAnsi="Arial"/>
          <w:color w:val="404040"/>
          <w:sz w:val="21"/>
          <w:szCs w:val="21"/>
        </w:rPr>
        <w:t xml:space="preserve">Recorrido práctico por los flujos principales del sistema: resolución de consultas en lenguaje natural, enumeración de usuarios y grupos del dominio, hallazgo y decodificación de credenciales ocultas, y generación autónoma de nuevas herramientas mediante IA.</w:t>
      </w:r>
    </w:p>
    <w:p>
      <w:pPr>
        <w:pStyle w:val="Heading2"/>
        <w:spacing w:after="100" w:before="420"/>
      </w:pPr>
      <w:r>
        <w:rPr>
          <w:rFonts w:ascii="Arial" w:cs="Arial" w:eastAsia="Arial" w:hAnsi="Arial"/>
          <w:b/>
          <w:bCs/>
          <w:color w:val="C98A1B"/>
          <w:sz w:val="26"/>
          <w:szCs w:val="26"/>
        </w:rPr>
        <w:t xml:space="preserve">1.  </w:t>
      </w:r>
      <w:r>
        <w:rPr>
          <w:rFonts w:ascii="Arial" w:cs="Arial" w:eastAsia="Arial" w:hAnsi="Arial"/>
          <w:b/>
          <w:bCs/>
          <w:color w:val="300A24"/>
          <w:sz w:val="26"/>
          <w:szCs w:val="26"/>
        </w:rPr>
        <w:t xml:space="preserve">Inicio del sistema</w:t>
      </w:r>
    </w:p>
    <w:p>
      <w:pPr>
        <w:spacing w:after="60"/>
      </w:pPr>
      <w:r>
        <w:rPr>
          <w:rFonts w:ascii="Arial" w:cs="Arial" w:eastAsia="Arial" w:hAnsi="Arial"/>
          <w:color w:val="404040"/>
          <w:sz w:val="21"/>
          <w:szCs w:val="21"/>
        </w:rPr>
        <w:t xml:space="preserve">Pantalla de bienvenida del CLI, con el banner del proyecto y un resumen de sus capacidades principales.</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3305175"/>
            <wp:effectExtent t="0" r="0" b="0" l="0"/>
            <wp:docPr id="1" name="Figura 1. Banner de inicio de ADInspector." descr="Figura 1. Banner de inicio de ADInspector." title="Figura 1. Banner de inicio de AD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05175"/>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1. Banner de inicio de ADInspector.</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2.  </w:t>
      </w:r>
      <w:r>
        <w:rPr>
          <w:rFonts w:ascii="Arial" w:cs="Arial" w:eastAsia="Arial" w:hAnsi="Arial"/>
          <w:b/>
          <w:bCs/>
          <w:color w:val="300A24"/>
          <w:sz w:val="26"/>
          <w:szCs w:val="26"/>
        </w:rPr>
        <w:t xml:space="preserve">Consulta en lenguaje natural: ¿quién soy?</w:t>
      </w:r>
    </w:p>
    <w:p>
      <w:pPr>
        <w:spacing w:after="60"/>
      </w:pPr>
      <w:r>
        <w:rPr>
          <w:rFonts w:ascii="Arial" w:cs="Arial" w:eastAsia="Arial" w:hAnsi="Arial"/>
          <w:color w:val="404040"/>
          <w:sz w:val="21"/>
          <w:szCs w:val="21"/>
        </w:rPr>
        <w:t xml:space="preserve">El comando ask interpreta la pregunta y la resuelve reutilizando una herramienta existente (get_current_user_info), sin necesidad de generar código nuevo.</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1657350"/>
            <wp:effectExtent t="0" r="0" b="0" l="0"/>
            <wp:docPr id="1" name="Figura 2. Resolución automática de «ask quién soy?» usando una herramienta existente." descr="Figura 2. Resolución automática de «ask quién soy?» usando una herramienta existente." title="Figura 2. Resolución automática de «ask quién soy?» usando una herramienta ex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57350"/>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2. Resolución automática de «ask quién soy?» usando una herramienta existente.</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3.  </w:t>
      </w:r>
      <w:r>
        <w:rPr>
          <w:rFonts w:ascii="Arial" w:cs="Arial" w:eastAsia="Arial" w:hAnsi="Arial"/>
          <w:b/>
          <w:bCs/>
          <w:color w:val="300A24"/>
          <w:sz w:val="26"/>
          <w:szCs w:val="26"/>
        </w:rPr>
        <w:t xml:space="preserve">Enumeración de grupos</w:t>
      </w:r>
    </w:p>
    <w:p>
      <w:pPr>
        <w:spacing w:after="60"/>
      </w:pPr>
      <w:r>
        <w:rPr>
          <w:rFonts w:ascii="Arial" w:cs="Arial" w:eastAsia="Arial" w:hAnsi="Arial"/>
          <w:color w:val="404040"/>
          <w:sz w:val="21"/>
          <w:szCs w:val="21"/>
        </w:rPr>
        <w:t xml:space="preserve">Listado completo de los grupos del dominio LDAP, con señalización automática de los grupos considerados sensibles (por ejemplo, admins).</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1800225"/>
            <wp:effectExtent t="0" r="0" b="0" l="0"/>
            <wp:docPr id="1" name="Figura 3. Enumeración de grupos y detección de grupos sensibles." descr="Figura 3. Enumeración de grupos y detección de grupos sensibles." title="Figura 3. Enumeración de grupos y detección de grupos sen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0225"/>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3. Enumeración de grupos y detección de grupos sensibles.</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4.  </w:t>
      </w:r>
      <w:r>
        <w:rPr>
          <w:rFonts w:ascii="Arial" w:cs="Arial" w:eastAsia="Arial" w:hAnsi="Arial"/>
          <w:b/>
          <w:bCs/>
          <w:color w:val="300A24"/>
          <w:sz w:val="26"/>
          <w:szCs w:val="26"/>
        </w:rPr>
        <w:t xml:space="preserve">Hallazgo de API-Key oculta</w:t>
      </w:r>
    </w:p>
    <w:p>
      <w:pPr>
        <w:spacing w:after="60"/>
      </w:pPr>
      <w:r>
        <w:rPr>
          <w:rFonts w:ascii="Arial" w:cs="Arial" w:eastAsia="Arial" w:hAnsi="Arial"/>
          <w:color w:val="404040"/>
          <w:sz w:val="21"/>
          <w:szCs w:val="21"/>
        </w:rPr>
        <w:t xml:space="preserve">El comando user-info expone todos los atributos de una cuenta. En este caso revela que el atributo pager de alice.brown contiene un valor codificado, distinto de los mensajes señuelo del resto de los usuarios.</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2514600"/>
            <wp:effectExtent t="0" r="0" b="0" l="0"/>
            <wp:docPr id="1" name="Figura 4. Atributo pager con una API-Key codificada en Base64." descr="Figura 4. Atributo pager con una API-Key codificada en Base64." title="Figura 4. Atributo pager con una API-Key codificada en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14600"/>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4. Atributo pager con una API-Key codificada en Base64.</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5.  </w:t>
      </w:r>
      <w:r>
        <w:rPr>
          <w:rFonts w:ascii="Arial" w:cs="Arial" w:eastAsia="Arial" w:hAnsi="Arial"/>
          <w:b/>
          <w:bCs/>
          <w:color w:val="300A24"/>
          <w:sz w:val="26"/>
          <w:szCs w:val="26"/>
        </w:rPr>
        <w:t xml:space="preserve">Decodificación de Base64</w:t>
      </w:r>
    </w:p>
    <w:p>
      <w:pPr>
        <w:spacing w:after="60"/>
      </w:pPr>
      <w:r>
        <w:rPr>
          <w:rFonts w:ascii="Arial" w:cs="Arial" w:eastAsia="Arial" w:hAnsi="Arial"/>
          <w:color w:val="404040"/>
          <w:sz w:val="21"/>
          <w:szCs w:val="21"/>
        </w:rPr>
        <w:t xml:space="preserve">Al decodificar el valor encontrado se obtiene la API-Key real oculta entre los datos de la cuenta, confirmando el hallazgo del paso anterior.</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3362325"/>
            <wp:effectExtent t="0" r="0" b="0" l="0"/>
            <wp:docPr id="1" name="Figura 5. Decodificación del valor de pager y obtención de la API-Key real." descr="Figura 5. Decodificación del valor de pager y obtención de la API-Key real." title="Figura 5. Decodificación del valor de pager y obtención de la API-Key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62325"/>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5. Decodificación del valor de pager y obtención de la API-Key real.</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6.  </w:t>
      </w:r>
      <w:r>
        <w:rPr>
          <w:rFonts w:ascii="Arial" w:cs="Arial" w:eastAsia="Arial" w:hAnsi="Arial"/>
          <w:b/>
          <w:bCs/>
          <w:color w:val="300A24"/>
          <w:sz w:val="26"/>
          <w:szCs w:val="26"/>
        </w:rPr>
        <w:t xml:space="preserve">Creación autónoma de una nueva herramienta</w:t>
      </w:r>
    </w:p>
    <w:p>
      <w:pPr>
        <w:spacing w:after="60"/>
      </w:pPr>
      <w:r>
        <w:rPr>
          <w:rFonts w:ascii="Arial" w:cs="Arial" w:eastAsia="Arial" w:hAnsi="Arial"/>
          <w:color w:val="404040"/>
          <w:sz w:val="21"/>
          <w:szCs w:val="21"/>
        </w:rPr>
        <w:t xml:space="preserve">Cuando ninguna herramienta existente cubre la consulta, el sistema delega en la IA, que genera y registra una herramienta nueva sobre la marcha para resolverla.</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504825"/>
            <wp:effectExtent t="0" r="0" b="0" l="0"/>
            <wp:docPr id="1" name="Figura 6. Generación de una herramienta nueva ante una consulta sin cobertura previa." descr="Figura 6. Generación de una herramienta nueva ante una consulta sin cobertura previa." title="Figura 6. Generación de una herramienta nueva ante una consulta sin cobertura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04825"/>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6. Generación de una herramienta nueva ante una consulta sin cobertura previa.</w:t>
      </w:r>
    </w:p>
    <w:p>
      <w:pPr>
        <w:pBdr>
          <w:bottom w:val="single" w:color="E3D9DF" w:sz="4" w:space="1"/>
        </w:pBdr>
        <w:spacing w:after="0" w:before="0"/>
      </w:pPr>
    </w:p>
    <w:p>
      <w:pPr>
        <w:pStyle w:val="Heading2"/>
        <w:spacing w:after="100" w:before="420"/>
      </w:pPr>
      <w:r>
        <w:rPr>
          <w:rFonts w:ascii="Arial" w:cs="Arial" w:eastAsia="Arial" w:hAnsi="Arial"/>
          <w:b/>
          <w:bCs/>
          <w:color w:val="C98A1B"/>
          <w:sz w:val="26"/>
          <w:szCs w:val="26"/>
        </w:rPr>
        <w:t xml:space="preserve">7.  </w:t>
      </w:r>
      <w:r>
        <w:rPr>
          <w:rFonts w:ascii="Arial" w:cs="Arial" w:eastAsia="Arial" w:hAnsi="Arial"/>
          <w:b/>
          <w:bCs/>
          <w:color w:val="300A24"/>
          <w:sz w:val="26"/>
          <w:szCs w:val="26"/>
        </w:rPr>
        <w:t xml:space="preserve">Enumeración completa de dominio</w:t>
      </w:r>
    </w:p>
    <w:p>
      <w:pPr>
        <w:spacing w:after="60"/>
      </w:pPr>
      <w:r>
        <w:rPr>
          <w:rFonts w:ascii="Arial" w:cs="Arial" w:eastAsia="Arial" w:hAnsi="Arial"/>
          <w:color w:val="404040"/>
          <w:sz w:val="21"/>
          <w:szCs w:val="21"/>
        </w:rPr>
        <w:t xml:space="preserve">El comando domain-enum-all ejecuta un reconocimiento integral: información general del dominio, usuarios y grupos, en una sola corrida.</w:t>
      </w:r>
    </w:p>
    <w:p>
      <w:pPr>
        <w:pBdr>
          <w:top w:val="single" w:color="E3D9DF" w:sz="4" w:space="8"/>
          <w:left w:val="single" w:color="E3D9DF" w:sz="4" w:space="8"/>
          <w:bottom w:val="single" w:color="E3D9DF" w:sz="4" w:space="8"/>
          <w:right w:val="single" w:color="E3D9DF" w:sz="4" w:space="8"/>
        </w:pBdr>
        <w:spacing w:after="80" w:before="160"/>
        <w:jc w:val="center"/>
      </w:pPr>
      <w:r>
        <w:drawing>
          <wp:inline distT="0" distB="0" distL="0" distR="0">
            <wp:extent cx="5715000" cy="3905250"/>
            <wp:effectExtent t="0" r="0" b="0" l="0"/>
            <wp:docPr id="1" name="Figura 7. Reconocimiento completo del dominio con domain-enum-all." descr="Figura 7. Reconocimiento completo del dominio con domain-enum-all." title="Figura 7. Reconocimiento completo del dominio con domain-enu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05250"/>
                    </a:xfrm>
                    <a:prstGeom prst="rect">
                      <a:avLst/>
                    </a:prstGeom>
                  </pic:spPr>
                </pic:pic>
              </a:graphicData>
            </a:graphic>
          </wp:inline>
        </w:drawing>
      </w:r>
    </w:p>
    <w:p>
      <w:pPr>
        <w:spacing w:after="320"/>
        <w:jc w:val="center"/>
      </w:pPr>
      <w:r>
        <w:rPr>
          <w:rFonts w:ascii="Arial" w:cs="Arial" w:eastAsia="Arial" w:hAnsi="Arial"/>
          <w:i/>
          <w:iCs/>
          <w:color w:val="6B6B6B"/>
          <w:sz w:val="19"/>
          <w:szCs w:val="19"/>
        </w:rPr>
        <w:t xml:space="preserve">Figura 7. Reconocimiento completo del dominio con domain-enum-all.</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Página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de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9DF" w:sz="4" w:space="4"/>
      </w:pBdr>
      <w:tabs>
        <w:tab w:val="right" w:pos="9026"/>
      </w:tabs>
    </w:pPr>
    <w:r>
      <w:rPr>
        <w:rFonts w:ascii="Arial" w:cs="Arial" w:eastAsia="Arial" w:hAnsi="Arial"/>
        <w:b/>
        <w:bCs/>
        <w:color w:val="6B6B6B"/>
        <w:sz w:val="16"/>
        <w:szCs w:val="16"/>
      </w:rPr>
      <w:t xml:space="preserve">ADInspector</w:t>
    </w:r>
    <w:r>
      <w:rPr>
        <w:rFonts w:ascii="Arial" w:cs="Arial" w:eastAsia="Arial" w:hAnsi="Arial"/>
        <w:color w:val="6B6B6B"/>
        <w:sz w:val="16"/>
        <w:szCs w:val="16"/>
      </w:rPr>
      <w:t xml:space="preserve">	Ejemplos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420"/>
      <w:outlineLvl w:val="1"/>
    </w:pPr>
    <w:rPr>
      <w:rFonts w:ascii="Arial" w:cs="Arial" w:eastAsia="Arial" w:hAnsi="Arial"/>
      <w:b/>
      <w:bCs/>
      <w:color w:val="300A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273fc247c2a85ac5c9c7607f220f9a834ff5c4.png"/><Relationship Id="rId10" Type="http://schemas.openxmlformats.org/officeDocument/2006/relationships/image" Target="media/7fc4bcd5df5bdf4cfec5f14861cd3fbe15bdca99.png"/><Relationship Id="rId11" Type="http://schemas.openxmlformats.org/officeDocument/2006/relationships/image" Target="media/ae98d7a0b7fd9f6c5dc717a8ad6d6c483c6165ac.png"/><Relationship Id="rId12" Type="http://schemas.openxmlformats.org/officeDocument/2006/relationships/image" Target="media/7a286e56463d93bbd7343ec7aa212a589af90183.png"/><Relationship Id="rId13" Type="http://schemas.openxmlformats.org/officeDocument/2006/relationships/image" Target="media/10ba7c4a0926d2c39be2170cf7ec7674d607df1d.png"/><Relationship Id="rId14" Type="http://schemas.openxmlformats.org/officeDocument/2006/relationships/image" Target="media/28a401eaf57942d24f9bc3385837092d94cc98da.png"/><Relationship Id="rId15" Type="http://schemas.openxmlformats.org/officeDocument/2006/relationships/image" Target="media/946d0fcdb217d579a563460cba54e4771d3ebda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2026-06-29T01:02:43.119Z</dcterms:created>
  <dcterms:modified xsi:type="dcterms:W3CDTF">2026-06-29T01:02:43.120Z</dcterms:modified>
</cp:coreProperties>
</file>

<file path=docProps/custom.xml><?xml version="1.0" encoding="utf-8"?>
<Properties xmlns="http://schemas.openxmlformats.org/officeDocument/2006/custom-properties" xmlns:vt="http://schemas.openxmlformats.org/officeDocument/2006/docPropsVTypes"/>
</file>