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="00984691" w:rsidRPr="00997FE5">
          <w:rPr>
            <w:rStyle w:val="Lienhypertexte"/>
            <w:noProof/>
          </w:rPr>
          <w:t>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Cadre, description et motivation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_Toc531097759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="00984691" w:rsidRPr="00997FE5">
          <w:rPr>
            <w:rStyle w:val="Lienhypertexte"/>
            <w:noProof/>
          </w:rPr>
          <w:t>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Organisation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="00984691" w:rsidRPr="00997FE5">
          <w:rPr>
            <w:rStyle w:val="Lienhypertexte"/>
            <w:noProof/>
          </w:rPr>
          <w:t>1.3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Objectifs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_Toc531097761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="00984691" w:rsidRPr="00997FE5">
          <w:rPr>
            <w:rStyle w:val="Lienhypertexte"/>
            <w:noProof/>
          </w:rPr>
          <w:t>1.4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 initiale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="00984691" w:rsidRPr="00997FE5">
          <w:rPr>
            <w:rStyle w:val="Lienhypertexte"/>
          </w:rPr>
          <w:t>2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Analyse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_Toc531097763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4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="00984691" w:rsidRPr="00997FE5">
          <w:rPr>
            <w:rStyle w:val="Lienhypertexte"/>
            <w:i/>
            <w:noProof/>
          </w:rPr>
          <w:t>2.1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Cahier des charges</w:t>
        </w:r>
        <w:r w:rsidR="00984691" w:rsidRPr="00997FE5">
          <w:rPr>
            <w:rStyle w:val="Lienhypertexte"/>
            <w:i/>
            <w:noProof/>
          </w:rPr>
          <w:t xml:space="preserve"> détaillé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="00984691" w:rsidRPr="00997FE5">
          <w:rPr>
            <w:rStyle w:val="Lienhypertexte"/>
            <w:noProof/>
          </w:rPr>
          <w:t>2.2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Analyse concurrentielle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="00984691" w:rsidRPr="00997FE5">
          <w:rPr>
            <w:rStyle w:val="Lienhypertexte"/>
            <w:noProof/>
          </w:rPr>
          <w:t>2.3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Cas d’utilisation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5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="00984691" w:rsidRPr="00997FE5">
          <w:rPr>
            <w:rStyle w:val="Lienhypertexte"/>
            <w:noProof/>
          </w:rPr>
          <w:t>2.4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Stratégie de test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="00984691" w:rsidRPr="00997FE5">
          <w:rPr>
            <w:rStyle w:val="Lienhypertexte"/>
            <w:noProof/>
          </w:rPr>
          <w:t>2.4.1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="00984691" w:rsidRPr="00997FE5">
          <w:rPr>
            <w:rStyle w:val="Lienhypertexte"/>
            <w:noProof/>
          </w:rPr>
          <w:t>2.4.2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Testeurs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="00984691" w:rsidRPr="00997FE5">
          <w:rPr>
            <w:rStyle w:val="Lienhypertexte"/>
            <w:noProof/>
          </w:rPr>
          <w:t>2.5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="00984691" w:rsidRPr="00997FE5">
          <w:rPr>
            <w:rStyle w:val="Lienhypertexte"/>
          </w:rPr>
          <w:t>3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Implémentation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_Toc531097771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7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="00984691" w:rsidRPr="00997FE5">
          <w:rPr>
            <w:rStyle w:val="Lienhypertexte"/>
            <w:noProof/>
          </w:rPr>
          <w:t>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conception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="00984691" w:rsidRPr="00997FE5">
          <w:rPr>
            <w:rStyle w:val="Lienhypertexte"/>
            <w:noProof/>
          </w:rPr>
          <w:t>3.1.1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Logiciels utilisés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="00984691" w:rsidRPr="00997FE5">
          <w:rPr>
            <w:rStyle w:val="Lienhypertexte"/>
            <w:noProof/>
          </w:rPr>
          <w:t>3.1.2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Diagramme UML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8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="00984691" w:rsidRPr="00997FE5">
          <w:rPr>
            <w:rStyle w:val="Lienhypertexte"/>
            <w:noProof/>
          </w:rPr>
          <w:t>3.2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="00984691" w:rsidRPr="00997FE5">
          <w:rPr>
            <w:rStyle w:val="Lienhypertexte"/>
            <w:noProof/>
          </w:rPr>
          <w:t>3.3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="00984691" w:rsidRPr="00997FE5">
          <w:rPr>
            <w:rStyle w:val="Lienhypertexte"/>
            <w:noProof/>
          </w:rPr>
          <w:t>3.3.1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Fichiers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="00984691" w:rsidRPr="00997FE5">
          <w:rPr>
            <w:rStyle w:val="Lienhypertexte"/>
            <w:noProof/>
          </w:rPr>
          <w:t>3.4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Description des tests effectués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="00984691" w:rsidRPr="00997FE5">
          <w:rPr>
            <w:rStyle w:val="Lienhypertexte"/>
            <w:noProof/>
          </w:rPr>
          <w:t>3.5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Erreurs restantes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="00984691" w:rsidRPr="00997FE5">
          <w:rPr>
            <w:rStyle w:val="Lienhypertexte"/>
            <w:noProof/>
          </w:rPr>
          <w:t>3.6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d'archivage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="00984691" w:rsidRPr="00997FE5">
          <w:rPr>
            <w:rStyle w:val="Lienhypertexte"/>
          </w:rPr>
          <w:t>4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Mise en service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="00984691" w:rsidRPr="00997FE5">
          <w:rPr>
            <w:rStyle w:val="Lienhypertexte"/>
            <w:noProof/>
          </w:rPr>
          <w:t>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Installation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="00984691" w:rsidRPr="00997FE5">
          <w:rPr>
            <w:rStyle w:val="Lienhypertexte"/>
            <w:noProof/>
          </w:rPr>
          <w:t>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Rapport de mise en service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="00984691" w:rsidRPr="00997FE5">
          <w:rPr>
            <w:rStyle w:val="Lienhypertexte"/>
            <w:noProof/>
          </w:rPr>
          <w:t>4.3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Liste des documents fournis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="00984691" w:rsidRPr="00997FE5">
          <w:rPr>
            <w:rStyle w:val="Lienhypertexte"/>
          </w:rPr>
          <w:t>5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Conclusions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_Toc531097785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="00984691" w:rsidRPr="00997FE5">
          <w:rPr>
            <w:rStyle w:val="Lienhypertexte"/>
          </w:rPr>
          <w:t>6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Annexes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_Toc531097786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="00984691" w:rsidRPr="00997FE5">
          <w:rPr>
            <w:rStyle w:val="Lienhypertexte"/>
            <w:noProof/>
          </w:rPr>
          <w:t>6.1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Sources – Bibliographie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="00984691" w:rsidRPr="00997FE5">
          <w:rPr>
            <w:rStyle w:val="Lienhypertexte"/>
            <w:noProof/>
          </w:rPr>
          <w:t>6.2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Journal de bord de chaque participant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="00984691" w:rsidRPr="00997FE5">
          <w:rPr>
            <w:rStyle w:val="Lienhypertexte"/>
            <w:noProof/>
          </w:rPr>
          <w:t>6.3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Manuel d'Utilisation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7377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="00984691" w:rsidRPr="00997FE5">
          <w:rPr>
            <w:rStyle w:val="Lienhypertexte"/>
            <w:noProof/>
          </w:rPr>
          <w:t>6.4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Archives du projet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_Toc531097790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1097758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1097759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1097760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1 :</w:t>
      </w:r>
      <w:proofErr w:type="gramEnd"/>
      <w:r w:rsidRPr="008F0EEB">
        <w:rPr>
          <w:lang w:val="de-CH"/>
        </w:rPr>
        <w:t xml:space="preserve">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2 :</w:t>
      </w:r>
      <w:proofErr w:type="gramEnd"/>
      <w:r w:rsidRPr="008F0EEB">
        <w:rPr>
          <w:lang w:val="de-CH"/>
        </w:rPr>
        <w:t xml:space="preserve">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1097761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1097762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1097763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1097764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1097765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1097766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300589" w:rsidRDefault="00300589">
      <w:pPr>
        <w:rPr>
          <w:rStyle w:val="lev"/>
        </w:rPr>
      </w:pPr>
      <w:r>
        <w:rPr>
          <w:rStyle w:val="lev"/>
        </w:rPr>
        <w:br w:type="page"/>
      </w:r>
    </w:p>
    <w:p w:rsidR="00300589" w:rsidRDefault="00300589" w:rsidP="000B23F3">
      <w:pPr>
        <w:rPr>
          <w:rStyle w:val="lev"/>
        </w:rPr>
      </w:pPr>
      <w:r w:rsidRPr="00300589">
        <w:rPr>
          <w:rStyle w:val="lev"/>
        </w:rPr>
        <w:lastRenderedPageBreak/>
        <w:t>Bateau Coulé</w:t>
      </w:r>
    </w:p>
    <w:p w:rsidR="00300589" w:rsidRDefault="00300589" w:rsidP="000B23F3">
      <w:pPr>
        <w:rPr>
          <w:rStyle w:val="lev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00589" w:rsidTr="0020322C">
        <w:tc>
          <w:tcPr>
            <w:tcW w:w="4530" w:type="dxa"/>
            <w:shd w:val="pct15" w:color="auto" w:fill="auto"/>
          </w:tcPr>
          <w:p w:rsidR="00300589" w:rsidRDefault="00300589" w:rsidP="00300589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300589" w:rsidRDefault="00300589" w:rsidP="00300589">
            <w:r>
              <w:t>Réaction de l’application</w:t>
            </w:r>
          </w:p>
        </w:tc>
      </w:tr>
      <w:tr w:rsidR="00300589" w:rsidTr="0020322C">
        <w:tc>
          <w:tcPr>
            <w:tcW w:w="4530" w:type="dxa"/>
          </w:tcPr>
          <w:p w:rsidR="00300589" w:rsidRDefault="00300589" w:rsidP="00300589">
            <w:r>
              <w:t>C’est au tour du joueur « A »</w:t>
            </w:r>
          </w:p>
        </w:tc>
        <w:tc>
          <w:tcPr>
            <w:tcW w:w="4530" w:type="dxa"/>
          </w:tcPr>
          <w:p w:rsidR="00300589" w:rsidRDefault="00300589" w:rsidP="00300589"/>
        </w:tc>
      </w:tr>
      <w:tr w:rsidR="00300589" w:rsidTr="0020322C">
        <w:tc>
          <w:tcPr>
            <w:tcW w:w="4530" w:type="dxa"/>
          </w:tcPr>
          <w:p w:rsidR="00300589" w:rsidRDefault="00300589" w:rsidP="00300589">
            <w:r>
              <w:t>Le joueur « A » clique sur une case, un bateau du joueur « B » s’y trouve</w:t>
            </w:r>
          </w:p>
        </w:tc>
        <w:tc>
          <w:tcPr>
            <w:tcW w:w="4530" w:type="dxa"/>
          </w:tcPr>
          <w:p w:rsidR="00300589" w:rsidRDefault="00300589" w:rsidP="00300589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AA569C" w:rsidRDefault="00300589" w:rsidP="00AA569C">
            <w:r>
              <w:t>On vérifie si le joueur « B » a toujours des bateaux.</w:t>
            </w:r>
            <w:r w:rsidR="00AA569C">
              <w:t xml:space="preserve"> </w:t>
            </w:r>
          </w:p>
          <w:p w:rsidR="00AA569C" w:rsidRDefault="00AA569C" w:rsidP="00AA569C">
            <w:r>
              <w:t>Si oui c’est au joueur B de jouer</w:t>
            </w:r>
          </w:p>
          <w:p w:rsidR="00AA569C" w:rsidRDefault="00AA569C" w:rsidP="00AA569C">
            <w:r>
              <w:t>Si non le joueur « A » a gagné</w:t>
            </w:r>
          </w:p>
          <w:p w:rsidR="00300589" w:rsidRDefault="00300589" w:rsidP="00300589"/>
        </w:tc>
      </w:tr>
      <w:tr w:rsidR="00AA569C" w:rsidTr="0020322C">
        <w:tc>
          <w:tcPr>
            <w:tcW w:w="4530" w:type="dxa"/>
          </w:tcPr>
          <w:p w:rsidR="00AA569C" w:rsidRDefault="00AA569C" w:rsidP="00300589">
            <w:r>
              <w:t>C’est au tour du joueur « B</w:t>
            </w:r>
            <w:r>
              <w:t> »</w:t>
            </w:r>
          </w:p>
        </w:tc>
        <w:tc>
          <w:tcPr>
            <w:tcW w:w="4530" w:type="dxa"/>
          </w:tcPr>
          <w:p w:rsidR="00AA569C" w:rsidRDefault="004E09B7" w:rsidP="004E09B7">
            <w:r>
              <w:t xml:space="preserve">Un message </w:t>
            </w:r>
            <w:r>
              <w:t xml:space="preserve">« </w:t>
            </w:r>
            <w:r>
              <w:t>bateau X est coulé</w:t>
            </w:r>
            <w:r>
              <w:t> »</w:t>
            </w:r>
            <w:r>
              <w:t xml:space="preserve"> est affiché sur l’écran du joueur « B » </w:t>
            </w:r>
          </w:p>
        </w:tc>
      </w:tr>
    </w:tbl>
    <w:p w:rsidR="000B23F3" w:rsidRPr="00300589" w:rsidRDefault="00D45760" w:rsidP="000B23F3">
      <w:pPr>
        <w:rPr>
          <w:rStyle w:val="lev"/>
        </w:rPr>
      </w:pPr>
      <w:r w:rsidRPr="00300589">
        <w:rPr>
          <w:rStyle w:val="lev"/>
        </w:rPr>
        <w:br w:type="page"/>
      </w:r>
    </w:p>
    <w:p w:rsidR="00D45760" w:rsidRDefault="00AA0785" w:rsidP="00D45760">
      <w:pPr>
        <w:pStyle w:val="Titre2"/>
      </w:pPr>
      <w:bookmarkStart w:id="11" w:name="_Toc71691012"/>
      <w:bookmarkStart w:id="12" w:name="_Toc531097767"/>
      <w:r w:rsidRPr="00791020">
        <w:lastRenderedPageBreak/>
        <w:t>Stratégie de test</w:t>
      </w:r>
      <w:bookmarkEnd w:id="11"/>
      <w:bookmarkEnd w:id="12"/>
    </w:p>
    <w:p w:rsidR="001319E3" w:rsidRPr="001319E3" w:rsidRDefault="001319E3" w:rsidP="001319E3">
      <w:pPr>
        <w:pStyle w:val="Titre3"/>
      </w:pPr>
      <w:bookmarkStart w:id="13" w:name="_Toc531097768"/>
      <w:r>
        <w:t>Tests</w:t>
      </w:r>
      <w:bookmarkEnd w:id="13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</w:t>
      </w:r>
      <w:proofErr w:type="spellStart"/>
      <w:proofErr w:type="gramStart"/>
      <w:r>
        <w:t>est.ce</w:t>
      </w:r>
      <w:proofErr w:type="spellEnd"/>
      <w:proofErr w:type="gramEnd"/>
      <w:r>
        <w:t xml:space="preserve">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4" w:name="_Toc531097769"/>
      <w:r>
        <w:t>Testeurs</w:t>
      </w:r>
      <w:bookmarkEnd w:id="14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</w:t>
      </w:r>
      <w:r w:rsidR="0021474F">
        <w:t>auquel</w:t>
      </w:r>
      <w:bookmarkStart w:id="15" w:name="_GoBack"/>
      <w:bookmarkEnd w:id="15"/>
      <w:r>
        <w:t xml:space="preserve">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6" w:name="_Toc531097770"/>
      <w:r w:rsidRPr="00791020">
        <w:t>Planification</w:t>
      </w:r>
      <w:bookmarkEnd w:id="16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7" w:name="_Toc531097771"/>
      <w:r>
        <w:t>Implémentation</w:t>
      </w:r>
      <w:bookmarkEnd w:id="17"/>
    </w:p>
    <w:p w:rsidR="00F028FF" w:rsidRDefault="00F028FF" w:rsidP="0077130D">
      <w:pPr>
        <w:pStyle w:val="Titre2"/>
      </w:pPr>
      <w:bookmarkStart w:id="18" w:name="_Toc25553314"/>
      <w:bookmarkStart w:id="19" w:name="_Toc71691019"/>
      <w:bookmarkStart w:id="20" w:name="_Toc531097772"/>
      <w:bookmarkStart w:id="21" w:name="_Toc25553317"/>
      <w:bookmarkStart w:id="22" w:name="_Toc71691022"/>
      <w:bookmarkStart w:id="23" w:name="_Ref254352701"/>
      <w:r w:rsidRPr="00791020">
        <w:t>Dossier de conception</w:t>
      </w:r>
      <w:bookmarkEnd w:id="18"/>
      <w:bookmarkEnd w:id="19"/>
      <w:bookmarkEnd w:id="20"/>
    </w:p>
    <w:p w:rsidR="007E0AF8" w:rsidRDefault="007E0AF8" w:rsidP="007E0AF8">
      <w:pPr>
        <w:pStyle w:val="Titre3"/>
      </w:pPr>
      <w:bookmarkStart w:id="24" w:name="_Toc531097773"/>
      <w:r>
        <w:t>Logiciels utilisés</w:t>
      </w:r>
      <w:bookmarkEnd w:id="24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5" w:name="_Toc531097774"/>
      <w:r>
        <w:lastRenderedPageBreak/>
        <w:t>Diagramme UML</w:t>
      </w:r>
      <w:bookmarkEnd w:id="25"/>
    </w:p>
    <w:p w:rsidR="00DD7285" w:rsidRPr="00DD7285" w:rsidRDefault="00DD7285" w:rsidP="00DD7285">
      <w:r>
        <w:t xml:space="preserve">Ce diagramme représente </w:t>
      </w:r>
      <w:proofErr w:type="gramStart"/>
      <w:r>
        <w:t>les différentes classes nécessaire</w:t>
      </w:r>
      <w:proofErr w:type="gramEnd"/>
      <w:r>
        <w:t xml:space="preserve"> au programme</w:t>
      </w:r>
      <w:r w:rsidR="0065537D">
        <w:t>.</w:t>
      </w:r>
    </w:p>
    <w:p w:rsidR="007E0AF8" w:rsidRPr="007E0AF8" w:rsidRDefault="00300589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26" w:name="_Toc531097775"/>
      <w:r w:rsidRPr="00791020">
        <w:lastRenderedPageBreak/>
        <w:t>Dossier de réalisation</w:t>
      </w:r>
      <w:bookmarkEnd w:id="21"/>
      <w:bookmarkEnd w:id="22"/>
      <w:bookmarkEnd w:id="23"/>
      <w:bookmarkEnd w:id="26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bookmarkStart w:id="27" w:name="_Toc531097776"/>
      <w:r w:rsidRPr="00791020">
        <w:t>Dossier de réalisation</w:t>
      </w:r>
      <w:bookmarkEnd w:id="27"/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bookmarkStart w:id="28" w:name="_Toc531097777"/>
      <w:r>
        <w:t>Fichiers</w:t>
      </w:r>
      <w:bookmarkEnd w:id="28"/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9" w:name="_Toc25553321"/>
      <w:bookmarkStart w:id="30" w:name="_Toc71691025"/>
      <w:bookmarkStart w:id="31" w:name="_Toc531097778"/>
      <w:r w:rsidRPr="00791020">
        <w:t>Description des test</w:t>
      </w:r>
      <w:bookmarkEnd w:id="29"/>
      <w:r w:rsidRPr="00791020">
        <w:t>s effectués</w:t>
      </w:r>
      <w:bookmarkEnd w:id="30"/>
      <w:bookmarkEnd w:id="31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32" w:name="_Toc25553322"/>
      <w:bookmarkStart w:id="33" w:name="_Toc71691026"/>
      <w:bookmarkStart w:id="34" w:name="_Toc531097779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1097780"/>
      <w:r w:rsidRPr="00791020">
        <w:t>Dossier d'archivage</w:t>
      </w:r>
      <w:bookmarkEnd w:id="36"/>
      <w:bookmarkEnd w:id="37"/>
      <w:bookmarkEnd w:id="38"/>
      <w:bookmarkEnd w:id="39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1097781"/>
      <w:r w:rsidRPr="0049659A">
        <w:lastRenderedPageBreak/>
        <w:t>M</w:t>
      </w:r>
      <w:r w:rsidR="00684B3D">
        <w:t>ise en service</w:t>
      </w:r>
      <w:bookmarkEnd w:id="40"/>
      <w:bookmarkEnd w:id="41"/>
    </w:p>
    <w:p w:rsidR="00CF39A8" w:rsidRDefault="002E5622" w:rsidP="0077130D">
      <w:pPr>
        <w:pStyle w:val="Titre2"/>
      </w:pPr>
      <w:bookmarkStart w:id="42" w:name="_Toc531097782"/>
      <w:r>
        <w:t>Installation</w:t>
      </w:r>
      <w:bookmarkEnd w:id="42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43" w:name="_Toc531097783"/>
      <w:r w:rsidRPr="00791020">
        <w:t>Rapport de mise en service</w:t>
      </w:r>
      <w:bookmarkEnd w:id="43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44" w:name="_Toc25553326"/>
      <w:bookmarkStart w:id="45" w:name="_Toc71691029"/>
      <w:bookmarkStart w:id="46" w:name="_Toc531097784"/>
      <w:r w:rsidRPr="00791020">
        <w:t>Liste des documents</w:t>
      </w:r>
      <w:bookmarkEnd w:id="44"/>
      <w:r w:rsidRPr="00791020">
        <w:t xml:space="preserve"> fournis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1097785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1097786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77130D">
      <w:pPr>
        <w:pStyle w:val="Titre2"/>
      </w:pPr>
      <w:bookmarkStart w:id="52" w:name="_Toc71703265"/>
      <w:bookmarkStart w:id="53" w:name="_Toc531097787"/>
      <w:r w:rsidRPr="00791020"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54" w:name="_Toc25553330"/>
      <w:bookmarkStart w:id="55" w:name="_Toc71703266"/>
      <w:bookmarkStart w:id="56" w:name="_Toc531097788"/>
      <w:r w:rsidRPr="00791020">
        <w:t>Journal de bord de chaque participant</w:t>
      </w:r>
      <w:bookmarkEnd w:id="54"/>
      <w:bookmarkEnd w:id="55"/>
      <w:bookmarkEnd w:id="5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7" w:name="_Toc25553332"/>
      <w:bookmarkStart w:id="58" w:name="_Toc71703268"/>
      <w:bookmarkStart w:id="59" w:name="_Toc531097789"/>
      <w:r w:rsidRPr="00791020">
        <w:lastRenderedPageBreak/>
        <w:t>Manuel d'Utilisation</w:t>
      </w:r>
      <w:bookmarkEnd w:id="57"/>
      <w:bookmarkEnd w:id="58"/>
      <w:bookmarkEnd w:id="59"/>
    </w:p>
    <w:p w:rsidR="00CF39A8" w:rsidRDefault="00281546" w:rsidP="0077130D">
      <w:pPr>
        <w:pStyle w:val="Titre2"/>
      </w:pPr>
      <w:bookmarkStart w:id="60" w:name="_Toc71703270"/>
      <w:bookmarkStart w:id="61" w:name="_Toc531097790"/>
      <w:bookmarkStart w:id="62" w:name="_Toc25553334"/>
      <w:r w:rsidRPr="00791020">
        <w:t>A</w:t>
      </w:r>
      <w:r w:rsidR="00AA0785" w:rsidRPr="00791020">
        <w:t>rchives du projet</w:t>
      </w:r>
      <w:bookmarkEnd w:id="60"/>
      <w:bookmarkEnd w:id="61"/>
      <w:r w:rsidR="00AA0785" w:rsidRPr="00791020">
        <w:t xml:space="preserve"> </w:t>
      </w:r>
      <w:bookmarkEnd w:id="62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72" w:rsidRDefault="00D73772">
      <w:r>
        <w:separator/>
      </w:r>
    </w:p>
  </w:endnote>
  <w:endnote w:type="continuationSeparator" w:id="0">
    <w:p w:rsidR="00D73772" w:rsidRDefault="00D7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1474F">
      <w:rPr>
        <w:rStyle w:val="Numrodepage"/>
        <w:noProof/>
      </w:rPr>
      <w:t>12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300589">
      <w:rPr>
        <w:noProof/>
      </w:rPr>
      <w:t>7 décembre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72" w:rsidRDefault="00D73772">
      <w:r>
        <w:separator/>
      </w:r>
    </w:p>
  </w:footnote>
  <w:footnote w:type="continuationSeparator" w:id="0">
    <w:p w:rsidR="00D73772" w:rsidRDefault="00D7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1474F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89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E09B7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84691"/>
    <w:rsid w:val="00992256"/>
    <w:rsid w:val="0099499C"/>
    <w:rsid w:val="009D603B"/>
    <w:rsid w:val="009F64CF"/>
    <w:rsid w:val="00A3062E"/>
    <w:rsid w:val="00A47842"/>
    <w:rsid w:val="00AA0785"/>
    <w:rsid w:val="00AA569C"/>
    <w:rsid w:val="00AC49C9"/>
    <w:rsid w:val="00AD534F"/>
    <w:rsid w:val="00AE470C"/>
    <w:rsid w:val="00B263B7"/>
    <w:rsid w:val="00B31079"/>
    <w:rsid w:val="00B3142F"/>
    <w:rsid w:val="00B673BB"/>
    <w:rsid w:val="00BA0FF8"/>
    <w:rsid w:val="00BE7586"/>
    <w:rsid w:val="00C012B2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5760"/>
    <w:rsid w:val="00D73772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894C9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C4C1-87C1-42DA-A4E6-8D8A3FF8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1974</Words>
  <Characters>10862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12811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USAN Sacha</cp:lastModifiedBy>
  <cp:revision>28</cp:revision>
  <cp:lastPrinted>2004-09-01T12:58:00Z</cp:lastPrinted>
  <dcterms:created xsi:type="dcterms:W3CDTF">2018-11-23T08:20:00Z</dcterms:created>
  <dcterms:modified xsi:type="dcterms:W3CDTF">2018-12-07T08:16:00Z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