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E4E1" w14:textId="06C963BD" w:rsidR="00672559" w:rsidRDefault="00AB4D9A" w:rsidP="00AF23F9">
      <w:pPr>
        <w:pStyle w:val="Titre1"/>
      </w:pPr>
      <w:r w:rsidRPr="005C585E">
        <w:t>C</w:t>
      </w:r>
      <w:r w:rsidR="00AF23F9">
        <w:t>5.3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AF23F9" w:rsidRPr="00AF23F9">
        <w:t>Accompagner les utilisateurs dans la mise en place d’un service</w:t>
      </w:r>
    </w:p>
    <w:p w14:paraId="7703F92A" w14:textId="4BCD8B35" w:rsidR="00CD00EC" w:rsidRDefault="00CD00EC" w:rsidP="00CD00EC">
      <w:r>
        <w:t xml:space="preserve">Grâce aux cours sur les systèmes d’informations, nous avons pu pratiquer la </w:t>
      </w:r>
      <w:r w:rsidRPr="00CD00EC">
        <w:rPr>
          <w:b/>
          <w:bCs/>
        </w:rPr>
        <w:t>création de documentation</w:t>
      </w:r>
      <w:r w:rsidR="00610098">
        <w:rPr>
          <w:b/>
          <w:bCs/>
        </w:rPr>
        <w:t>s</w:t>
      </w:r>
      <w:r>
        <w:t xml:space="preserve"> à l’intention d’utilisateurs</w:t>
      </w:r>
      <w:r w:rsidR="00EA6974">
        <w:t>, où nous expliquons, pas-à-pas, toutes les étapes de la mise en place d’un service.</w:t>
      </w:r>
      <w:r w:rsidR="00610098">
        <w:t xml:space="preserve"> </w:t>
      </w:r>
    </w:p>
    <w:p w14:paraId="276245E6" w14:textId="7A9BEFE5" w:rsidR="004826D4" w:rsidRDefault="004826D4" w:rsidP="00CD00EC">
      <w:r w:rsidRPr="00CB52F0">
        <w:t xml:space="preserve">Nous avons commencé par une documentation sur </w:t>
      </w:r>
      <w:r w:rsidR="00CB52F0" w:rsidRPr="00CB52F0">
        <w:t>la virtualisation d’un NAS (</w:t>
      </w:r>
      <w:r w:rsidR="00CB52F0">
        <w:t>« </w:t>
      </w:r>
      <w:r w:rsidR="00CB52F0" w:rsidRPr="00CB52F0">
        <w:rPr>
          <w:i/>
          <w:iCs/>
        </w:rPr>
        <w:t xml:space="preserve">Network </w:t>
      </w:r>
      <w:proofErr w:type="spellStart"/>
      <w:r w:rsidR="00CB52F0" w:rsidRPr="00CB52F0">
        <w:rPr>
          <w:i/>
          <w:iCs/>
        </w:rPr>
        <w:t>Attached</w:t>
      </w:r>
      <w:proofErr w:type="spellEnd"/>
      <w:r w:rsidR="00CB52F0" w:rsidRPr="00CB52F0">
        <w:rPr>
          <w:i/>
          <w:iCs/>
        </w:rPr>
        <w:t xml:space="preserve"> Storage</w:t>
      </w:r>
      <w:r w:rsidR="00CB52F0" w:rsidRPr="00CB52F0">
        <w:rPr>
          <w:i/>
          <w:iCs/>
        </w:rPr>
        <w:t> : un</w:t>
      </w:r>
      <w:r w:rsidR="00CB52F0" w:rsidRPr="00CB52F0">
        <w:rPr>
          <w:i/>
          <w:iCs/>
        </w:rPr>
        <w:t xml:space="preserve"> appareil de stockage autonome qui peut se connecter à votre réseau privé ou professionnel via Internet. Il permet de sauvegarder, partager, sécuriser mais aussi de faciliter l’accès à vos fichiers depuis plusieurs appareils</w:t>
      </w:r>
      <w:r w:rsidR="00CB52F0">
        <w:rPr>
          <w:rStyle w:val="Appelnotedebasdep"/>
        </w:rPr>
        <w:footnoteReference w:id="1"/>
      </w:r>
      <w:r w:rsidR="00CB52F0" w:rsidRPr="00CB52F0">
        <w:t> ». L’objectif</w:t>
      </w:r>
      <w:r w:rsidR="00CB52F0">
        <w:t xml:space="preserve"> était de reprendre tous les concepts vu au début de l’année scolaire. Cela passait par le téléchargement d’un hyperviseur, l’installation d’une machine virtuelle, la configuration réseaux de celle-ci sur un domaine local en passant par la modification du fichier hosts. L’objectif final était d’avoir une réplique, sur un réseau local, d’un NAS </w:t>
      </w:r>
      <w:r w:rsidR="009113D5">
        <w:t>tout en découvrant le principe de gestion des accès utilisateurs et des droits :</w:t>
      </w:r>
    </w:p>
    <w:p w14:paraId="4B4F22BF" w14:textId="61464360" w:rsidR="00DB2D6A" w:rsidRDefault="00DB2D6A" w:rsidP="00DB2D6A">
      <w:pPr>
        <w:jc w:val="center"/>
      </w:pPr>
      <w:r w:rsidRPr="00DB2D6A">
        <w:drawing>
          <wp:inline distT="0" distB="0" distL="0" distR="0" wp14:anchorId="4DF24533" wp14:editId="2BBFCB69">
            <wp:extent cx="3181350" cy="4514156"/>
            <wp:effectExtent l="19050" t="19050" r="19050" b="203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95" cy="454118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39835" w14:textId="1CD834FA" w:rsidR="00DB2D6A" w:rsidRDefault="00DB2D6A" w:rsidP="00DB2D6A">
      <w:pPr>
        <w:pStyle w:val="Sansinterligne"/>
      </w:pPr>
      <w:r>
        <w:t>Documentation sur le déploiement d’un NAS</w:t>
      </w:r>
    </w:p>
    <w:p w14:paraId="2D752C1E" w14:textId="1E9B5715" w:rsidR="0047083C" w:rsidRDefault="00827E1F" w:rsidP="0047083C">
      <w:r>
        <w:lastRenderedPageBreak/>
        <w:t xml:space="preserve">Pendant une introduction à la cybersécurité, nous avons évoqué les différents risques que pouvaient rencontrer les utilisateurs. Nous avons effectué une documentation sur les risques </w:t>
      </w:r>
      <w:r w:rsidR="008F2AC7">
        <w:t>que</w:t>
      </w:r>
      <w:r>
        <w:t xml:space="preserve"> représentent les attaques « MITM</w:t>
      </w:r>
      <w:r>
        <w:rPr>
          <w:rStyle w:val="Appelnotedebasdep"/>
        </w:rPr>
        <w:footnoteReference w:id="2"/>
      </w:r>
      <w:r>
        <w:t>, « les attaques de l’homme du milieu ».</w:t>
      </w:r>
      <w:r w:rsidR="00B91CE1">
        <w:t xml:space="preserve"> Dans ma documentation à </w:t>
      </w:r>
      <w:r w:rsidR="008C2100">
        <w:t>destination</w:t>
      </w:r>
      <w:r w:rsidR="00B91CE1">
        <w:t xml:space="preserve"> des utilisateurs, j’ai commencé par </w:t>
      </w:r>
      <w:r w:rsidR="008C2100">
        <w:t>expliquer</w:t>
      </w:r>
      <w:r w:rsidR="00B91CE1">
        <w:t xml:space="preserve"> en quoi cela consistait d’un point de vue « technique », sur quoi les pirates se bas</w:t>
      </w:r>
      <w:r w:rsidR="00444BD5">
        <w:t>er</w:t>
      </w:r>
      <w:r w:rsidR="00B91CE1">
        <w:t>. Puis, dans une deuxième partie</w:t>
      </w:r>
      <w:r w:rsidR="00816AE3">
        <w:t>,</w:t>
      </w:r>
      <w:r w:rsidR="00B91CE1">
        <w:t xml:space="preserve"> j’ai démontré la facilité que cela était d’intercepter des informations personnelles sur des réseaux non sécurisé comme des connexions en HTTP ou FTP.</w:t>
      </w:r>
    </w:p>
    <w:p w14:paraId="47F5E32B" w14:textId="08BF31F7" w:rsidR="006263C1" w:rsidRDefault="006263C1" w:rsidP="006263C1">
      <w:pPr>
        <w:jc w:val="center"/>
      </w:pPr>
      <w:r w:rsidRPr="006263C1">
        <w:drawing>
          <wp:inline distT="0" distB="0" distL="0" distR="0" wp14:anchorId="472A37D4" wp14:editId="1F047312">
            <wp:extent cx="4286250" cy="43292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597" cy="43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7B97" w14:textId="062AB56B" w:rsidR="006263C1" w:rsidRDefault="006263C1" w:rsidP="006263C1">
      <w:pPr>
        <w:pStyle w:val="Sansinterligne"/>
      </w:pPr>
      <w:r>
        <w:t>Documentation sur les attaques MITM</w:t>
      </w:r>
    </w:p>
    <w:p w14:paraId="2F7E7D6C" w14:textId="23803D5C" w:rsidR="006263C1" w:rsidRDefault="00752122" w:rsidP="00752122">
      <w:r>
        <w:t>Dernièrement, nous avons eu l’</w:t>
      </w:r>
      <w:r w:rsidR="00444BD5">
        <w:t>occasion</w:t>
      </w:r>
      <w:r>
        <w:t xml:space="preserve"> de rédiger deux documentations sur le déploiement de deux services : </w:t>
      </w:r>
      <w:r w:rsidR="00444BD5" w:rsidRPr="007E6CE3">
        <w:rPr>
          <w:b/>
          <w:bCs/>
        </w:rPr>
        <w:t>Next Cloud</w:t>
      </w:r>
      <w:r>
        <w:t xml:space="preserve"> et </w:t>
      </w:r>
      <w:r w:rsidRPr="007E6CE3">
        <w:rPr>
          <w:b/>
          <w:bCs/>
        </w:rPr>
        <w:t>GLPI</w:t>
      </w:r>
      <w:r>
        <w:t>. Ce sont deux plateformes très populaire</w:t>
      </w:r>
      <w:r w:rsidR="002123AC">
        <w:t>s</w:t>
      </w:r>
      <w:r>
        <w:t xml:space="preserve"> en entreprises. </w:t>
      </w:r>
      <w:r w:rsidR="00444BD5">
        <w:t>Next Cloud</w:t>
      </w:r>
      <w:r>
        <w:t xml:space="preserve"> est une solution de « Cloud computing </w:t>
      </w:r>
      <w:r>
        <w:rPr>
          <w:rStyle w:val="Appelnotedebasdep"/>
        </w:rPr>
        <w:footnoteReference w:id="3"/>
      </w:r>
      <w:r>
        <w:t>»</w:t>
      </w:r>
      <w:r w:rsidR="008F6532">
        <w:t xml:space="preserve"> et GLPI un service de gestion de parc informatique. Sur ce dernier, nous avons pu expliquer, au travers de la documentation, comme</w:t>
      </w:r>
      <w:r w:rsidR="002123AC">
        <w:t>nt</w:t>
      </w:r>
      <w:r w:rsidR="008F6532">
        <w:t xml:space="preserve"> fonctionne</w:t>
      </w:r>
      <w:r w:rsidR="002123AC">
        <w:t>nt</w:t>
      </w:r>
      <w:r w:rsidR="008F6532">
        <w:t xml:space="preserve"> les « tâches planifié</w:t>
      </w:r>
      <w:r w:rsidR="00686F4C">
        <w:t>e</w:t>
      </w:r>
      <w:r w:rsidR="008F6532">
        <w:t>s » et les remontées d’informations au travers « </w:t>
      </w:r>
      <w:r w:rsidR="008F6532" w:rsidRPr="007E6CE3">
        <w:rPr>
          <w:b/>
          <w:bCs/>
        </w:rPr>
        <w:t>d’agent</w:t>
      </w:r>
      <w:r w:rsidR="008F6532">
        <w:t> » comme ceux utilisés par un Framework de GLPI, « </w:t>
      </w:r>
      <w:r w:rsidR="008F6532" w:rsidRPr="007E6CE3">
        <w:rPr>
          <w:b/>
          <w:bCs/>
        </w:rPr>
        <w:t>Fusion Inventory</w:t>
      </w:r>
      <w:r w:rsidR="008F6532">
        <w:t> ».</w:t>
      </w:r>
    </w:p>
    <w:p w14:paraId="28BB8F43" w14:textId="4210189B" w:rsidR="007A06B9" w:rsidRDefault="007A06B9" w:rsidP="007A06B9">
      <w:pPr>
        <w:jc w:val="center"/>
      </w:pPr>
    </w:p>
    <w:p w14:paraId="7AF822EB" w14:textId="7E8CC626" w:rsidR="007A06B9" w:rsidRDefault="007A06B9" w:rsidP="007A06B9">
      <w:pPr>
        <w:jc w:val="center"/>
      </w:pPr>
      <w:r w:rsidRPr="007A06B9">
        <w:lastRenderedPageBreak/>
        <w:drawing>
          <wp:inline distT="0" distB="0" distL="0" distR="0" wp14:anchorId="6CED7810" wp14:editId="501F17C6">
            <wp:extent cx="4572000" cy="381952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t="4751"/>
                    <a:stretch/>
                  </pic:blipFill>
                  <pic:spPr bwMode="auto">
                    <a:xfrm>
                      <a:off x="0" y="0"/>
                      <a:ext cx="4572638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A9D2" w14:textId="43C973F6" w:rsidR="007A06B9" w:rsidRDefault="007A06B9" w:rsidP="007A06B9">
      <w:pPr>
        <w:pStyle w:val="Sansinterligne"/>
      </w:pPr>
      <w:r>
        <w:t xml:space="preserve">Extrait de la documentation sur </w:t>
      </w:r>
      <w:proofErr w:type="spellStart"/>
      <w:r>
        <w:t>NextCloud</w:t>
      </w:r>
      <w:proofErr w:type="spellEnd"/>
    </w:p>
    <w:p w14:paraId="22726F26" w14:textId="730C3A22" w:rsidR="007A06B9" w:rsidRDefault="007A06B9" w:rsidP="007A06B9">
      <w:pPr>
        <w:pStyle w:val="Sansinterligne"/>
      </w:pPr>
      <w:r w:rsidRPr="007A06B9">
        <w:drawing>
          <wp:inline distT="0" distB="0" distL="0" distR="0" wp14:anchorId="37B53133" wp14:editId="3ED1007B">
            <wp:extent cx="3381375" cy="37585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801" cy="37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272F" w14:textId="22902822" w:rsidR="007A06B9" w:rsidRDefault="007A06B9" w:rsidP="007A06B9">
      <w:pPr>
        <w:pStyle w:val="Sansinterligne"/>
      </w:pPr>
      <w:r>
        <w:t>Documentation sur GLPI</w:t>
      </w:r>
    </w:p>
    <w:sectPr w:rsidR="007A06B9" w:rsidSect="00EE2B46">
      <w:headerReference w:type="default" r:id="rId11"/>
      <w:footerReference w:type="default" r:id="rId12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CE16" w14:textId="77777777" w:rsidR="00E862C1" w:rsidRDefault="00E862C1" w:rsidP="0081270A">
      <w:pPr>
        <w:spacing w:after="0" w:line="240" w:lineRule="auto"/>
      </w:pPr>
      <w:r>
        <w:separator/>
      </w:r>
    </w:p>
  </w:endnote>
  <w:endnote w:type="continuationSeparator" w:id="0">
    <w:p w14:paraId="20212B77" w14:textId="77777777" w:rsidR="00E862C1" w:rsidRDefault="00E862C1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A512" w14:textId="77777777" w:rsidR="00E862C1" w:rsidRDefault="00E862C1" w:rsidP="0081270A">
      <w:pPr>
        <w:spacing w:after="0" w:line="240" w:lineRule="auto"/>
      </w:pPr>
      <w:r>
        <w:separator/>
      </w:r>
    </w:p>
  </w:footnote>
  <w:footnote w:type="continuationSeparator" w:id="0">
    <w:p w14:paraId="263F8C0B" w14:textId="77777777" w:rsidR="00E862C1" w:rsidRDefault="00E862C1" w:rsidP="0081270A">
      <w:pPr>
        <w:spacing w:after="0" w:line="240" w:lineRule="auto"/>
      </w:pPr>
      <w:r>
        <w:continuationSeparator/>
      </w:r>
    </w:p>
  </w:footnote>
  <w:footnote w:id="1">
    <w:p w14:paraId="2FEDD4DE" w14:textId="42490369" w:rsidR="00CB52F0" w:rsidRDefault="00CB52F0">
      <w:pPr>
        <w:pStyle w:val="Notedebasdepage"/>
      </w:pPr>
      <w:r>
        <w:rPr>
          <w:rStyle w:val="Appelnotedebasdep"/>
        </w:rPr>
        <w:footnoteRef/>
      </w:r>
      <w:r>
        <w:t xml:space="preserve"> Définition d’un NAS, </w:t>
      </w:r>
      <w:r w:rsidRPr="00CB52F0">
        <w:t>https://macway.com/b</w:t>
      </w:r>
      <w:r>
        <w:t>log/nas</w:t>
      </w:r>
    </w:p>
  </w:footnote>
  <w:footnote w:id="2">
    <w:p w14:paraId="3B48ADC1" w14:textId="07169252" w:rsidR="00827E1F" w:rsidRDefault="00827E1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C51136">
        <w:t xml:space="preserve">Acronyme anglophone de </w:t>
      </w:r>
      <w:r w:rsidRPr="00C51136">
        <w:rPr>
          <w:i/>
          <w:iCs/>
        </w:rPr>
        <w:t>Man In The Middle </w:t>
      </w:r>
    </w:p>
  </w:footnote>
  <w:footnote w:id="3">
    <w:p w14:paraId="69B3663D" w14:textId="6E86C5B3" w:rsidR="00752122" w:rsidRDefault="0075212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52122">
        <w:t>La pratique consistant à fournir des services informatiques à distance, en les hébergeant dans un ou plusieurs centres de données externes plutôt que sur des serveurs dédiés sur place.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516C6B16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AF23F9">
            <w:rPr>
              <w:rFonts w:cs="Lato"/>
              <w:b/>
              <w:bCs/>
            </w:rPr>
            <w:t>5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AF23F9">
            <w:rPr>
              <w:rFonts w:cs="Lato"/>
            </w:rPr>
            <w:t>Mettre à disposition des utilisateurs un service informatique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696E"/>
    <w:rsid w:val="000738F7"/>
    <w:rsid w:val="000E4D50"/>
    <w:rsid w:val="0010176E"/>
    <w:rsid w:val="00101FB4"/>
    <w:rsid w:val="0014735F"/>
    <w:rsid w:val="00150D7C"/>
    <w:rsid w:val="00163BBB"/>
    <w:rsid w:val="0017037D"/>
    <w:rsid w:val="001A465B"/>
    <w:rsid w:val="001B31FD"/>
    <w:rsid w:val="002123AC"/>
    <w:rsid w:val="00224BBB"/>
    <w:rsid w:val="00227F77"/>
    <w:rsid w:val="00246886"/>
    <w:rsid w:val="002714FE"/>
    <w:rsid w:val="00284B01"/>
    <w:rsid w:val="002C6527"/>
    <w:rsid w:val="002F52BF"/>
    <w:rsid w:val="00300EEF"/>
    <w:rsid w:val="00315493"/>
    <w:rsid w:val="003660B0"/>
    <w:rsid w:val="003D5708"/>
    <w:rsid w:val="003E7013"/>
    <w:rsid w:val="00415715"/>
    <w:rsid w:val="0042668E"/>
    <w:rsid w:val="0043411A"/>
    <w:rsid w:val="00444BD5"/>
    <w:rsid w:val="0047083C"/>
    <w:rsid w:val="004826D4"/>
    <w:rsid w:val="00532E08"/>
    <w:rsid w:val="00576DCA"/>
    <w:rsid w:val="005A3B59"/>
    <w:rsid w:val="005C585E"/>
    <w:rsid w:val="005D25EF"/>
    <w:rsid w:val="005D7B3A"/>
    <w:rsid w:val="005E19A0"/>
    <w:rsid w:val="005E4865"/>
    <w:rsid w:val="00610098"/>
    <w:rsid w:val="00625849"/>
    <w:rsid w:val="006263C1"/>
    <w:rsid w:val="00672559"/>
    <w:rsid w:val="00686F4C"/>
    <w:rsid w:val="00687F8C"/>
    <w:rsid w:val="0069065E"/>
    <w:rsid w:val="0074283D"/>
    <w:rsid w:val="00752122"/>
    <w:rsid w:val="007A06B9"/>
    <w:rsid w:val="007B1924"/>
    <w:rsid w:val="007E5635"/>
    <w:rsid w:val="007E6CE3"/>
    <w:rsid w:val="0081270A"/>
    <w:rsid w:val="00813F7C"/>
    <w:rsid w:val="00816AE3"/>
    <w:rsid w:val="00827E1F"/>
    <w:rsid w:val="008404D6"/>
    <w:rsid w:val="00873E62"/>
    <w:rsid w:val="008A1086"/>
    <w:rsid w:val="008C2100"/>
    <w:rsid w:val="008C754E"/>
    <w:rsid w:val="008F2AC7"/>
    <w:rsid w:val="008F6532"/>
    <w:rsid w:val="009113D5"/>
    <w:rsid w:val="0091399C"/>
    <w:rsid w:val="00923077"/>
    <w:rsid w:val="00931FA8"/>
    <w:rsid w:val="009974A7"/>
    <w:rsid w:val="009B0E22"/>
    <w:rsid w:val="009B48AC"/>
    <w:rsid w:val="00A44222"/>
    <w:rsid w:val="00A7073C"/>
    <w:rsid w:val="00AB4D9A"/>
    <w:rsid w:val="00AD2E82"/>
    <w:rsid w:val="00AF0A7B"/>
    <w:rsid w:val="00AF23F9"/>
    <w:rsid w:val="00B47B01"/>
    <w:rsid w:val="00B53B65"/>
    <w:rsid w:val="00B6096E"/>
    <w:rsid w:val="00B83F30"/>
    <w:rsid w:val="00B91482"/>
    <w:rsid w:val="00B91CE1"/>
    <w:rsid w:val="00BA24B5"/>
    <w:rsid w:val="00C052D3"/>
    <w:rsid w:val="00C24F0C"/>
    <w:rsid w:val="00C51136"/>
    <w:rsid w:val="00C94953"/>
    <w:rsid w:val="00CB52F0"/>
    <w:rsid w:val="00CB7243"/>
    <w:rsid w:val="00CD00EC"/>
    <w:rsid w:val="00D63DB4"/>
    <w:rsid w:val="00D80385"/>
    <w:rsid w:val="00DB2D6A"/>
    <w:rsid w:val="00DC6629"/>
    <w:rsid w:val="00DE38DA"/>
    <w:rsid w:val="00E13556"/>
    <w:rsid w:val="00E66189"/>
    <w:rsid w:val="00E862C1"/>
    <w:rsid w:val="00EA6974"/>
    <w:rsid w:val="00EE2B46"/>
    <w:rsid w:val="00EF4CA5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CB52F0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52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52F0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52F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B5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E179-0A47-4538-B5CA-C7361298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25</cp:revision>
  <cp:lastPrinted>2022-04-16T15:58:00Z</cp:lastPrinted>
  <dcterms:created xsi:type="dcterms:W3CDTF">2022-04-18T20:17:00Z</dcterms:created>
  <dcterms:modified xsi:type="dcterms:W3CDTF">2022-04-18T20:39:00Z</dcterms:modified>
</cp:coreProperties>
</file>