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01776" w14:textId="77777777" w:rsidR="009C7B9F" w:rsidRDefault="009C7B9F" w:rsidP="006712FA">
      <w:pPr>
        <w:autoSpaceDE w:val="0"/>
        <w:autoSpaceDN w:val="0"/>
        <w:adjustRightInd w:val="0"/>
        <w:spacing w:after="240" w:line="240" w:lineRule="auto"/>
        <w:jc w:val="center"/>
        <w:rPr>
          <w:rFonts w:ascii="Helvetica Neue" w:hAnsi="Helvetica Neue" w:cs="Helvetica Neue"/>
          <w:color w:val="000000"/>
          <w:kern w:val="0"/>
          <w:sz w:val="29"/>
          <w:szCs w:val="29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9"/>
          <w:szCs w:val="29"/>
          <w:u w:val="single" w:color="000000"/>
        </w:rPr>
        <w:t>PROJET VIE JUIVE BM 13</w:t>
      </w:r>
    </w:p>
    <w:p w14:paraId="43D10340" w14:textId="77777777" w:rsidR="009C7B9F" w:rsidRDefault="009C7B9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Times-Roman" w:hAnsi="Times-Roman" w:cs="Times-Roman"/>
          <w:color w:val="000000"/>
          <w:kern w:val="0"/>
          <w:u w:color="000000"/>
        </w:rPr>
      </w:pPr>
    </w:p>
    <w:p w14:paraId="447691FB" w14:textId="4C92E828" w:rsidR="009C7B9F" w:rsidRDefault="009C7B9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  <w:t xml:space="preserve">Besoin de l’enfant </w:t>
      </w:r>
      <w:r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>: Nous partons du constat que l’enfant ne sait pas déchiffrer les sous- entendus/ faces cachées des textes de la Torah. </w:t>
      </w:r>
      <w:r w:rsidR="008F01A5"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 xml:space="preserve"> </w:t>
      </w:r>
      <w:r w:rsidR="003D0C2F"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 xml:space="preserve">En effet, ils </w:t>
      </w:r>
      <w:r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 xml:space="preserve">peuvent lire l’hébreu mais ne </w:t>
      </w:r>
      <w:r w:rsidR="003D0C2F"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>comprennent pas les nuances que la langue, ses formes et ses structures peuvent contenir ni l’influence qu’elles ont eu dans l’histoire du judaïsme.</w:t>
      </w:r>
    </w:p>
    <w:p w14:paraId="376C2EDE" w14:textId="77777777" w:rsidR="003D0C2F" w:rsidRDefault="003D0C2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71D5FB7F" w14:textId="76AF2004" w:rsidR="009C7B9F" w:rsidRDefault="009C7B9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  <w:t xml:space="preserve">Pilier </w:t>
      </w:r>
      <w:r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 xml:space="preserve">: Hébreu, Peuple, Israël  </w:t>
      </w:r>
    </w:p>
    <w:p w14:paraId="391E36D1" w14:textId="77777777" w:rsidR="009C7B9F" w:rsidRDefault="009C7B9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Times-Roman" w:hAnsi="Times-Roman" w:cs="Times-Roman"/>
          <w:color w:val="000000"/>
          <w:kern w:val="0"/>
          <w:u w:color="000000"/>
        </w:rPr>
      </w:pPr>
    </w:p>
    <w:p w14:paraId="5729B72E" w14:textId="3972DAF8" w:rsidR="009C7B9F" w:rsidRDefault="009C7B9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  <w:t xml:space="preserve">Thème </w:t>
      </w:r>
      <w:r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>: L’utilisation des nuances de l’écriture Hébreu pour approfondir la compréhension des textes de la Torah</w:t>
      </w:r>
      <w:r w:rsidR="003D0C2F"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 xml:space="preserve"> et son influence dans la construction du peuple juif.</w:t>
      </w:r>
    </w:p>
    <w:p w14:paraId="766555F2" w14:textId="77777777" w:rsidR="009C7B9F" w:rsidRDefault="009C7B9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Times-Roman" w:hAnsi="Times-Roman" w:cs="Times-Roman"/>
          <w:color w:val="000000"/>
          <w:kern w:val="0"/>
          <w:u w:color="000000"/>
        </w:rPr>
      </w:pPr>
    </w:p>
    <w:p w14:paraId="289F16E2" w14:textId="57F60727" w:rsidR="009C7B9F" w:rsidRDefault="009C7B9F" w:rsidP="00373131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</w:pPr>
      <w:r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  <w:t xml:space="preserve">Objectif </w:t>
      </w:r>
      <w:r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 xml:space="preserve">: Appréhender le langage hébreu </w:t>
      </w:r>
      <w:r w:rsidR="00373131"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 xml:space="preserve">comme un vecteur d’unité et de construction du peuple juif à travers la compréhension de ses </w:t>
      </w:r>
      <w:r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>sens cachés</w:t>
      </w:r>
      <w:r w:rsidR="003D0C2F"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 xml:space="preserve"> </w:t>
      </w:r>
      <w:r w:rsidR="00373131"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 xml:space="preserve">et l’utilisation des </w:t>
      </w:r>
      <w:r w:rsidR="003D0C2F"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>différents outils d’interprétations</w:t>
      </w:r>
      <w:r w:rsidR="00373131">
        <w:rPr>
          <w:rFonts w:ascii="Helvetica Neue" w:hAnsi="Helvetica Neue" w:cs="Helvetica Neue"/>
          <w:color w:val="000000"/>
          <w:kern w:val="0"/>
          <w:sz w:val="29"/>
          <w:szCs w:val="29"/>
          <w:u w:color="000000"/>
        </w:rPr>
        <w:t>.</w:t>
      </w:r>
    </w:p>
    <w:p w14:paraId="27878F03" w14:textId="77777777" w:rsidR="003D0C2F" w:rsidRDefault="003D0C2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34A33DEA" w14:textId="77777777" w:rsidR="003D0C2F" w:rsidRDefault="003D0C2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70F5DAFD" w14:textId="77777777" w:rsidR="003D0C2F" w:rsidRDefault="003D0C2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6149B8AE" w14:textId="77777777" w:rsidR="003D0C2F" w:rsidRDefault="003D0C2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5B61841F" w14:textId="77777777" w:rsidR="003D0C2F" w:rsidRDefault="003D0C2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43A39A1C" w14:textId="77777777" w:rsidR="003D0C2F" w:rsidRDefault="003D0C2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40358165" w14:textId="77777777" w:rsidR="003D0C2F" w:rsidRDefault="003D0C2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43BC960C" w14:textId="77777777" w:rsidR="003D0C2F" w:rsidRDefault="003D0C2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6D7EE55B" w14:textId="77777777" w:rsidR="003D0C2F" w:rsidRDefault="003D0C2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-webkit-standard" w:hAnsi="-webkit-standard"/>
          <w:color w:val="000000"/>
          <w:sz w:val="27"/>
          <w:szCs w:val="27"/>
        </w:rPr>
      </w:pPr>
    </w:p>
    <w:p w14:paraId="1B8EEE06" w14:textId="34D51477" w:rsidR="008F01A5" w:rsidRDefault="008F01A5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</w:pPr>
      <w:r w:rsidRPr="008F01A5"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  <w:lastRenderedPageBreak/>
        <w:t xml:space="preserve">Partie 1 : </w:t>
      </w:r>
      <w:r w:rsidR="00941205"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  <w:t>L</w:t>
      </w:r>
      <w:r w:rsidRPr="008F01A5"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  <w:t>es règles d’écriture de la langue hébraïque</w:t>
      </w:r>
      <w:r w:rsidR="00941205"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  <w:t xml:space="preserve"> et leur sens cachés</w:t>
      </w:r>
    </w:p>
    <w:p w14:paraId="5177D691" w14:textId="70160B4D" w:rsidR="008F01A5" w:rsidRDefault="00941205" w:rsidP="008F01A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1</w:t>
      </w:r>
      <w:r w:rsidR="008F01A5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 xml:space="preserve">. La complexité de la calligraphie hébraïque à travers l’exemple des lettres finales “soffit” </w:t>
      </w:r>
    </w:p>
    <w:p w14:paraId="7D6F4CD1" w14:textId="77777777" w:rsidR="008F01A5" w:rsidRDefault="008F01A5" w:rsidP="008F01A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7ECE952B" w14:textId="77777777" w:rsidR="00C73CE2" w:rsidRDefault="008F01A5" w:rsidP="00C73CE2">
      <w:pPr>
        <w:numPr>
          <w:ilvl w:val="0"/>
          <w:numId w:val="4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Times-Roman" w:hAnsi="Times-Roman" w:cs="Times-Roman"/>
          <w:color w:val="000000"/>
          <w:kern w:val="0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L’EDEC d’écrire une lettre majuscule ainsi que son soffit </w:t>
      </w:r>
    </w:p>
    <w:p w14:paraId="589A8DDF" w14:textId="053C8BDF" w:rsidR="008F01A5" w:rsidRDefault="00C73CE2" w:rsidP="00C73CE2">
      <w:pPr>
        <w:numPr>
          <w:ilvl w:val="0"/>
          <w:numId w:val="4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 w:rsidRPr="00C73CE2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L’EDEC de donner trois interprétations symboliques associées à des lettres soffit selon la tradition juive</w:t>
      </w:r>
    </w:p>
    <w:p w14:paraId="0FA6BF06" w14:textId="77777777" w:rsidR="00C73CE2" w:rsidRPr="00C73CE2" w:rsidRDefault="00C73CE2" w:rsidP="00C73CE2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79F528C4" w14:textId="12E78088" w:rsidR="008F01A5" w:rsidRDefault="00941205" w:rsidP="008F01A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2</w:t>
      </w:r>
      <w:r w:rsidR="008F01A5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 xml:space="preserve">. Les exigences liées à l’écritures d’un séfer torah à travers l’exemple du soffer et de ses obligations /misvot </w:t>
      </w:r>
    </w:p>
    <w:p w14:paraId="71F42650" w14:textId="77777777" w:rsidR="00666734" w:rsidRDefault="00666734" w:rsidP="008F01A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</w:pPr>
    </w:p>
    <w:p w14:paraId="32492102" w14:textId="77777777" w:rsidR="008F01A5" w:rsidRDefault="008F01A5" w:rsidP="008F01A5">
      <w:pPr>
        <w:numPr>
          <w:ilvl w:val="0"/>
          <w:numId w:val="5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L’EDEC de citer deux halakhot en lien avec l'écriture d’un sefer torah </w:t>
      </w:r>
    </w:p>
    <w:p w14:paraId="3A84225E" w14:textId="77777777" w:rsidR="008F01A5" w:rsidRDefault="008F01A5" w:rsidP="008F01A5">
      <w:pPr>
        <w:numPr>
          <w:ilvl w:val="0"/>
          <w:numId w:val="5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Times-Roman" w:hAnsi="Times-Roman" w:cs="Times-Roman"/>
          <w:color w:val="000000"/>
          <w:kern w:val="0"/>
          <w:sz w:val="27"/>
          <w:szCs w:val="27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L’EDEC nommer les différentes composantes du sefer torah ainsi que son   emplacement dans la synagogue (hehal...)   </w:t>
      </w:r>
    </w:p>
    <w:p w14:paraId="0A27C1F9" w14:textId="77777777" w:rsidR="008F01A5" w:rsidRDefault="008F01A5" w:rsidP="008F01A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</w:pPr>
    </w:p>
    <w:p w14:paraId="682CD2B2" w14:textId="53A68798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3</w:t>
      </w: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. La pudeur dans la langue hébraïque à travers l’interdiction d’écrire le nom de D.ieu en entier</w:t>
      </w:r>
    </w:p>
    <w:p w14:paraId="1A9BEE2E" w14:textId="77777777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6B0D0EC9" w14:textId="77777777" w:rsidR="00941205" w:rsidRDefault="00941205" w:rsidP="00941205">
      <w:pPr>
        <w:numPr>
          <w:ilvl w:val="0"/>
          <w:numId w:val="11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L’EDEC de donner la raison a l’interdiction d’écrire le nom de D.ieu en entier</w:t>
      </w:r>
    </w:p>
    <w:p w14:paraId="6EFD1812" w14:textId="77777777" w:rsidR="00941205" w:rsidRDefault="00941205" w:rsidP="00941205">
      <w:pPr>
        <w:numPr>
          <w:ilvl w:val="0"/>
          <w:numId w:val="11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L’EDEC de citer 2 formes alternatives utilisées pour sa nomination </w:t>
      </w:r>
    </w:p>
    <w:p w14:paraId="00A58004" w14:textId="77777777" w:rsidR="00941205" w:rsidRDefault="00941205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</w:pPr>
    </w:p>
    <w:p w14:paraId="5CAB8989" w14:textId="5EC7AF90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3"/>
          <w:szCs w:val="23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4</w:t>
      </w: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. L’importance de l’écoute intérieure à travers la lettre silencieuse Aleph au début du mot “Anokhi” dans chacun des Dix Commandements</w:t>
      </w: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3"/>
          <w:szCs w:val="23"/>
          <w:u w:color="000000"/>
        </w:rPr>
        <w:t>(Le silence = comme si D.ieu disait :Avant même de parler, je te laisse un espace pour m’écouter.)</w:t>
      </w:r>
    </w:p>
    <w:p w14:paraId="3BC84687" w14:textId="77777777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0D468941" w14:textId="77777777" w:rsidR="00941205" w:rsidRDefault="00941205" w:rsidP="00941205">
      <w:pPr>
        <w:numPr>
          <w:ilvl w:val="0"/>
          <w:numId w:val="12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L’EDEC d’identifier l’insonorité de la lettre Aleph et des différents sons qu’elle peut porter avec des voyelles</w:t>
      </w:r>
    </w:p>
    <w:p w14:paraId="660C3EC7" w14:textId="77777777" w:rsidR="00941205" w:rsidRDefault="00941205" w:rsidP="00941205">
      <w:pPr>
        <w:numPr>
          <w:ilvl w:val="0"/>
          <w:numId w:val="12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L’EDEC de citer 4 des dix commandements </w:t>
      </w:r>
    </w:p>
    <w:p w14:paraId="68A352C7" w14:textId="77777777" w:rsidR="00941205" w:rsidRDefault="00941205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</w:pPr>
    </w:p>
    <w:p w14:paraId="37BB8C71" w14:textId="77777777" w:rsidR="00666734" w:rsidRDefault="00666734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</w:pPr>
    </w:p>
    <w:p w14:paraId="277F9214" w14:textId="2645C97A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" w:hAnsi="Helvetica" w:cs="Helvetica"/>
          <w:color w:val="000000"/>
          <w:kern w:val="0"/>
          <w:sz w:val="28"/>
          <w:szCs w:val="28"/>
          <w:u w:val="single" w:color="000000"/>
        </w:rPr>
      </w:pPr>
      <w:r>
        <w:rPr>
          <w:rFonts w:ascii="Helvetica" w:hAnsi="Helvetica" w:cs="Helvetica"/>
          <w:color w:val="000000"/>
          <w:kern w:val="0"/>
          <w:sz w:val="28"/>
          <w:szCs w:val="28"/>
          <w:u w:val="single" w:color="000000"/>
        </w:rPr>
        <w:lastRenderedPageBreak/>
        <w:t>5</w:t>
      </w:r>
      <w:r>
        <w:rPr>
          <w:rFonts w:ascii="Helvetica" w:hAnsi="Helvetica" w:cs="Helvetica"/>
          <w:color w:val="000000"/>
          <w:kern w:val="0"/>
          <w:sz w:val="28"/>
          <w:szCs w:val="28"/>
          <w:u w:val="single" w:color="000000"/>
        </w:rPr>
        <w:t xml:space="preserve">. L’utilisation de la guématria reflétant les sens cachés de la torah à travers l’exemple du procès de Nuremberg. </w:t>
      </w:r>
    </w:p>
    <w:p w14:paraId="6413CF66" w14:textId="77777777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8"/>
          <w:szCs w:val="28"/>
          <w:u w:color="000000"/>
        </w:rPr>
      </w:pPr>
    </w:p>
    <w:p w14:paraId="670864E1" w14:textId="77777777" w:rsidR="00941205" w:rsidRPr="006712FA" w:rsidRDefault="00941205" w:rsidP="00941205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spacing w:after="0" w:line="288" w:lineRule="auto"/>
        <w:ind w:left="305" w:hanging="306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 w:rsidRPr="006712FA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L’EDEC de citer 2 similarités entre la méguila d’Esther et Pourim 1946</w:t>
      </w:r>
    </w:p>
    <w:p w14:paraId="4812E9FF" w14:textId="77777777" w:rsidR="00941205" w:rsidRPr="006712FA" w:rsidRDefault="00941205" w:rsidP="00941205">
      <w:pPr>
        <w:numPr>
          <w:ilvl w:val="0"/>
          <w:numId w:val="1"/>
        </w:numPr>
        <w:tabs>
          <w:tab w:val="left" w:pos="20"/>
          <w:tab w:val="left" w:pos="305"/>
        </w:tabs>
        <w:autoSpaceDE w:val="0"/>
        <w:autoSpaceDN w:val="0"/>
        <w:adjustRightInd w:val="0"/>
        <w:spacing w:after="0" w:line="288" w:lineRule="auto"/>
        <w:ind w:left="305" w:hanging="306"/>
        <w:jc w:val="both"/>
        <w:rPr>
          <w:rFonts w:ascii="Times-Roman" w:hAnsi="Times-Roman" w:cs="Times-Roman"/>
          <w:color w:val="000000"/>
          <w:kern w:val="0"/>
          <w:sz w:val="27"/>
          <w:szCs w:val="27"/>
          <w:u w:color="000000"/>
        </w:rPr>
      </w:pPr>
      <w:r w:rsidRPr="006712FA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L’EDEC de transformer 3 mots de la torah en chiffres en utilisant la guématria.   </w:t>
      </w:r>
    </w:p>
    <w:p w14:paraId="00390B9F" w14:textId="77777777" w:rsidR="00941205" w:rsidRDefault="00941205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</w:pPr>
    </w:p>
    <w:p w14:paraId="7A775275" w14:textId="075AABD8" w:rsidR="00941205" w:rsidRPr="00371DE5" w:rsidRDefault="00371DE5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Helvetica" w:hAnsi="Helvetica" w:cs="Helvetica"/>
          <w:color w:val="000000"/>
          <w:kern w:val="0"/>
          <w:sz w:val="28"/>
          <w:szCs w:val="28"/>
          <w:u w:val="single" w:color="000000"/>
        </w:rPr>
      </w:pPr>
      <w:r w:rsidRPr="00371DE5">
        <w:rPr>
          <w:rFonts w:ascii="Helvetica" w:hAnsi="Helvetica" w:cs="Helvetica"/>
          <w:color w:val="000000"/>
          <w:kern w:val="0"/>
          <w:sz w:val="28"/>
          <w:szCs w:val="28"/>
          <w:u w:val="single" w:color="000000"/>
        </w:rPr>
        <w:t xml:space="preserve">6. La sacralisation des lettres à travers l’exemple des taguim dans </w:t>
      </w:r>
      <w:r>
        <w:rPr>
          <w:rFonts w:ascii="Helvetica" w:hAnsi="Helvetica" w:cs="Helvetica"/>
          <w:color w:val="000000"/>
          <w:kern w:val="0"/>
          <w:sz w:val="28"/>
          <w:szCs w:val="28"/>
          <w:u w:val="single" w:color="000000"/>
        </w:rPr>
        <w:t>un Sefer</w:t>
      </w:r>
      <w:r w:rsidRPr="00371DE5">
        <w:rPr>
          <w:rFonts w:ascii="Helvetica" w:hAnsi="Helvetica" w:cs="Helvetica"/>
          <w:color w:val="000000"/>
          <w:kern w:val="0"/>
          <w:sz w:val="28"/>
          <w:szCs w:val="28"/>
          <w:u w:val="single" w:color="000000"/>
        </w:rPr>
        <w:t xml:space="preserve"> Torah</w:t>
      </w:r>
    </w:p>
    <w:p w14:paraId="6E0925AC" w14:textId="3B583C6F" w:rsidR="00371DE5" w:rsidRPr="006712FA" w:rsidRDefault="00371DE5" w:rsidP="00666734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 w:rsidRPr="00371DE5">
        <w:rPr>
          <w:rFonts w:ascii="Helvetica Neue" w:hAnsi="Helvetica Neue" w:cs="Helvetica Neue"/>
          <w:color w:val="000000"/>
          <w:kern w:val="0"/>
          <w:sz w:val="28"/>
          <w:szCs w:val="28"/>
          <w:u w:color="000000"/>
        </w:rPr>
        <w:t xml:space="preserve">• </w:t>
      </w:r>
      <w:r w:rsidR="00666734">
        <w:rPr>
          <w:rFonts w:ascii="Helvetica Neue" w:hAnsi="Helvetica Neue" w:cs="Helvetica Neue"/>
          <w:color w:val="000000"/>
          <w:kern w:val="0"/>
          <w:sz w:val="28"/>
          <w:szCs w:val="28"/>
          <w:u w:color="000000"/>
        </w:rPr>
        <w:t xml:space="preserve"> </w:t>
      </w:r>
      <w:r w:rsidRPr="006712FA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L’EDEC d’identifier 3 lettres sur lesquelles on ajoute des taguim dans un Séfer Torah</w:t>
      </w:r>
    </w:p>
    <w:p w14:paraId="2F469BBB" w14:textId="514D7967" w:rsidR="00941205" w:rsidRPr="00666734" w:rsidRDefault="00371DE5" w:rsidP="00666734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spacing w:after="240" w:line="240" w:lineRule="auto"/>
        <w:ind w:left="284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 w:rsidRPr="006712FA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L’EDEC de citer 3 raisons pour lesquelles on ajoute des taguim à certaines lettres.</w:t>
      </w:r>
    </w:p>
    <w:p w14:paraId="5C1AE4DC" w14:textId="77777777" w:rsidR="00941205" w:rsidRPr="008F01A5" w:rsidRDefault="00941205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</w:pPr>
    </w:p>
    <w:p w14:paraId="4F1A21F1" w14:textId="08EE7D21" w:rsidR="008F01A5" w:rsidRDefault="008F01A5" w:rsidP="00941205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</w:pPr>
      <w:r w:rsidRPr="008F01A5"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  <w:t>Partie 2 : La</w:t>
      </w:r>
      <w:r w:rsidRPr="008F01A5"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  <w:t xml:space="preserve"> compréhension des textes grâce aux outils d’interprétation de l’hébreu</w:t>
      </w:r>
    </w:p>
    <w:p w14:paraId="7BBA247E" w14:textId="77777777" w:rsidR="00C73CE2" w:rsidRPr="00C73CE2" w:rsidRDefault="00C73CE2" w:rsidP="00C73CE2">
      <w:pPr>
        <w:autoSpaceDE w:val="0"/>
        <w:autoSpaceDN w:val="0"/>
        <w:adjustRightInd w:val="0"/>
        <w:spacing w:after="240" w:line="240" w:lineRule="auto"/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</w:pPr>
      <w:r w:rsidRPr="00C73CE2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7.⁠ ⁠L'Art de la Cantillation dans la Torah à travers les Tropes de Lecture</w:t>
      </w:r>
    </w:p>
    <w:p w14:paraId="1EA80C6A" w14:textId="7300B6F1" w:rsidR="00C73CE2" w:rsidRPr="00C73CE2" w:rsidRDefault="00C73CE2" w:rsidP="00C73CE2">
      <w:pPr>
        <w:autoSpaceDE w:val="0"/>
        <w:autoSpaceDN w:val="0"/>
        <w:adjustRightInd w:val="0"/>
        <w:spacing w:after="240" w:line="240" w:lineRule="auto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 w:rsidRPr="00C73CE2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 xml:space="preserve">•⁠  </w:t>
      </w:r>
      <w:r w:rsidRPr="00C73CE2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EDEC de citer 3 tropes de cantillation (te'amim) utilisés dans la Torah </w:t>
      </w:r>
    </w:p>
    <w:p w14:paraId="6AA72950" w14:textId="7502443C" w:rsidR="00941205" w:rsidRDefault="00C73CE2" w:rsidP="00C73CE2">
      <w:pPr>
        <w:autoSpaceDE w:val="0"/>
        <w:autoSpaceDN w:val="0"/>
        <w:adjustRightInd w:val="0"/>
        <w:spacing w:after="240" w:line="240" w:lineRule="auto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 w:rsidRPr="00C73CE2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•⁠  EDEC de donner 3 impacts de l'utilisation des tropes sur la lecture et l'interprétation</w:t>
      </w: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 </w:t>
      </w:r>
      <w:r w:rsidRPr="00C73CE2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du passage</w:t>
      </w:r>
    </w:p>
    <w:p w14:paraId="70E0A40C" w14:textId="77777777" w:rsidR="00C73CE2" w:rsidRPr="00C73CE2" w:rsidRDefault="00C73CE2" w:rsidP="00C73CE2">
      <w:pPr>
        <w:autoSpaceDE w:val="0"/>
        <w:autoSpaceDN w:val="0"/>
        <w:adjustRightInd w:val="0"/>
        <w:spacing w:after="240" w:line="240" w:lineRule="auto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69074989" w14:textId="3F57B0BD" w:rsidR="00941205" w:rsidRDefault="00371DE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8</w:t>
      </w:r>
      <w:r w:rsidR="00941205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 xml:space="preserve">. La diversité d’interprétations d’un mot en fonction de ses voyelles à travers l’exemple de Hanna (mère de shmouel) </w:t>
      </w:r>
    </w:p>
    <w:p w14:paraId="579D00E8" w14:textId="77777777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7B8B866C" w14:textId="77777777" w:rsidR="00B9333B" w:rsidRPr="00B9333B" w:rsidRDefault="00666734" w:rsidP="00941205">
      <w:pPr>
        <w:numPr>
          <w:ilvl w:val="0"/>
          <w:numId w:val="3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 w:rsidRPr="00B9333B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L’EDEC de </w:t>
      </w:r>
      <w:r w:rsidR="00B9333B" w:rsidRPr="00B9333B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connaitre le nom et le </w:t>
      </w:r>
      <w:r w:rsidRPr="00B9333B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signe</w:t>
      </w:r>
      <w:r w:rsidR="00B9333B" w:rsidRPr="00B9333B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 de 3 </w:t>
      </w:r>
      <w:r w:rsidRPr="00B9333B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voyelles en hébreu </w:t>
      </w:r>
    </w:p>
    <w:p w14:paraId="4DCE931C" w14:textId="47E80B6C" w:rsidR="00941205" w:rsidRPr="00B9333B" w:rsidRDefault="00B9333B" w:rsidP="00857E3D">
      <w:pPr>
        <w:numPr>
          <w:ilvl w:val="0"/>
          <w:numId w:val="3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sz w:val="27"/>
          <w:szCs w:val="27"/>
        </w:rPr>
      </w:pPr>
      <w:r w:rsidRPr="00B9333B">
        <w:rPr>
          <w:rFonts w:ascii="Helvetica Neue" w:hAnsi="Helvetica Neue" w:cs="Helvetica Neue"/>
          <w:kern w:val="0"/>
          <w:sz w:val="27"/>
          <w:szCs w:val="27"/>
          <w:u w:color="000000"/>
        </w:rPr>
        <w:t>L’EDEC d’identifier 2 mots issus de la même racine que "Hanna</w:t>
      </w:r>
      <w:r w:rsidRPr="00B9333B">
        <w:rPr>
          <w:rFonts w:ascii="Helvetica Neue" w:hAnsi="Helvetica Neue" w:cs="Helvetica Neue"/>
          <w:kern w:val="0"/>
          <w:sz w:val="27"/>
          <w:szCs w:val="27"/>
          <w:u w:color="000000"/>
        </w:rPr>
        <w:t> » dont le sens change grâce aux voyelles</w:t>
      </w:r>
    </w:p>
    <w:p w14:paraId="4E0FD9F8" w14:textId="77777777" w:rsidR="00B9333B" w:rsidRDefault="00B9333B" w:rsidP="00B9333B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Times-Roman" w:hAnsi="Times-Roman" w:cs="Times-Roman"/>
          <w:color w:val="000000"/>
          <w:kern w:val="0"/>
          <w:u w:color="000000"/>
        </w:rPr>
      </w:pPr>
    </w:p>
    <w:p w14:paraId="3C338A3E" w14:textId="77777777" w:rsidR="00B9333B" w:rsidRPr="00B9333B" w:rsidRDefault="00B9333B" w:rsidP="00B9333B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Times-Roman" w:hAnsi="Times-Roman" w:cs="Times-Roman"/>
          <w:color w:val="000000"/>
          <w:kern w:val="0"/>
          <w:u w:color="000000"/>
        </w:rPr>
      </w:pPr>
    </w:p>
    <w:p w14:paraId="256163D3" w14:textId="6062F548" w:rsidR="00941205" w:rsidRDefault="00371DE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lastRenderedPageBreak/>
        <w:t>9</w:t>
      </w:r>
      <w:r w:rsidR="00941205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. L’interprétation des rêves dans le judaïsme à travers la sagesse de Joseph</w:t>
      </w:r>
    </w:p>
    <w:p w14:paraId="243F6754" w14:textId="77777777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2F6BB48B" w14:textId="77777777" w:rsidR="00941205" w:rsidRDefault="00941205" w:rsidP="00941205">
      <w:pPr>
        <w:numPr>
          <w:ilvl w:val="0"/>
          <w:numId w:val="7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L’EDEC de nommer au moins 2 des rêves interprétés par Joseph (onze gerbes de blé, la prosternation des astres devant lui, rêve de l’échanson en prison...) </w:t>
      </w:r>
    </w:p>
    <w:p w14:paraId="669D6FAD" w14:textId="3CC1BA45" w:rsidR="00941205" w:rsidRDefault="00941205" w:rsidP="00941205">
      <w:pPr>
        <w:numPr>
          <w:ilvl w:val="0"/>
          <w:numId w:val="7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Times-Roman" w:hAnsi="Times-Roman" w:cs="Times-Roman"/>
          <w:color w:val="000000"/>
          <w:kern w:val="0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L’EDEC de restituer l’interprétation du rêve de Pharaon sur les épis de blés et les vaches (sept années d’abondance suivies de sept années de famine)   </w:t>
      </w:r>
    </w:p>
    <w:p w14:paraId="4DFC0CB5" w14:textId="77777777" w:rsidR="00371DE5" w:rsidRPr="00941205" w:rsidRDefault="00371DE5" w:rsidP="0094120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-1"/>
        <w:jc w:val="both"/>
        <w:rPr>
          <w:rFonts w:ascii="Times-Roman" w:hAnsi="Times-Roman" w:cs="Times-Roman"/>
          <w:color w:val="000000"/>
          <w:kern w:val="0"/>
          <w:u w:color="000000"/>
        </w:rPr>
      </w:pPr>
    </w:p>
    <w:p w14:paraId="66CF8D8D" w14:textId="7CF6D7AB" w:rsidR="00941205" w:rsidRDefault="00371DE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10</w:t>
      </w:r>
      <w:r w:rsidR="00941205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 xml:space="preserve">. Les risques d’un mot mal compris à travers l’ambiguïté du mot “Élohim” dans l’épisode du veau d’or (signifie un D.ieu mais grammaticalement au pluriel donc peut amener </w:t>
      </w:r>
      <w:r w:rsidR="00941205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à</w:t>
      </w:r>
      <w:r w:rsidR="00941205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 xml:space="preserve"> l’idolâtrie)</w:t>
      </w:r>
    </w:p>
    <w:p w14:paraId="0458AF72" w14:textId="77777777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15D6902C" w14:textId="77777777" w:rsidR="00941205" w:rsidRDefault="00941205" w:rsidP="00941205">
      <w:pPr>
        <w:numPr>
          <w:ilvl w:val="0"/>
          <w:numId w:val="13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EDEC de citer la faute du veau d’or causé par une mauvaise interprétation d’un mot </w:t>
      </w:r>
    </w:p>
    <w:p w14:paraId="769A1A5D" w14:textId="0537B9AD" w:rsidR="008F01A5" w:rsidRDefault="00941205" w:rsidP="00941205">
      <w:pPr>
        <w:numPr>
          <w:ilvl w:val="0"/>
          <w:numId w:val="13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 w:rsidRPr="00941205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EDEC de donner les deux significations du mot « Elohim »</w:t>
      </w:r>
    </w:p>
    <w:p w14:paraId="2D12865D" w14:textId="77777777" w:rsidR="00371DE5" w:rsidRDefault="00371DE5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76D8F62F" w14:textId="77777777" w:rsidR="00371DE5" w:rsidRDefault="00371DE5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71A84998" w14:textId="77777777" w:rsidR="00371DE5" w:rsidRDefault="00371DE5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680DFE17" w14:textId="77777777" w:rsidR="003D0C2F" w:rsidRDefault="003D0C2F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655173C1" w14:textId="77777777" w:rsidR="003D0C2F" w:rsidRDefault="003D0C2F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2DDFBFFB" w14:textId="77777777" w:rsidR="003D0C2F" w:rsidRDefault="003D0C2F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2B33A99A" w14:textId="77777777" w:rsidR="003D0C2F" w:rsidRDefault="003D0C2F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716789F3" w14:textId="77777777" w:rsidR="003D0C2F" w:rsidRDefault="003D0C2F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014FE9AE" w14:textId="77777777" w:rsidR="003D0C2F" w:rsidRDefault="003D0C2F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155BC805" w14:textId="77777777" w:rsidR="003D0C2F" w:rsidRDefault="003D0C2F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31F7ED8D" w14:textId="77777777" w:rsidR="003D0C2F" w:rsidRDefault="003D0C2F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193787E7" w14:textId="77777777" w:rsidR="003D0C2F" w:rsidRDefault="003D0C2F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07510C73" w14:textId="77777777" w:rsidR="003D0C2F" w:rsidRDefault="003D0C2F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69773528" w14:textId="77777777" w:rsidR="00666734" w:rsidRDefault="00666734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1D604DC6" w14:textId="77777777" w:rsidR="00666734" w:rsidRDefault="00666734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63A55632" w14:textId="77777777" w:rsidR="00666734" w:rsidRDefault="00666734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717E47CA" w14:textId="77777777" w:rsidR="003D0C2F" w:rsidRPr="00941205" w:rsidRDefault="003D0C2F" w:rsidP="00371DE5">
      <w:p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2E6AF553" w14:textId="60A4A7A5" w:rsidR="008F01A5" w:rsidRDefault="008F01A5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</w:pPr>
      <w:r w:rsidRPr="008F01A5"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  <w:lastRenderedPageBreak/>
        <w:t xml:space="preserve">Partie 3 : L’influence de </w:t>
      </w:r>
      <w:r w:rsidR="00941205" w:rsidRPr="008F01A5"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  <w:t>l’hébreu dans</w:t>
      </w:r>
      <w:r w:rsidRPr="008F01A5"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  <w:t xml:space="preserve"> l’unité du peuple juif et sa vision du monde</w:t>
      </w:r>
    </w:p>
    <w:p w14:paraId="66E68F7D" w14:textId="3622FA36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1</w:t>
      </w:r>
      <w:r w:rsidR="00371DE5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1</w:t>
      </w: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 xml:space="preserve">. Une meilleure compréhension de la langue hébraïque à travers son évolution dans le temps: </w:t>
      </w:r>
    </w:p>
    <w:p w14:paraId="361B8B52" w14:textId="77777777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59BCAB9E" w14:textId="77777777" w:rsidR="00941205" w:rsidRDefault="00941205" w:rsidP="00941205">
      <w:pPr>
        <w:numPr>
          <w:ilvl w:val="0"/>
          <w:numId w:val="2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L’EDEC de citer 3 étapes historiques par lesquelles la langue hébraïque est passée </w:t>
      </w:r>
    </w:p>
    <w:p w14:paraId="3610BCA4" w14:textId="77777777" w:rsidR="00941205" w:rsidRPr="00941205" w:rsidRDefault="00941205" w:rsidP="00941205">
      <w:pPr>
        <w:numPr>
          <w:ilvl w:val="0"/>
          <w:numId w:val="2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L’EDEC de différencier de 2 façons différentes l’hébreu ancien de l’hébreu moderne ladino ; yidish   </w:t>
      </w:r>
    </w:p>
    <w:p w14:paraId="1CA451E5" w14:textId="77777777" w:rsidR="00941205" w:rsidRDefault="00941205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</w:pPr>
    </w:p>
    <w:p w14:paraId="5CEB9C24" w14:textId="645AB5C6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1</w:t>
      </w:r>
      <w:r w:rsidR="00371DE5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2</w:t>
      </w: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. La construction d’un peuple à travers les lettres du mot Israël représentant les patriarches et matriarches selon le midrash</w:t>
      </w:r>
    </w:p>
    <w:p w14:paraId="55D20A9C" w14:textId="77777777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75EDF456" w14:textId="77777777" w:rsidR="00941205" w:rsidRDefault="00941205" w:rsidP="00941205">
      <w:pPr>
        <w:numPr>
          <w:ilvl w:val="0"/>
          <w:numId w:val="10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L’EDEC de nommer les figures associées à chaque lettre du mot Israël</w:t>
      </w:r>
    </w:p>
    <w:p w14:paraId="44C37623" w14:textId="77777777" w:rsidR="00941205" w:rsidRDefault="00941205" w:rsidP="00941205">
      <w:pPr>
        <w:numPr>
          <w:ilvl w:val="0"/>
          <w:numId w:val="10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L’EDEC d’écrire « Israel » en Hébreu</w:t>
      </w:r>
    </w:p>
    <w:p w14:paraId="2A6EDEB4" w14:textId="77777777" w:rsidR="003D0C2F" w:rsidRDefault="003D0C2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</w:pPr>
    </w:p>
    <w:p w14:paraId="513BD4E5" w14:textId="1972AB60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1</w:t>
      </w:r>
      <w:r w:rsidR="00371DE5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3</w:t>
      </w:r>
      <w:r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.L’Épopée du Birobidjan, Premier Territoire Autonome Juif dans l’Histoire</w:t>
      </w:r>
    </w:p>
    <w:p w14:paraId="7F634654" w14:textId="77777777" w:rsidR="00941205" w:rsidRDefault="00941205" w:rsidP="00941205">
      <w:pPr>
        <w:autoSpaceDE w:val="0"/>
        <w:autoSpaceDN w:val="0"/>
        <w:adjustRightInd w:val="0"/>
        <w:spacing w:after="0" w:line="288" w:lineRule="auto"/>
        <w:jc w:val="both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</w:p>
    <w:p w14:paraId="0272AA78" w14:textId="77777777" w:rsidR="00666734" w:rsidRDefault="00941205" w:rsidP="00666734">
      <w:pPr>
        <w:numPr>
          <w:ilvl w:val="0"/>
          <w:numId w:val="9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32"/>
          <w:szCs w:val="32"/>
          <w:u w:color="000000"/>
        </w:rPr>
      </w:pP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L’EDEC de donner la date de la création du BIROBIDJAN </w:t>
      </w:r>
    </w:p>
    <w:p w14:paraId="3F5999AD" w14:textId="07BB992C" w:rsidR="003D0C2F" w:rsidRPr="00666734" w:rsidRDefault="00666734" w:rsidP="00666734">
      <w:pPr>
        <w:numPr>
          <w:ilvl w:val="0"/>
          <w:numId w:val="9"/>
        </w:numPr>
        <w:tabs>
          <w:tab w:val="left" w:pos="20"/>
          <w:tab w:val="left" w:pos="298"/>
        </w:tabs>
        <w:autoSpaceDE w:val="0"/>
        <w:autoSpaceDN w:val="0"/>
        <w:adjustRightInd w:val="0"/>
        <w:spacing w:after="0" w:line="288" w:lineRule="auto"/>
        <w:ind w:left="298" w:hanging="299"/>
        <w:jc w:val="both"/>
        <w:rPr>
          <w:rFonts w:ascii="Helvetica Neue" w:hAnsi="Helvetica Neue" w:cs="Helvetica Neue"/>
          <w:color w:val="000000"/>
          <w:kern w:val="0"/>
          <w:sz w:val="32"/>
          <w:szCs w:val="32"/>
          <w:u w:color="000000"/>
        </w:rPr>
      </w:pPr>
      <w:r w:rsidRPr="00666734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L’EDEC de citer </w:t>
      </w: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trois</w:t>
      </w:r>
      <w:r w:rsidRPr="00666734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 symbole</w:t>
      </w: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s</w:t>
      </w:r>
      <w:r w:rsidRPr="00666734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 créé</w:t>
      </w: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s</w:t>
      </w:r>
      <w:r w:rsidRPr="00666734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 pour affirmer l’identité juive dans le Birobidjan</w:t>
      </w:r>
      <w:r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 pour pallier à l’utilisation de l’hébreu</w:t>
      </w:r>
    </w:p>
    <w:p w14:paraId="34DE0559" w14:textId="77777777" w:rsidR="003D0C2F" w:rsidRDefault="003D0C2F" w:rsidP="009C7B9F">
      <w:pPr>
        <w:autoSpaceDE w:val="0"/>
        <w:autoSpaceDN w:val="0"/>
        <w:adjustRightInd w:val="0"/>
        <w:spacing w:after="240" w:line="240" w:lineRule="auto"/>
        <w:jc w:val="both"/>
        <w:rPr>
          <w:rFonts w:ascii="Helvetica Neue" w:hAnsi="Helvetica Neue" w:cs="Helvetica Neue"/>
          <w:b/>
          <w:bCs/>
          <w:color w:val="000000"/>
          <w:kern w:val="0"/>
          <w:sz w:val="29"/>
          <w:szCs w:val="29"/>
          <w:u w:color="000000"/>
        </w:rPr>
      </w:pPr>
    </w:p>
    <w:p w14:paraId="53CE9989" w14:textId="3290C104" w:rsidR="001761FC" w:rsidRPr="001761FC" w:rsidRDefault="001761FC" w:rsidP="001761FC">
      <w:pPr>
        <w:spacing w:before="100" w:beforeAutospacing="1" w:after="100" w:afterAutospacing="1" w:line="240" w:lineRule="auto"/>
        <w:outlineLvl w:val="2"/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</w:pPr>
      <w:r w:rsidRPr="001761FC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1</w:t>
      </w:r>
      <w:r w:rsidR="00C73CE2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4</w:t>
      </w:r>
      <w:r w:rsidRPr="001761FC">
        <w:rPr>
          <w:rFonts w:ascii="Helvetica Neue" w:hAnsi="Helvetica Neue" w:cs="Helvetica Neue"/>
          <w:color w:val="000000"/>
          <w:kern w:val="0"/>
          <w:sz w:val="27"/>
          <w:szCs w:val="27"/>
          <w:u w:val="single" w:color="000000"/>
        </w:rPr>
        <w:t>. La transmission de l’hébreu au fil des exils à travers l’exemple du Yiddish</w:t>
      </w:r>
    </w:p>
    <w:p w14:paraId="5C49182C" w14:textId="2949C136" w:rsidR="006712FA" w:rsidRPr="006712FA" w:rsidRDefault="001761FC" w:rsidP="001761FC">
      <w:pPr>
        <w:spacing w:before="100" w:beforeAutospacing="1" w:after="100" w:afterAutospacing="1" w:line="240" w:lineRule="auto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 w:rsidRPr="001761FC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• L’EDEC de </w:t>
      </w:r>
      <w:r w:rsidR="006712FA" w:rsidRPr="006712FA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savoir écrire son prénom en Hébreu et en Yiddish</w:t>
      </w:r>
    </w:p>
    <w:p w14:paraId="77CAA438" w14:textId="17ABF2E8" w:rsidR="001761FC" w:rsidRPr="003D0C2F" w:rsidRDefault="001761FC" w:rsidP="003D0C2F">
      <w:pPr>
        <w:spacing w:before="100" w:beforeAutospacing="1" w:after="100" w:afterAutospacing="1" w:line="240" w:lineRule="auto"/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</w:pPr>
      <w:r w:rsidRPr="001761FC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• L’EDEC de citer </w:t>
      </w:r>
      <w:r w:rsidR="006712FA" w:rsidRPr="006712FA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3</w:t>
      </w:r>
      <w:r w:rsidRPr="001761FC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 xml:space="preserve"> mots hébreu qui ont été intégrés </w:t>
      </w:r>
      <w:r w:rsidR="006712FA" w:rsidRPr="006712FA">
        <w:rPr>
          <w:rFonts w:ascii="Helvetica Neue" w:hAnsi="Helvetica Neue" w:cs="Helvetica Neue"/>
          <w:color w:val="000000"/>
          <w:kern w:val="0"/>
          <w:sz w:val="27"/>
          <w:szCs w:val="27"/>
          <w:u w:color="000000"/>
        </w:rPr>
        <w:t>le Yiddish</w:t>
      </w:r>
    </w:p>
    <w:sectPr w:rsidR="001761FC" w:rsidRPr="003D0C2F" w:rsidSect="009C7B9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50B4E81"/>
    <w:multiLevelType w:val="hybridMultilevel"/>
    <w:tmpl w:val="5EDEC2F4"/>
    <w:lvl w:ilvl="0" w:tplc="6470B370">
      <w:start w:val="5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11C49"/>
    <w:multiLevelType w:val="hybridMultilevel"/>
    <w:tmpl w:val="E8884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2102E"/>
    <w:multiLevelType w:val="hybridMultilevel"/>
    <w:tmpl w:val="4C1E9CF8"/>
    <w:lvl w:ilvl="0" w:tplc="CFA8D48A">
      <w:start w:val="5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07CDB"/>
    <w:multiLevelType w:val="hybridMultilevel"/>
    <w:tmpl w:val="DC6CD2D8"/>
    <w:lvl w:ilvl="0" w:tplc="E6AAA38C">
      <w:start w:val="6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A568D"/>
    <w:multiLevelType w:val="hybridMultilevel"/>
    <w:tmpl w:val="3C3EA34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492714">
    <w:abstractNumId w:val="0"/>
  </w:num>
  <w:num w:numId="2" w16cid:durableId="107506693">
    <w:abstractNumId w:val="1"/>
  </w:num>
  <w:num w:numId="3" w16cid:durableId="1549103137">
    <w:abstractNumId w:val="2"/>
  </w:num>
  <w:num w:numId="4" w16cid:durableId="1667441042">
    <w:abstractNumId w:val="3"/>
  </w:num>
  <w:num w:numId="5" w16cid:durableId="400444043">
    <w:abstractNumId w:val="4"/>
  </w:num>
  <w:num w:numId="6" w16cid:durableId="126702241">
    <w:abstractNumId w:val="5"/>
  </w:num>
  <w:num w:numId="7" w16cid:durableId="1117214806">
    <w:abstractNumId w:val="6"/>
  </w:num>
  <w:num w:numId="8" w16cid:durableId="871921878">
    <w:abstractNumId w:val="7"/>
  </w:num>
  <w:num w:numId="9" w16cid:durableId="124545169">
    <w:abstractNumId w:val="8"/>
  </w:num>
  <w:num w:numId="10" w16cid:durableId="1186136752">
    <w:abstractNumId w:val="9"/>
  </w:num>
  <w:num w:numId="11" w16cid:durableId="1072967811">
    <w:abstractNumId w:val="10"/>
  </w:num>
  <w:num w:numId="12" w16cid:durableId="1616013738">
    <w:abstractNumId w:val="11"/>
  </w:num>
  <w:num w:numId="13" w16cid:durableId="1959600821">
    <w:abstractNumId w:val="12"/>
  </w:num>
  <w:num w:numId="14" w16cid:durableId="1606378201">
    <w:abstractNumId w:val="15"/>
  </w:num>
  <w:num w:numId="15" w16cid:durableId="191041093">
    <w:abstractNumId w:val="13"/>
  </w:num>
  <w:num w:numId="16" w16cid:durableId="1545559028">
    <w:abstractNumId w:val="16"/>
  </w:num>
  <w:num w:numId="17" w16cid:durableId="129633121">
    <w:abstractNumId w:val="14"/>
  </w:num>
  <w:num w:numId="18" w16cid:durableId="15009268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9F"/>
    <w:rsid w:val="001761FC"/>
    <w:rsid w:val="0019616D"/>
    <w:rsid w:val="001A7C3F"/>
    <w:rsid w:val="00371DE5"/>
    <w:rsid w:val="00373131"/>
    <w:rsid w:val="003D0C2F"/>
    <w:rsid w:val="00666734"/>
    <w:rsid w:val="006712FA"/>
    <w:rsid w:val="008F01A5"/>
    <w:rsid w:val="00941205"/>
    <w:rsid w:val="009C7B9F"/>
    <w:rsid w:val="009D77E8"/>
    <w:rsid w:val="00B9333B"/>
    <w:rsid w:val="00C7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DDC5B"/>
  <w15:chartTrackingRefBased/>
  <w15:docId w15:val="{AB72F874-13BC-274D-AA18-A450EEBE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7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7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7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7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7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7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7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7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7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7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C7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C7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7B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7B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7B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7B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7B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7B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7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7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7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7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7B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7B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7B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7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7B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7B9F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Policepardfaut"/>
    <w:rsid w:val="001761FC"/>
  </w:style>
  <w:style w:type="character" w:styleId="Accentuation">
    <w:name w:val="Emphasis"/>
    <w:basedOn w:val="Policepardfaut"/>
    <w:uiPriority w:val="20"/>
    <w:qFormat/>
    <w:rsid w:val="001761FC"/>
    <w:rPr>
      <w:i/>
      <w:iCs/>
    </w:rPr>
  </w:style>
  <w:style w:type="character" w:styleId="lev">
    <w:name w:val="Strong"/>
    <w:basedOn w:val="Policepardfaut"/>
    <w:uiPriority w:val="22"/>
    <w:qFormat/>
    <w:rsid w:val="00176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Kohn (Student at CentraleSupelec)</dc:creator>
  <cp:keywords/>
  <dc:description/>
  <cp:lastModifiedBy>Eliott Kohn (Student at CentraleSupelec)</cp:lastModifiedBy>
  <cp:revision>5</cp:revision>
  <dcterms:created xsi:type="dcterms:W3CDTF">2025-04-18T15:04:00Z</dcterms:created>
  <dcterms:modified xsi:type="dcterms:W3CDTF">2025-04-18T16:59:00Z</dcterms:modified>
</cp:coreProperties>
</file>