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PROJET PEDAGOGIQUE (FIL ROUGE)</w:t>
      </w:r>
    </w:p>
    <w:p w:rsidR="00000000" w:rsidDel="00000000" w:rsidP="00000000" w:rsidRDefault="00000000" w:rsidRPr="00000000" w14:paraId="00000002">
      <w:pPr>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Besoins de l’enfant : </w:t>
      </w:r>
      <w:r w:rsidDel="00000000" w:rsidR="00000000" w:rsidRPr="00000000">
        <w:rPr>
          <w:rFonts w:ascii="Arial" w:cs="Arial" w:eastAsia="Arial" w:hAnsi="Arial"/>
          <w:color w:val="000000"/>
          <w:sz w:val="20"/>
          <w:szCs w:val="20"/>
          <w:rtl w:val="0"/>
        </w:rPr>
        <w:t xml:space="preserve">le judaïsme a des racines lointaines, à la fois dans les époques mais aussi géographiquement à travers diverses civilisations, chacune ayant des cultures et traditions spécifiques et différentes. Il est nécessaire que les enfants connaissent l’histoire de ces civilisations, et la manière dont la pratique du judaïsme s’intègre dans la culture de chaque pays, entre traditions et politiques locales. L’objectif porte surtout sur la compréhension de concilier citoyenneté et religion, dans des environnements différents, et de voir la diversité des pratiques existantes.</w:t>
      </w:r>
    </w:p>
    <w:p w:rsidR="00000000" w:rsidDel="00000000" w:rsidP="00000000" w:rsidRDefault="00000000" w:rsidRPr="00000000" w14:paraId="0000000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Thème : La culture juive à travers le monde : la diversité des traditions et de l’histoire des peuples.</w:t>
      </w:r>
    </w:p>
    <w:p w:rsidR="00000000" w:rsidDel="00000000" w:rsidP="00000000" w:rsidRDefault="00000000" w:rsidRPr="00000000" w14:paraId="00000006">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Piliers : Judaïsme et citoyenneté</w:t>
      </w:r>
    </w:p>
    <w:p w:rsidR="00000000" w:rsidDel="00000000" w:rsidP="00000000" w:rsidRDefault="00000000" w:rsidRPr="00000000" w14:paraId="00000008">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Fiction :</w:t>
      </w:r>
    </w:p>
    <w:p w:rsidR="00000000" w:rsidDel="00000000" w:rsidP="00000000" w:rsidRDefault="00000000" w:rsidRPr="00000000" w14:paraId="0000000A">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color w:val="c00000"/>
        </w:rPr>
      </w:pPr>
      <w:r w:rsidDel="00000000" w:rsidR="00000000" w:rsidRPr="00000000">
        <w:rPr>
          <w:rFonts w:ascii="Arial" w:cs="Arial" w:eastAsia="Arial" w:hAnsi="Arial"/>
          <w:b w:val="1"/>
          <w:color w:val="c00000"/>
          <w:rtl w:val="0"/>
        </w:rPr>
        <w:t xml:space="preserve">SUJETS :</w:t>
      </w:r>
    </w:p>
    <w:p w:rsidR="00000000" w:rsidDel="00000000" w:rsidP="00000000" w:rsidRDefault="00000000" w:rsidRPr="00000000" w14:paraId="00000020">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Les Juifs en Éthiopie à travers l’exemple des Beta Israël</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Les Juifs du Portugal à travers les traditions des marranes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L’exil ou la conversion en Espagne à travers l’expulsion de 1492</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Les Juifs de Venise à travers le premier ghetto au monde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Napoléon et l’émancipation des Juifs de France à travers le cas des Juifs d’Alsace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La réinvention du judaïsme à travers l’histoire de l’Ordination de David Einhorn et la réforme en Allemagne</w:t>
      </w:r>
    </w:p>
    <w:p w:rsidR="00000000" w:rsidDel="00000000" w:rsidP="00000000" w:rsidRDefault="00000000" w:rsidRPr="00000000" w14:paraId="00000027">
      <w:pPr>
        <w:numPr>
          <w:ilvl w:val="0"/>
          <w:numId w:val="4"/>
        </w:numPr>
        <w:spacing w:after="0" w:line="360" w:lineRule="auto"/>
        <w:ind w:left="720" w:hanging="360"/>
        <w:rPr>
          <w:rFonts w:ascii="Arial" w:cs="Arial" w:eastAsia="Arial" w:hAnsi="Arial"/>
          <w:b w:val="1"/>
          <w:color w:val="c00000"/>
          <w:u w:val="none"/>
        </w:rPr>
      </w:pPr>
      <w:r w:rsidDel="00000000" w:rsidR="00000000" w:rsidRPr="00000000">
        <w:rPr>
          <w:rFonts w:ascii="Arial" w:cs="Arial" w:eastAsia="Arial" w:hAnsi="Arial"/>
          <w:b w:val="1"/>
          <w:color w:val="c00000"/>
          <w:rtl w:val="0"/>
        </w:rPr>
        <w:t xml:space="preserve">Activité mémoire: la Shoah à travers la rafle du Vel d’Hiv</w:t>
      </w:r>
    </w:p>
    <w:p w:rsidR="00000000" w:rsidDel="00000000" w:rsidP="00000000" w:rsidRDefault="00000000" w:rsidRPr="00000000" w14:paraId="00000028">
      <w:pPr>
        <w:numPr>
          <w:ilvl w:val="0"/>
          <w:numId w:val="4"/>
        </w:numPr>
        <w:spacing w:after="0" w:line="360" w:lineRule="auto"/>
        <w:ind w:left="720" w:hanging="360"/>
        <w:rPr>
          <w:rFonts w:ascii="Arial" w:cs="Arial" w:eastAsia="Arial" w:hAnsi="Arial"/>
          <w:b w:val="1"/>
          <w:color w:val="c00000"/>
          <w:u w:val="none"/>
        </w:rPr>
      </w:pPr>
      <w:r w:rsidDel="00000000" w:rsidR="00000000" w:rsidRPr="00000000">
        <w:rPr>
          <w:rFonts w:ascii="Arial" w:cs="Arial" w:eastAsia="Arial" w:hAnsi="Arial"/>
          <w:b w:val="1"/>
          <w:color w:val="c00000"/>
          <w:rtl w:val="0"/>
        </w:rPr>
        <w:t xml:space="preserve">Maccabiades individuelles</w:t>
      </w:r>
    </w:p>
    <w:p w:rsidR="00000000" w:rsidDel="00000000" w:rsidP="00000000" w:rsidRDefault="00000000" w:rsidRPr="00000000" w14:paraId="00000029">
      <w:pPr>
        <w:numPr>
          <w:ilvl w:val="0"/>
          <w:numId w:val="4"/>
        </w:numPr>
        <w:spacing w:after="0" w:line="360" w:lineRule="auto"/>
        <w:ind w:left="720" w:hanging="360"/>
        <w:rPr>
          <w:rFonts w:ascii="Arial" w:cs="Arial" w:eastAsia="Arial" w:hAnsi="Arial"/>
          <w:b w:val="1"/>
          <w:color w:val="c00000"/>
          <w:u w:val="none"/>
        </w:rPr>
      </w:pPr>
      <w:r w:rsidDel="00000000" w:rsidR="00000000" w:rsidRPr="00000000">
        <w:rPr>
          <w:rFonts w:ascii="Arial" w:cs="Arial" w:eastAsia="Arial" w:hAnsi="Arial"/>
          <w:b w:val="1"/>
          <w:color w:val="c00000"/>
          <w:rtl w:val="0"/>
        </w:rPr>
        <w:t xml:space="preserve">Maccabiades collectives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color w:val="c00000"/>
          <w:u w:val="none"/>
        </w:rPr>
      </w:pPr>
      <w:r w:rsidDel="00000000" w:rsidR="00000000" w:rsidRPr="00000000">
        <w:rPr>
          <w:rFonts w:ascii="Arial" w:cs="Arial" w:eastAsia="Arial" w:hAnsi="Arial"/>
          <w:b w:val="1"/>
          <w:color w:val="c00000"/>
          <w:rtl w:val="0"/>
        </w:rPr>
        <w:t xml:space="preserve">Les Juifs d’Inde et la route des épices à travers l’histoire des Cochinim</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Une communauté méconnue en Chine par l’exemple des Juifs de Kaifeng</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Les Juifs du Maroc à travers les chants judéo-arabes au mellah de Fès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Les Juifs de Russie à travers les influences du mouvement hassidique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La résistance juive en Pologne à travers les actions du ghetto de Varsovie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6">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8">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9">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ACTI 1 : Les Juifs en Éthiopie à travers l’exemple des Beta Israël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13.0" w:type="dxa"/>
        <w:jc w:val="left"/>
        <w:tblInd w:w="-399.0" w:type="dxa"/>
        <w:tblLayout w:type="fixed"/>
        <w:tblLook w:val="0600"/>
      </w:tblPr>
      <w:tblGrid>
        <w:gridCol w:w="4510"/>
        <w:gridCol w:w="5303"/>
        <w:tblGridChange w:id="0">
          <w:tblGrid>
            <w:gridCol w:w="4510"/>
            <w:gridCol w:w="5303"/>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677"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vivaient les Beta Israël avant leur arrivée en Israël.</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au moins une spécificité des pratiques juives des Beta Israël.</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Éthiopie.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n’avaient pas le Talmud et suivaient uniquement la Torah écrite.</w:t>
            </w:r>
          </w:p>
        </w:tc>
      </w:tr>
      <w:tr>
        <w:trPr>
          <w:cantSplit w:val="0"/>
          <w:trHeight w:val="677"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Nommer l’opération qui a permis leur aliyah en Israël.</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L’Opération Moïse (1984) ou L’Opération Salomon (1991).</w:t>
            </w:r>
          </w:p>
        </w:tc>
      </w:tr>
      <w:tr>
        <w:trPr>
          <w:cantSplit w:val="0"/>
          <w:trHeight w:val="677"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Énumérer deux différences entre les pratiques juives des Beta Israël et celles du Judaïsme rabbinique.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Ils ne connaissaient pas les fêtes de Hanouka et Pourim.</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Leur prière et leurs rituels ressemblaient à ceux du Temple de Jérusalem.</w:t>
            </w:r>
          </w:p>
        </w:tc>
      </w:tr>
    </w:tbl>
    <w:p w:rsidR="00000000" w:rsidDel="00000000" w:rsidP="00000000" w:rsidRDefault="00000000" w:rsidRPr="00000000" w14:paraId="0000005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ACTI 2 : Les Juifs du Portugal à travers les traditions des marranes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6" w:right="0" w:hanging="696"/>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13.0" w:type="dxa"/>
        <w:jc w:val="left"/>
        <w:tblInd w:w="-399.0" w:type="dxa"/>
        <w:tblLayout w:type="fixed"/>
        <w:tblLook w:val="0600"/>
      </w:tblPr>
      <w:tblGrid>
        <w:gridCol w:w="4510"/>
        <w:gridCol w:w="5303"/>
        <w:tblGridChange w:id="0">
          <w:tblGrid>
            <w:gridCol w:w="4510"/>
            <w:gridCol w:w="5303"/>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677"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vivaient les marranes.</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une pratique secrète qu’ils conservaient malgré les interdictions.</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 Portugal (et aussi en Espagne avant l’expulsion de 1492).</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Allumer des bougies en cachette pour Chabbat.</w:t>
            </w:r>
          </w:p>
        </w:tc>
      </w:tr>
      <w:tr>
        <w:trPr>
          <w:cantSplit w:val="0"/>
          <w:trHeight w:val="677"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une raison de pourquoi les marranes devaient cacher leur Judaïsme.</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Nommer le mot utilisé pour désigner les Juifs convertis de force au christianisme.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Parce que le roi du Portugal les a forcés à se convertir au christianisme, et l’Inquisition les poursuivait.</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Marranes »</w:t>
            </w:r>
          </w:p>
        </w:tc>
      </w:tr>
      <w:tr>
        <w:trPr>
          <w:cantSplit w:val="0"/>
          <w:trHeight w:val="677"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Énumérer deux manières dont les marranes ont préservé leur identité juive.</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deux pays vers lesquels ont fui certains marranes pour échapper à leur destin.</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Ils continuaient à manger casher en public en prétendant que c’était pour des raisons de santé. 2. Ils donnaient des prénoms hébraïques à leurs enfants en secret.</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Certains ont fui vers des pays tolérants comme les Pays-Bas ou l’Empire Ottoman. D’autres ont redécouvert leur Judaïsme récemment et sont revenus au sein de la communauté juive.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9">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4">
      <w:pPr>
        <w:jc w:val="center"/>
        <w:rPr>
          <w:rFonts w:ascii="Arial" w:cs="Arial" w:eastAsia="Arial" w:hAnsi="Arial"/>
          <w:b w:val="1"/>
          <w:color w:val="c00000"/>
        </w:rPr>
      </w:pPr>
      <w:r w:rsidDel="00000000" w:rsidR="00000000" w:rsidRPr="00000000">
        <w:rPr>
          <w:rFonts w:ascii="Arial" w:cs="Arial" w:eastAsia="Arial" w:hAnsi="Arial"/>
          <w:b w:val="1"/>
          <w:color w:val="c00000"/>
          <w:rtl w:val="0"/>
        </w:rPr>
        <w:t xml:space="preserve">ACTI 3 : L’exil ou la conversion en Espagne à travers l’expulsion de 1492</w:t>
      </w:r>
    </w:p>
    <w:p w:rsidR="00000000" w:rsidDel="00000000" w:rsidP="00000000" w:rsidRDefault="00000000" w:rsidRPr="00000000" w14:paraId="00000085">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quel roi a ordonné l’expulsion des Juifs d’Espagne en 1492.</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une conséquence directe de cette expulsion pour les Juifs d’Espagne.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 roi Ferdinand II et la reine Isabelle Ire.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ont dû fuir vers d’autres pays ou se convertir au christianisme.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une raison de pourquoi les Juifs ont été expulsés d’Espagne.</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Nommer deux pays où les Juifs espagnols ont trouvé refuge après 1492.</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souverains catholiques voulaient une Espagne chrétienne unie et considéraient les Juifs comme une menace.</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L’Empire Ottoman et le Maroc.</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Énumérer deux conséquences de l’expulsion sur la culture juive séfarade.</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Décrire en quelques phrases comment certains Juifs ont survécu en restant en Espagne malgré l’expulsion.</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ont développé la langue judéo-espagnole (le ladino). 2. Ils ont influencé les communautés juives des pays d’accueil avec leurs traditions. </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Certains se sont convertis de force au christianisme (marranes) mais ont continué à pratiquer en secret. D’autres ont tenté de cacher leur origine pour échapper à l’Inquisition.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ACTI 4: Les Juifs de Venise à travers le premier ghetto au monde</w:t>
      </w:r>
    </w:p>
    <w:p w:rsidR="00000000" w:rsidDel="00000000" w:rsidP="00000000" w:rsidRDefault="00000000" w:rsidRPr="00000000" w14:paraId="000000A6">
      <w:pPr>
        <w:jc w:val="cente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se trouve Venise.</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la définition d’un ghetto.</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Italie</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quartier où les Juifs étaient forcés de vivre séparés des autres habitants.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en quelle année le premier ghetto a été créé à Venise.</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une raison de pourquoi les juifs étaient contraints de vivre dans un ghetto</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1516</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Parce que les autorités vénitiennes voulaient les contrôler et limiter leurs contacts avec les chrétiens.</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deux professions que les Juifs étaient autorisés à exercer à Venise.</w:t>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deux conditions de vie dans le ghetto de Venise.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Prêteur sur gage. 2. Médecin.</w:t>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ghetto était fermé par des portes gardées la nuit. Il y avait peu d’espace, donc les immeubles étaient très hauts. Les Juifs devaient payer des taxes spéciales pour avoir le droit de rester à Venise.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6">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7">
      <w:pPr>
        <w:spacing w:line="360" w:lineRule="auto"/>
        <w:ind w:left="360"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ACTI 5 : Napoléon et l’émancipation des Juifs de France à travers le cas des Juifs d’Alsace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vivaient les Juifs d’Alsace.</w:t>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 métier souvent exercé par les Juifs d’Alsace avant l’émancipation.</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France</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Prêteur à gage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Expliquer en 1 phrase ce qu’a fait Napoléon pour les Juifs de France.</w:t>
            </w:r>
          </w:p>
          <w:p w:rsidR="00000000" w:rsidDel="00000000" w:rsidP="00000000" w:rsidRDefault="00000000" w:rsidRPr="00000000" w14:paraId="000000D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Nommer le document officiel qui a organisé la vie juive en France sous Napoléon.</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leur a donné les mêmes droits que les autres citoyens français.</w:t>
            </w:r>
          </w:p>
          <w:p w:rsidR="00000000" w:rsidDel="00000000" w:rsidP="00000000" w:rsidRDefault="00000000" w:rsidRPr="00000000" w14:paraId="000000D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Décret de 1808 (ou les "Articles organiques du culte israélite").</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0D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Énumérer deux conséquences de l’émancipation des Juifs en France.</w:t>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un fait qui montre que l’émancipation des juifs était encore compliquée sous Napoléon en Alsace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D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ont pu exercer tous les métiers et devenir citoyens à part entière. 2. Les communautés juives ont dû s’organiser sous le contrôle de l’État.</w:t>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Juifs étaient encore victimes de préjugés, et Napoléon a imposé des restrictions temporaires, comme des limitations sur le crédit qu’ils accordaient aux paysans.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5">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ACTI 6 : La réinvention du judaïsme à travers l’histoire de l’Ordination de David Einhorn et la réforme en Allemagne</w:t>
      </w:r>
    </w:p>
    <w:p w:rsidR="00000000" w:rsidDel="00000000" w:rsidP="00000000" w:rsidRDefault="00000000" w:rsidRPr="00000000" w14:paraId="000000E7">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0E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est née la réforme du judaïsme.</w:t>
            </w:r>
          </w:p>
          <w:p w:rsidR="00000000" w:rsidDel="00000000" w:rsidP="00000000" w:rsidRDefault="00000000" w:rsidRPr="00000000" w14:paraId="000000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une définition en quelques mots ce que signifie "réformer" une religion.</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E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Allemagne </w:t>
            </w:r>
          </w:p>
          <w:p w:rsidR="00000000" w:rsidDel="00000000" w:rsidP="00000000" w:rsidRDefault="00000000" w:rsidRPr="00000000" w14:paraId="000000F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Changer certaines pratiques pour les adapter à l’époque moderne.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0F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une modification apportée par le judaïsme réformé.</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qui était David Einhorn.</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F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prières étaient en partie en allemand au lieu de l’hébreu.</w:t>
            </w:r>
          </w:p>
          <w:p w:rsidR="00000000" w:rsidDel="00000000" w:rsidP="00000000" w:rsidRDefault="00000000" w:rsidRPr="00000000" w14:paraId="000000F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rabbin réformateur qui a défendu un judaïsme plus moderne et progressiste.</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0F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Énumérer deux différences entre le judaïsme réformé et le judaïsme orthodoxe.</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deux arguments d’opposition autour de la réforme du judaïsme </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Certains juifs pensaient qu’il fallait moderniser la religion pour mieux s’intégrer dans la société, tandis que d’autres craignaient de perdre les traditions.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Certains juifs pensaient qu’il fallait moderniser la religion pour mieux s’intégrer dans la société, tandis que d’autres craignaient de perdre les traditions.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7">
      <w:pPr>
        <w:spacing w:after="0" w:line="360" w:lineRule="auto"/>
        <w:ind w:left="64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ACTI 7 mémoire: La Shoah à travers la rafle du Vel d’Hiv</w:t>
      </w:r>
    </w:p>
    <w:p w:rsidR="00000000" w:rsidDel="00000000" w:rsidP="00000000" w:rsidRDefault="00000000" w:rsidRPr="00000000" w14:paraId="00000108">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09">
      <w:pPr>
        <w:spacing w:after="0" w:line="276" w:lineRule="auto"/>
        <w:ind w:left="720" w:firstLine="0"/>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SOUS – OBJECTIFS :</w:t>
      </w:r>
    </w:p>
    <w:p w:rsidR="00000000" w:rsidDel="00000000" w:rsidP="00000000" w:rsidRDefault="00000000" w:rsidRPr="00000000" w14:paraId="0000010A">
      <w:pPr>
        <w:spacing w:after="0" w:line="276" w:lineRule="auto"/>
        <w:ind w:left="720" w:firstLine="0"/>
        <w:rPr>
          <w:rFonts w:ascii="Arial" w:cs="Arial" w:eastAsia="Arial" w:hAnsi="Arial"/>
        </w:rPr>
      </w:pPr>
      <w:r w:rsidDel="00000000" w:rsidR="00000000" w:rsidRPr="00000000">
        <w:rPr>
          <w:rtl w:val="0"/>
        </w:rPr>
      </w:r>
    </w:p>
    <w:tbl>
      <w:tblPr>
        <w:tblStyle w:val="Table7"/>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8/9 ans doit être capable de</w:t>
            </w:r>
          </w:p>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widowControl w:val="0"/>
              <w:spacing w:after="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Citer 1 groupe de personnes arrêtées pendant la rafle du Vel d’Hiv.</w:t>
            </w:r>
          </w:p>
          <w:tbl>
            <w:tblPr>
              <w:tblStyle w:val="Table8"/>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tblGridChange w:id="0">
                <w:tblGrid>
                  <w:gridCol w:w="43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Donner 1 raison pour laquelle la rafle est un événement choquant.</w:t>
                  </w:r>
                </w:p>
              </w:tc>
            </w:tr>
          </w:tbl>
          <w:p w:rsidR="00000000" w:rsidDel="00000000" w:rsidP="00000000" w:rsidRDefault="00000000" w:rsidRPr="00000000" w14:paraId="00000111">
            <w:pPr>
              <w:widowControl w:val="0"/>
              <w:spacing w:after="0" w:line="276" w:lineRule="auto"/>
              <w:ind w:left="0"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12">
            <w:pPr>
              <w:widowControl w:val="0"/>
              <w:numPr>
                <w:ilvl w:val="0"/>
                <w:numId w:val="3"/>
              </w:numPr>
              <w:tabs>
                <w:tab w:val="left" w:leader="none" w:pos="1673"/>
              </w:tabs>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Les Juifs (hommes, femmes et enfants).</w:t>
            </w:r>
          </w:p>
          <w:p w:rsidR="00000000" w:rsidDel="00000000" w:rsidP="00000000" w:rsidRDefault="00000000" w:rsidRPr="00000000" w14:paraId="00000113">
            <w:pPr>
              <w:widowControl w:val="0"/>
              <w:numPr>
                <w:ilvl w:val="0"/>
                <w:numId w:val="3"/>
              </w:numPr>
              <w:tabs>
                <w:tab w:val="left" w:leader="none" w:pos="1673"/>
              </w:tabs>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 enfants ont été arrêtés et séparés de leurs parents.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14">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9 à 10 ans doit être capable</w:t>
            </w:r>
          </w:p>
          <w:p w:rsidR="00000000" w:rsidDel="00000000" w:rsidP="00000000" w:rsidRDefault="00000000" w:rsidRPr="00000000" w14:paraId="00000115">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Énumérer 2 acteurs impliqués dans la rafle.</w:t>
            </w:r>
          </w:p>
          <w:p w:rsidR="00000000" w:rsidDel="00000000" w:rsidP="00000000" w:rsidRDefault="00000000" w:rsidRPr="00000000" w14:paraId="00000116">
            <w:pPr>
              <w:widowControl w:val="0"/>
              <w:numPr>
                <w:ilvl w:val="0"/>
                <w:numId w:val="3"/>
              </w:numPr>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Donner la date de la rafle du Vel d’Hiv.</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17">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1. La police française, 2. Les nazis.</w:t>
            </w:r>
          </w:p>
          <w:p w:rsidR="00000000" w:rsidDel="00000000" w:rsidP="00000000" w:rsidRDefault="00000000" w:rsidRPr="00000000" w14:paraId="00000118">
            <w:pPr>
              <w:widowControl w:val="0"/>
              <w:numPr>
                <w:ilvl w:val="0"/>
                <w:numId w:val="3"/>
              </w:numPr>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16 et 17 juillet 1942.</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19">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10 à 11 ans doit être capable de</w:t>
            </w:r>
          </w:p>
          <w:p w:rsidR="00000000" w:rsidDel="00000000" w:rsidP="00000000" w:rsidRDefault="00000000" w:rsidRPr="00000000" w14:paraId="0000011A">
            <w:pPr>
              <w:widowControl w:val="0"/>
              <w:numPr>
                <w:ilvl w:val="0"/>
                <w:numId w:val="1"/>
              </w:numPr>
              <w:spacing w:after="0" w:afterAutospacing="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Citer 2 conséquences directes de la rafle pour les familles juives.</w:t>
            </w:r>
          </w:p>
          <w:p w:rsidR="00000000" w:rsidDel="00000000" w:rsidP="00000000" w:rsidRDefault="00000000" w:rsidRPr="00000000" w14:paraId="0000011B">
            <w:pPr>
              <w:widowControl w:val="0"/>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11C">
            <w:pPr>
              <w:widowControl w:val="0"/>
              <w:numPr>
                <w:ilvl w:val="0"/>
                <w:numId w:val="1"/>
              </w:numPr>
              <w:spacing w:after="24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Énoncer 1 raison pour laquelle on commémore cet événement aujourd’hui.</w:t>
            </w:r>
          </w:p>
          <w:p w:rsidR="00000000" w:rsidDel="00000000" w:rsidP="00000000" w:rsidRDefault="00000000" w:rsidRPr="00000000" w14:paraId="0000011D">
            <w:pPr>
              <w:widowControl w:val="0"/>
              <w:spacing w:after="240" w:before="24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1E">
            <w:pPr>
              <w:widowControl w:val="0"/>
              <w:numPr>
                <w:ilvl w:val="0"/>
                <w:numId w:val="2"/>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Emprisonnement au Vélodrome d’Hiver, 2. Déportation vers les camps.</w:t>
            </w:r>
          </w:p>
          <w:p w:rsidR="00000000" w:rsidDel="00000000" w:rsidP="00000000" w:rsidRDefault="00000000" w:rsidRPr="00000000" w14:paraId="0000011F">
            <w:pPr>
              <w:widowControl w:val="0"/>
              <w:spacing w:after="240" w:before="24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widowControl w:val="0"/>
              <w:numPr>
                <w:ilvl w:val="0"/>
                <w:numId w:val="2"/>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Pour ne pas oublier les victimes et apprendre du passé.</w:t>
            </w:r>
          </w:p>
          <w:p w:rsidR="00000000" w:rsidDel="00000000" w:rsidP="00000000" w:rsidRDefault="00000000" w:rsidRPr="00000000" w14:paraId="00000121">
            <w:pPr>
              <w:widowControl w:val="0"/>
              <w:spacing w:after="240" w:before="24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widowControl w:val="0"/>
              <w:spacing w:after="240" w:before="24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4">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25">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26">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27">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28">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2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F">
      <w:pPr>
        <w:spacing w:after="0" w:line="360" w:lineRule="auto"/>
        <w:ind w:left="64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ACTI 8: MACCABIADES INDIVIDUELLES</w:t>
      </w:r>
    </w:p>
    <w:p w:rsidR="00000000" w:rsidDel="00000000" w:rsidP="00000000" w:rsidRDefault="00000000" w:rsidRPr="00000000" w14:paraId="00000130">
      <w:pPr>
        <w:spacing w:after="0" w:line="360" w:lineRule="auto"/>
        <w:ind w:left="64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31">
      <w:pPr>
        <w:spacing w:after="0" w:line="360" w:lineRule="auto"/>
        <w:ind w:left="64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ACTI 9: MACCABIADES COLLECTIVES</w:t>
      </w:r>
    </w:p>
    <w:p w:rsidR="00000000" w:rsidDel="00000000" w:rsidP="00000000" w:rsidRDefault="00000000" w:rsidRPr="00000000" w14:paraId="0000013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3">
      <w:pPr>
        <w:spacing w:line="360" w:lineRule="auto"/>
        <w:ind w:left="28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 ACTI 10 : Les Juifs d’Inde et la route des épices à travers l’histoire des Cochinim</w:t>
      </w:r>
    </w:p>
    <w:p w:rsidR="00000000" w:rsidDel="00000000" w:rsidP="00000000" w:rsidRDefault="00000000" w:rsidRPr="00000000" w14:paraId="00000154">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1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vivaient les Juifs Cochinim.</w:t>
            </w:r>
          </w:p>
          <w:p w:rsidR="00000000" w:rsidDel="00000000" w:rsidP="00000000" w:rsidRDefault="00000000" w:rsidRPr="00000000" w14:paraId="000001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 produit important que les Juifs Cochinim commerçaient.</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w:t>
            </w:r>
          </w:p>
          <w:p w:rsidR="00000000" w:rsidDel="00000000" w:rsidP="00000000" w:rsidRDefault="00000000" w:rsidRPr="00000000" w14:paraId="000001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épices (comme le poivre et la cardamome).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1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deux raisons expliquant pourquoi les Juifs se sont installés en Inde.</w:t>
            </w:r>
          </w:p>
          <w:p w:rsidR="00000000" w:rsidDel="00000000" w:rsidP="00000000" w:rsidRDefault="00000000" w:rsidRPr="00000000" w14:paraId="000001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Nommer la ville où vivait la principale communauté juive d’Inde.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ont fui des persécutions et ont été bien accueillis par les rois locaux.</w:t>
            </w:r>
          </w:p>
          <w:p w:rsidR="00000000" w:rsidDel="00000000" w:rsidP="00000000" w:rsidRDefault="00000000" w:rsidRPr="00000000" w14:paraId="000001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Cochin.</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1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Énumérer deux particularités de la communauté juive de Cochin.</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le pays dans lequel ont migré les Juifs Cochinim au XXe siècle.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Ils avaient des synagogues décorées dans le style indien. 2. Ils étaient divisés en plusieurs groupes selon leur origine (Blancs, Noirs et Métis).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Après la création d’Israël en 1948, la plupart ont fait leur aliyah, et il ne reste aujourd’hui que quelques Juifs en Inde.</w:t>
            </w:r>
          </w:p>
        </w:tc>
      </w:tr>
    </w:tbl>
    <w:p w:rsidR="00000000" w:rsidDel="00000000" w:rsidP="00000000" w:rsidRDefault="00000000" w:rsidRPr="00000000" w14:paraId="00000169">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A">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B">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C">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E">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F">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0">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1">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2">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3">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4">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643"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ACTI </w:t>
      </w:r>
      <w:r w:rsidDel="00000000" w:rsidR="00000000" w:rsidRPr="00000000">
        <w:rPr>
          <w:rFonts w:ascii="Arial" w:cs="Arial" w:eastAsia="Arial" w:hAnsi="Arial"/>
          <w:b w:val="1"/>
          <w:color w:val="c00000"/>
          <w:rtl w:val="0"/>
        </w:rPr>
        <w:t xml:space="preserve">11</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 Une communauté méconnue en Chine par l’exemple des Juifs de Kaifeng</w:t>
      </w:r>
    </w:p>
    <w:p w:rsidR="00000000" w:rsidDel="00000000" w:rsidP="00000000" w:rsidRDefault="00000000" w:rsidRPr="00000000" w14:paraId="00000176">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SOUS – OBJECTIFS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8/9 ans doit être capable de</w:t>
            </w:r>
          </w:p>
          <w:p w:rsidR="00000000" w:rsidDel="00000000" w:rsidP="00000000" w:rsidRDefault="00000000" w:rsidRPr="00000000" w14:paraId="000001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 dans quel pays vivait la communauté juive de Kaifeng.</w:t>
            </w:r>
          </w:p>
          <w:p w:rsidR="00000000" w:rsidDel="00000000" w:rsidP="00000000" w:rsidRDefault="00000000" w:rsidRPr="00000000" w14:paraId="000001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Citer une particularité des Juifs de Kaifeng.</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Chine.</w:t>
            </w:r>
          </w:p>
          <w:p w:rsidR="00000000" w:rsidDel="00000000" w:rsidP="00000000" w:rsidRDefault="00000000" w:rsidRPr="00000000" w14:paraId="000001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3"/>
              </w:tabs>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avaient adopté les vêtements et la langue chinoise.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9 à 10 ans doit être capable</w:t>
            </w:r>
          </w:p>
          <w:p w:rsidR="00000000" w:rsidDel="00000000" w:rsidP="00000000" w:rsidRDefault="00000000" w:rsidRPr="00000000" w14:paraId="000001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Donner le nom de la route par laquelle les Juifs sont arrivés en Chine.</w:t>
            </w:r>
          </w:p>
          <w:p w:rsidR="00000000" w:rsidDel="00000000" w:rsidP="00000000" w:rsidRDefault="00000000" w:rsidRPr="00000000" w14:paraId="000001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Décrire un élément architectural ou culturel unique de la communauté juive de Kaifeng.</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sont venus par la route de la soie, probablement au Moyen Âge.</w:t>
            </w:r>
          </w:p>
          <w:p w:rsidR="00000000" w:rsidDel="00000000" w:rsidP="00000000" w:rsidRDefault="00000000" w:rsidRPr="00000000" w14:paraId="000001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 avaient une synagogue construite dans le style des temples chinois.</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L'enfant de 10 à 11 ans doit être capable de</w:t>
            </w:r>
          </w:p>
          <w:p w:rsidR="00000000" w:rsidDel="00000000" w:rsidP="00000000" w:rsidRDefault="00000000" w:rsidRPr="00000000" w14:paraId="000001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Énumérer deux raisons pour lesquelles la communauté juive de Kaifeng a presque disparu.</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Décrire en une phrase ce qu’il reste aujourd’hui des Juifs de Kaifeng.</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1. Ils se sont assimilés en épousant des non-juifs. 2. Leur synagogue a été détruite par des inondations.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Quelques familles revendiquent encore leur origine juive, mais elles ont perdu la plupart des traditions religieuses.</w:t>
            </w:r>
          </w:p>
        </w:tc>
      </w:tr>
    </w:tbl>
    <w:p w:rsidR="00000000" w:rsidDel="00000000" w:rsidP="00000000" w:rsidRDefault="00000000" w:rsidRPr="00000000" w14:paraId="0000018A">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B">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C">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D">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4">
      <w:pPr>
        <w:spacing w:line="360" w:lineRule="auto"/>
        <w:ind w:left="28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 ACTI 12 : Les Juifs du Maroc à travers les chants judéo-arabes au mellah de Fès</w:t>
      </w:r>
    </w:p>
    <w:p w:rsidR="00000000" w:rsidDel="00000000" w:rsidP="00000000" w:rsidRDefault="00000000" w:rsidRPr="00000000" w14:paraId="00000195">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96">
      <w:pPr>
        <w:spacing w:after="0" w:line="276" w:lineRule="auto"/>
        <w:ind w:left="720" w:firstLine="0"/>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SOUS – OBJECTIFS :</w:t>
      </w:r>
    </w:p>
    <w:p w:rsidR="00000000" w:rsidDel="00000000" w:rsidP="00000000" w:rsidRDefault="00000000" w:rsidRPr="00000000" w14:paraId="00000197">
      <w:pPr>
        <w:spacing w:after="0" w:line="276" w:lineRule="auto"/>
        <w:ind w:left="720" w:firstLine="0"/>
        <w:rPr>
          <w:rFonts w:ascii="Arial" w:cs="Arial" w:eastAsia="Arial" w:hAnsi="Arial"/>
        </w:rPr>
      </w:pPr>
      <w:r w:rsidDel="00000000" w:rsidR="00000000" w:rsidRPr="00000000">
        <w:rPr>
          <w:rtl w:val="0"/>
        </w:rPr>
      </w:r>
    </w:p>
    <w:tbl>
      <w:tblPr>
        <w:tblStyle w:val="Table11"/>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8">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RÉPONSES</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8/9 ans doit être capable de</w:t>
            </w:r>
          </w:p>
          <w:p w:rsidR="00000000" w:rsidDel="00000000" w:rsidP="00000000" w:rsidRDefault="00000000" w:rsidRPr="00000000" w14:paraId="0000019B">
            <w:pPr>
              <w:widowControl w:val="0"/>
              <w:numPr>
                <w:ilvl w:val="0"/>
                <w:numId w:val="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Citer 1 pays où vivaient des Juifs chantant en judéo-arabe.</w:t>
            </w:r>
          </w:p>
          <w:p w:rsidR="00000000" w:rsidDel="00000000" w:rsidP="00000000" w:rsidRDefault="00000000" w:rsidRPr="00000000" w14:paraId="0000019C">
            <w:pPr>
              <w:widowControl w:val="0"/>
              <w:numPr>
                <w:ilvl w:val="0"/>
                <w:numId w:val="3"/>
              </w:numPr>
              <w:spacing w:after="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Donner 1 exemple de ce qu’on peut entendre dans un chant judéo-arabe.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9D">
            <w:pPr>
              <w:widowControl w:val="0"/>
              <w:numPr>
                <w:ilvl w:val="0"/>
                <w:numId w:val="3"/>
              </w:numPr>
              <w:tabs>
                <w:tab w:val="left" w:leader="none" w:pos="1673"/>
              </w:tabs>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Le Maroc.</w:t>
            </w:r>
          </w:p>
          <w:p w:rsidR="00000000" w:rsidDel="00000000" w:rsidP="00000000" w:rsidRDefault="00000000" w:rsidRPr="00000000" w14:paraId="0000019E">
            <w:pPr>
              <w:widowControl w:val="0"/>
              <w:numPr>
                <w:ilvl w:val="0"/>
                <w:numId w:val="3"/>
              </w:numPr>
              <w:tabs>
                <w:tab w:val="left" w:leader="none" w:pos="1673"/>
              </w:tabs>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 mots en hébreu mélangés à de l’arabe.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9F">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9 à 10 ans doit être capable</w:t>
            </w:r>
          </w:p>
          <w:p w:rsidR="00000000" w:rsidDel="00000000" w:rsidP="00000000" w:rsidRDefault="00000000" w:rsidRPr="00000000" w14:paraId="000001A0">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Nommer 1 lieu où vivaient les Juifs à Fès.</w:t>
            </w:r>
          </w:p>
          <w:p w:rsidR="00000000" w:rsidDel="00000000" w:rsidP="00000000" w:rsidRDefault="00000000" w:rsidRPr="00000000" w14:paraId="000001A1">
            <w:pPr>
              <w:widowControl w:val="0"/>
              <w:numPr>
                <w:ilvl w:val="0"/>
                <w:numId w:val="3"/>
              </w:numPr>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Énumérer 2 thèmes souvent chantés dans les musiques judéo-arabes.</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A2">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Le mellah (quartier juif).</w:t>
            </w:r>
          </w:p>
          <w:p w:rsidR="00000000" w:rsidDel="00000000" w:rsidP="00000000" w:rsidRDefault="00000000" w:rsidRPr="00000000" w14:paraId="000001A3">
            <w:pPr>
              <w:widowControl w:val="0"/>
              <w:numPr>
                <w:ilvl w:val="0"/>
                <w:numId w:val="3"/>
              </w:numPr>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L’amour, 2. La vie religieuse.</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A4">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10 à 11 ans doit être capable de</w:t>
            </w:r>
          </w:p>
          <w:p w:rsidR="00000000" w:rsidDel="00000000" w:rsidP="00000000" w:rsidRDefault="00000000" w:rsidRPr="00000000" w14:paraId="000001A5">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Citer 2 rôles que jouaient les chants judéo-arabes dans la communauté.</w:t>
            </w:r>
          </w:p>
          <w:p w:rsidR="00000000" w:rsidDel="00000000" w:rsidP="00000000" w:rsidRDefault="00000000" w:rsidRPr="00000000" w14:paraId="000001A6">
            <w:pPr>
              <w:widowControl w:val="0"/>
              <w:numPr>
                <w:ilvl w:val="0"/>
                <w:numId w:val="3"/>
              </w:numPr>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Identifier 1 raison pour laquelle ces chants sont importants pour la mémoire juive du Maroc.</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A7">
            <w:pPr>
              <w:widowControl w:val="0"/>
              <w:numPr>
                <w:ilvl w:val="0"/>
                <w:numId w:val="5"/>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Transmettre les traditions, 2. Rassembler les familles lors des fêtes.</w:t>
            </w:r>
          </w:p>
          <w:p w:rsidR="00000000" w:rsidDel="00000000" w:rsidP="00000000" w:rsidRDefault="00000000" w:rsidRPr="00000000" w14:paraId="000001A8">
            <w:pPr>
              <w:widowControl w:val="0"/>
              <w:spacing w:after="240" w:before="24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widowControl w:val="0"/>
              <w:numPr>
                <w:ilvl w:val="0"/>
                <w:numId w:val="5"/>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Ils gardent vivante la culture des Juifs marocains même après leur départ.</w:t>
            </w:r>
          </w:p>
        </w:tc>
      </w:tr>
    </w:tbl>
    <w:p w:rsidR="00000000" w:rsidDel="00000000" w:rsidP="00000000" w:rsidRDefault="00000000" w:rsidRPr="00000000" w14:paraId="000001A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B">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AC">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AD">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AE">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AF">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0">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1">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2">
      <w:pPr>
        <w:spacing w:line="360" w:lineRule="auto"/>
        <w:ind w:left="283"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3">
      <w:pPr>
        <w:spacing w:line="360" w:lineRule="auto"/>
        <w:ind w:left="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4">
      <w:pPr>
        <w:spacing w:line="360" w:lineRule="auto"/>
        <w:ind w:left="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5">
      <w:pPr>
        <w:spacing w:line="360" w:lineRule="auto"/>
        <w:ind w:left="28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 ACTI 13 : Les Juifs de Russie à travers les influences du mouvement hassidique</w:t>
      </w:r>
    </w:p>
    <w:p w:rsidR="00000000" w:rsidDel="00000000" w:rsidP="00000000" w:rsidRDefault="00000000" w:rsidRPr="00000000" w14:paraId="000001B6">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B7">
      <w:pPr>
        <w:spacing w:after="0" w:line="276" w:lineRule="auto"/>
        <w:ind w:left="720" w:firstLine="0"/>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SOUS – OBJECTIFS :</w:t>
      </w:r>
    </w:p>
    <w:p w:rsidR="00000000" w:rsidDel="00000000" w:rsidP="00000000" w:rsidRDefault="00000000" w:rsidRPr="00000000" w14:paraId="000001B8">
      <w:pPr>
        <w:spacing w:after="0" w:line="276" w:lineRule="auto"/>
        <w:ind w:left="720" w:firstLine="0"/>
        <w:rPr>
          <w:rFonts w:ascii="Arial" w:cs="Arial" w:eastAsia="Arial" w:hAnsi="Arial"/>
        </w:rPr>
      </w:pPr>
      <w:r w:rsidDel="00000000" w:rsidR="00000000" w:rsidRPr="00000000">
        <w:rPr>
          <w:rtl w:val="0"/>
        </w:rPr>
      </w:r>
    </w:p>
    <w:sdt>
      <w:sdtPr>
        <w:lock w:val="contentLocked"/>
        <w:tag w:val="goog_rdk_0"/>
      </w:sdtPr>
      <w:sdtContent>
        <w:tbl>
          <w:tblPr>
            <w:tblStyle w:val="Table12"/>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A">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RÉPONSES</w:t>
                </w:r>
              </w:p>
            </w:tc>
          </w:tr>
          <w:tr>
            <w:trPr>
              <w:cantSplit w:val="0"/>
              <w:trHeight w:val="1162.91015625"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8/9 ans doit être capable de</w:t>
                </w:r>
              </w:p>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widowControl w:val="0"/>
                  <w:numPr>
                    <w:ilvl w:val="0"/>
                    <w:numId w:val="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Citer 1 pays où s’est développé le hassidisme.</w:t>
                </w:r>
              </w:p>
              <w:p w:rsidR="00000000" w:rsidDel="00000000" w:rsidP="00000000" w:rsidRDefault="00000000" w:rsidRPr="00000000" w14:paraId="000001BE">
                <w:pPr>
                  <w:widowControl w:val="0"/>
                  <w:numPr>
                    <w:ilvl w:val="0"/>
                    <w:numId w:val="3"/>
                  </w:numPr>
                  <w:spacing w:after="0" w:line="276" w:lineRule="auto"/>
                  <w:ind w:left="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widowControl w:val="0"/>
                  <w:numPr>
                    <w:ilvl w:val="0"/>
                    <w:numId w:val="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Donner 1 élément important dans les pratiques des hassidim.</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C0">
                <w:pPr>
                  <w:widowControl w:val="0"/>
                  <w:numPr>
                    <w:ilvl w:val="0"/>
                    <w:numId w:val="3"/>
                  </w:numPr>
                  <w:tabs>
                    <w:tab w:val="left" w:leader="none" w:pos="1673"/>
                  </w:tabs>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La Russie (ou l’Ukraine actuelle).</w:t>
                </w:r>
              </w:p>
              <w:p w:rsidR="00000000" w:rsidDel="00000000" w:rsidP="00000000" w:rsidRDefault="00000000" w:rsidRPr="00000000" w14:paraId="000001C1">
                <w:pPr>
                  <w:widowControl w:val="0"/>
                  <w:numPr>
                    <w:ilvl w:val="0"/>
                    <w:numId w:val="3"/>
                  </w:numPr>
                  <w:tabs>
                    <w:tab w:val="left" w:leader="none" w:pos="1673"/>
                  </w:tabs>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La danse ou la musique pour prier avec joie.</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C2">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9 à 10 ans doit être capable</w:t>
                </w:r>
              </w:p>
              <w:p w:rsidR="00000000" w:rsidDel="00000000" w:rsidP="00000000" w:rsidRDefault="00000000" w:rsidRPr="00000000" w14:paraId="000001C3">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Énumérer 2 caractéristiques du mouvement hassidique.</w:t>
                </w:r>
              </w:p>
              <w:p w:rsidR="00000000" w:rsidDel="00000000" w:rsidP="00000000" w:rsidRDefault="00000000" w:rsidRPr="00000000" w14:paraId="000001C4">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Citer 1 personnage célèbre lié au hassidisme.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C5">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 Joie dans la prière, 2. Importance du tsaddik (chef spirituel).</w:t>
                </w:r>
              </w:p>
              <w:p w:rsidR="00000000" w:rsidDel="00000000" w:rsidP="00000000" w:rsidRDefault="00000000" w:rsidRPr="00000000" w14:paraId="000001C6">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Le Baal Shem Tov.</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C7">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10 à 11 ans doit être capable de</w:t>
                </w:r>
              </w:p>
              <w:p w:rsidR="00000000" w:rsidDel="00000000" w:rsidP="00000000" w:rsidRDefault="00000000" w:rsidRPr="00000000" w14:paraId="000001C8">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Donner 2 différences entre le hassidisme et d’autres formes de judaïsme traditionnel.</w:t>
                </w:r>
              </w:p>
              <w:p w:rsidR="00000000" w:rsidDel="00000000" w:rsidP="00000000" w:rsidRDefault="00000000" w:rsidRPr="00000000" w14:paraId="000001C9">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Expliquer en 1 phrase pourquoi le hassidisme a influencé de nombreuses communautés juives.</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CA">
                <w:pPr>
                  <w:widowControl w:val="0"/>
                  <w:numPr>
                    <w:ilvl w:val="0"/>
                    <w:numId w:val="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Le hassidisme insiste sur l’émotion dans la prière, 2. Il met le tsaddik au centre de la vie spirituelle.</w:t>
                </w:r>
              </w:p>
              <w:p w:rsidR="00000000" w:rsidDel="00000000" w:rsidP="00000000" w:rsidRDefault="00000000" w:rsidRPr="00000000" w14:paraId="000001CB">
                <w:pPr>
                  <w:widowControl w:val="0"/>
                  <w:numPr>
                    <w:ilvl w:val="0"/>
                    <w:numId w:val="5"/>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Parce qu’il a rendu la religion plus accessible et joyeuse pour les Juifs simples.</w:t>
                </w:r>
              </w:p>
            </w:tc>
          </w:tr>
        </w:tbl>
      </w:sdtContent>
    </w:sdt>
    <w:p w:rsidR="00000000" w:rsidDel="00000000" w:rsidP="00000000" w:rsidRDefault="00000000" w:rsidRPr="00000000" w14:paraId="000001CC">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CD">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CE">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CF">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0">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1">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2">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3">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4">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6">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7">
      <w:pPr>
        <w:spacing w:line="360" w:lineRule="auto"/>
        <w:ind w:left="283"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 ACTI 14 : La résistance juive en Pologne à travers les actions du ghetto de Varsovie</w:t>
      </w:r>
    </w:p>
    <w:p w:rsidR="00000000" w:rsidDel="00000000" w:rsidP="00000000" w:rsidRDefault="00000000" w:rsidRPr="00000000" w14:paraId="000001D8">
      <w:pPr>
        <w:spacing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D9">
      <w:pPr>
        <w:spacing w:after="0" w:line="276" w:lineRule="auto"/>
        <w:ind w:left="720" w:firstLine="0"/>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SOUS – OBJECTIFS :</w:t>
      </w:r>
    </w:p>
    <w:p w:rsidR="00000000" w:rsidDel="00000000" w:rsidP="00000000" w:rsidRDefault="00000000" w:rsidRPr="00000000" w14:paraId="000001DA">
      <w:pPr>
        <w:spacing w:after="0" w:line="276" w:lineRule="auto"/>
        <w:ind w:left="720" w:firstLine="0"/>
        <w:rPr>
          <w:rFonts w:ascii="Arial" w:cs="Arial" w:eastAsia="Arial" w:hAnsi="Arial"/>
        </w:rPr>
      </w:pPr>
      <w:r w:rsidDel="00000000" w:rsidR="00000000" w:rsidRPr="00000000">
        <w:rPr>
          <w:rtl w:val="0"/>
        </w:rPr>
      </w:r>
    </w:p>
    <w:sdt>
      <w:sdtPr>
        <w:lock w:val="contentLocked"/>
        <w:tag w:val="goog_rdk_1"/>
      </w:sdtPr>
      <w:sdtContent>
        <w:tbl>
          <w:tblPr>
            <w:tblStyle w:val="Table13"/>
            <w:tblW w:w="9827.0" w:type="dxa"/>
            <w:jc w:val="left"/>
            <w:tblInd w:w="-399.0" w:type="dxa"/>
            <w:tblLayout w:type="fixed"/>
            <w:tblLook w:val="0600"/>
          </w:tblPr>
          <w:tblGrid>
            <w:gridCol w:w="4516"/>
            <w:gridCol w:w="5311"/>
            <w:tblGridChange w:id="0">
              <w:tblGrid>
                <w:gridCol w:w="4516"/>
                <w:gridCol w:w="5311"/>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B">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SOUS-OBJECTIFS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C">
                <w:pPr>
                  <w:widowControl w:val="0"/>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RÉPONSES</w:t>
                </w:r>
              </w:p>
            </w:tc>
          </w:tr>
          <w:tr>
            <w:trPr>
              <w:cantSplit w:val="0"/>
              <w:trHeight w:val="1162.91015625"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8/9 ans doit être capable de</w:t>
                </w:r>
              </w:p>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F">
                <w:pPr>
                  <w:widowControl w:val="0"/>
                  <w:numPr>
                    <w:ilvl w:val="0"/>
                    <w:numId w:val="3"/>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Citer 1 pays où des Juifs ont résisté pendant la Shoah.</w:t>
                </w:r>
              </w:p>
              <w:p w:rsidR="00000000" w:rsidDel="00000000" w:rsidP="00000000" w:rsidRDefault="00000000" w:rsidRPr="00000000" w14:paraId="000001E0">
                <w:pPr>
                  <w:widowControl w:val="0"/>
                  <w:numPr>
                    <w:ilvl w:val="0"/>
                    <w:numId w:val="3"/>
                  </w:numPr>
                  <w:spacing w:after="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Donner 1 mot pour décrire le ghetto de Varsovie.</w:t>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E1">
                <w:pPr>
                  <w:widowControl w:val="0"/>
                  <w:numPr>
                    <w:ilvl w:val="0"/>
                    <w:numId w:val="3"/>
                  </w:numPr>
                  <w:tabs>
                    <w:tab w:val="left" w:leader="none" w:pos="1673"/>
                  </w:tabs>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La Pologne.</w:t>
                </w:r>
              </w:p>
              <w:p w:rsidR="00000000" w:rsidDel="00000000" w:rsidP="00000000" w:rsidRDefault="00000000" w:rsidRPr="00000000" w14:paraId="000001E2">
                <w:pPr>
                  <w:widowControl w:val="0"/>
                  <w:numPr>
                    <w:ilvl w:val="0"/>
                    <w:numId w:val="3"/>
                  </w:numPr>
                  <w:tabs>
                    <w:tab w:val="left" w:leader="none" w:pos="1673"/>
                  </w:tabs>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Enfermement / pauvreté / souffrance </w:t>
                </w:r>
              </w:p>
            </w:tc>
          </w:tr>
          <w:tr>
            <w:trPr>
              <w:cantSplit w:val="0"/>
              <w:trHeight w:val="53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E3">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9 à 10 ans doit être capable</w:t>
                </w:r>
              </w:p>
              <w:p w:rsidR="00000000" w:rsidDel="00000000" w:rsidP="00000000" w:rsidRDefault="00000000" w:rsidRPr="00000000" w14:paraId="000001E4">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Énumérer 2 formes de résistance dans le ghetto</w:t>
                </w:r>
              </w:p>
              <w:tbl>
                <w:tblPr>
                  <w:tblStyle w:val="Table14"/>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tblGridChange w:id="0">
                    <w:tblGrid>
                      <w:gridCol w:w="43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Citer l’année de la révolte du ghetto de Varsovie.</w:t>
                      </w:r>
                    </w:p>
                  </w:tc>
                </w:tr>
              </w:tbl>
              <w:p w:rsidR="00000000" w:rsidDel="00000000" w:rsidP="00000000" w:rsidRDefault="00000000" w:rsidRPr="00000000" w14:paraId="000001E6">
                <w:pPr>
                  <w:widowControl w:val="0"/>
                  <w:spacing w:after="240" w:before="240" w:line="276" w:lineRule="auto"/>
                  <w:ind w:left="0"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E7">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 1. Résistance armée, 2. Résistance culturelle (école secrète, prière clandestine).</w:t>
                </w:r>
              </w:p>
              <w:p w:rsidR="00000000" w:rsidDel="00000000" w:rsidP="00000000" w:rsidRDefault="00000000" w:rsidRPr="00000000" w14:paraId="000001E8">
                <w:pPr>
                  <w:widowControl w:val="0"/>
                  <w:numPr>
                    <w:ilvl w:val="0"/>
                    <w:numId w:val="3"/>
                  </w:numPr>
                  <w:spacing w:after="240" w:before="240" w:line="276" w:lineRule="auto"/>
                  <w:ind w:left="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1943</w:t>
                </w:r>
              </w:p>
            </w:tc>
          </w:tr>
          <w:tr>
            <w:trPr>
              <w:cantSplit w:val="0"/>
              <w:trHeight w:val="2604" w:hRule="atLeast"/>
              <w:tblHeader w:val="0"/>
            </w:trPr>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E9">
                <w:pPr>
                  <w:widowControl w:val="0"/>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L'enfant de 10 à 11 ans doit être capable de</w:t>
                </w:r>
              </w:p>
              <w:p w:rsidR="00000000" w:rsidDel="00000000" w:rsidP="00000000" w:rsidRDefault="00000000" w:rsidRPr="00000000" w14:paraId="000001EA">
                <w:pPr>
                  <w:widowControl w:val="0"/>
                  <w:numPr>
                    <w:ilvl w:val="0"/>
                    <w:numId w:val="3"/>
                  </w:numPr>
                  <w:spacing w:after="240" w:before="24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Donner 2 raisons pour lesquelles les résistants ont combattu malgré le danger</w:t>
                </w:r>
              </w:p>
              <w:tbl>
                <w:tblPr>
                  <w:tblStyle w:val="Table15"/>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tblGridChange w:id="0">
                    <w:tblGrid>
                      <w:gridCol w:w="43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-Identifier 1 impact historique de la révolte du ghetto.</w:t>
                      </w:r>
                    </w:p>
                  </w:tc>
                </w:tr>
              </w:tbl>
              <w:p w:rsidR="00000000" w:rsidDel="00000000" w:rsidP="00000000" w:rsidRDefault="00000000" w:rsidRPr="00000000" w14:paraId="000001EC">
                <w:pPr>
                  <w:widowControl w:val="0"/>
                  <w:spacing w:after="240" w:before="240" w:line="276" w:lineRule="auto"/>
                  <w:ind w:left="0"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eeeee" w:val="clear"/>
              </w:tcPr>
              <w:p w:rsidR="00000000" w:rsidDel="00000000" w:rsidP="00000000" w:rsidRDefault="00000000" w:rsidRPr="00000000" w14:paraId="000001ED">
                <w:pPr>
                  <w:widowControl w:val="0"/>
                  <w:numPr>
                    <w:ilvl w:val="0"/>
                    <w:numId w:val="5"/>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Pour ne pas se laisser emmener sans se défendre, 2. Pour montrer qu’ils ne se laissaient pas faire.</w:t>
                </w:r>
              </w:p>
              <w:p w:rsidR="00000000" w:rsidDel="00000000" w:rsidP="00000000" w:rsidRDefault="00000000" w:rsidRPr="00000000" w14:paraId="000001EE">
                <w:pPr>
                  <w:widowControl w:val="0"/>
                  <w:spacing w:after="240" w:before="24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widowControl w:val="0"/>
                  <w:numPr>
                    <w:ilvl w:val="0"/>
                    <w:numId w:val="5"/>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Elle est devenue un symbole du courage et de la résistance juive pendant la Shoah.</w:t>
                </w:r>
              </w:p>
            </w:tc>
          </w:tr>
        </w:tbl>
      </w:sdtContent>
    </w:sdt>
    <w:p w:rsidR="00000000" w:rsidDel="00000000" w:rsidP="00000000" w:rsidRDefault="00000000" w:rsidRPr="00000000" w14:paraId="000001F0">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1F1">
      <w:pPr>
        <w:jc w:val="both"/>
        <w:rPr>
          <w:rFonts w:ascii="Arial" w:cs="Arial" w:eastAsia="Arial" w:hAnsi="Arial"/>
          <w:b w:val="1"/>
          <w:color w:val="c00000"/>
        </w:rPr>
      </w:pP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6A65FE"/>
  </w:style>
  <w:style w:type="paragraph" w:styleId="Titre1">
    <w:name w:val="heading 1"/>
    <w:basedOn w:val="Normal"/>
    <w:next w:val="Normal"/>
    <w:link w:val="Titre1Car"/>
    <w:uiPriority w:val="9"/>
    <w:qFormat w:val="1"/>
    <w:rsid w:val="0004743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04743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047431"/>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047431"/>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047431"/>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047431"/>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047431"/>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047431"/>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047431"/>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47431"/>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047431"/>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047431"/>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047431"/>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047431"/>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047431"/>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047431"/>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047431"/>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047431"/>
    <w:rPr>
      <w:rFonts w:cstheme="majorBidi" w:eastAsiaTheme="majorEastAsia"/>
      <w:color w:val="272727" w:themeColor="text1" w:themeTint="0000D8"/>
    </w:rPr>
  </w:style>
  <w:style w:type="paragraph" w:styleId="Titre">
    <w:name w:val="Title"/>
    <w:basedOn w:val="Normal"/>
    <w:next w:val="Normal"/>
    <w:link w:val="TitreCar"/>
    <w:uiPriority w:val="10"/>
    <w:qFormat w:val="1"/>
    <w:rsid w:val="00047431"/>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047431"/>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047431"/>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047431"/>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047431"/>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047431"/>
    <w:rPr>
      <w:i w:val="1"/>
      <w:iCs w:val="1"/>
      <w:color w:val="404040" w:themeColor="text1" w:themeTint="0000BF"/>
    </w:rPr>
  </w:style>
  <w:style w:type="paragraph" w:styleId="Paragraphedeliste">
    <w:name w:val="List Paragraph"/>
    <w:basedOn w:val="Normal"/>
    <w:uiPriority w:val="34"/>
    <w:qFormat w:val="1"/>
    <w:rsid w:val="00047431"/>
    <w:pPr>
      <w:ind w:left="720"/>
      <w:contextualSpacing w:val="1"/>
    </w:pPr>
  </w:style>
  <w:style w:type="character" w:styleId="Accentuationintense">
    <w:name w:val="Intense Emphasis"/>
    <w:basedOn w:val="Policepardfaut"/>
    <w:uiPriority w:val="21"/>
    <w:qFormat w:val="1"/>
    <w:rsid w:val="00047431"/>
    <w:rPr>
      <w:i w:val="1"/>
      <w:iCs w:val="1"/>
      <w:color w:val="0f4761" w:themeColor="accent1" w:themeShade="0000BF"/>
    </w:rPr>
  </w:style>
  <w:style w:type="paragraph" w:styleId="Citationintense">
    <w:name w:val="Intense Quote"/>
    <w:basedOn w:val="Normal"/>
    <w:next w:val="Normal"/>
    <w:link w:val="CitationintenseCar"/>
    <w:uiPriority w:val="30"/>
    <w:qFormat w:val="1"/>
    <w:rsid w:val="0004743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047431"/>
    <w:rPr>
      <w:i w:val="1"/>
      <w:iCs w:val="1"/>
      <w:color w:val="0f4761" w:themeColor="accent1" w:themeShade="0000BF"/>
    </w:rPr>
  </w:style>
  <w:style w:type="character" w:styleId="Rfrenceintense">
    <w:name w:val="Intense Reference"/>
    <w:basedOn w:val="Policepardfaut"/>
    <w:uiPriority w:val="32"/>
    <w:qFormat w:val="1"/>
    <w:rsid w:val="00047431"/>
    <w:rPr>
      <w:b w:val="1"/>
      <w:bCs w:val="1"/>
      <w:smallCaps w:val="1"/>
      <w:color w:val="0f4761" w:themeColor="accent1" w:themeShade="0000BF"/>
      <w:spacing w:val="5"/>
    </w:rPr>
  </w:style>
  <w:style w:type="paragraph" w:styleId="LO-normal" w:customStyle="1">
    <w:name w:val="LO-normal"/>
    <w:qFormat w:val="1"/>
    <w:rsid w:val="001A0712"/>
    <w:pPr>
      <w:suppressAutoHyphens w:val="1"/>
      <w:spacing w:after="0" w:line="276" w:lineRule="auto"/>
    </w:pPr>
    <w:rPr>
      <w:rFonts w:ascii="Arial" w:cs="Arial" w:eastAsia="Arial" w:hAnsi="Arial"/>
      <w:kern w:val="0"/>
      <w:lang w:bidi="hi-IN" w:eastAsia="zh-CN"/>
    </w:rPr>
  </w:style>
  <w:style w:type="character" w:styleId="lev">
    <w:name w:val="Strong"/>
    <w:basedOn w:val="Policepardfaut"/>
    <w:uiPriority w:val="22"/>
    <w:qFormat w:val="1"/>
    <w:rsid w:val="00801388"/>
    <w:rPr>
      <w:b w:val="1"/>
      <w:bCs w:val="1"/>
    </w:rPr>
  </w:style>
  <w:style w:type="paragraph" w:styleId="En-tte">
    <w:name w:val="header"/>
    <w:basedOn w:val="Normal"/>
    <w:link w:val="En-tteCar"/>
    <w:uiPriority w:val="99"/>
    <w:unhideWhenUsed w:val="1"/>
    <w:rsid w:val="00DB230E"/>
    <w:pPr>
      <w:tabs>
        <w:tab w:val="center" w:pos="4536"/>
        <w:tab w:val="right" w:pos="9072"/>
      </w:tabs>
      <w:spacing w:after="0" w:line="240" w:lineRule="auto"/>
    </w:pPr>
  </w:style>
  <w:style w:type="character" w:styleId="En-tteCar" w:customStyle="1">
    <w:name w:val="En-tête Car"/>
    <w:basedOn w:val="Policepardfaut"/>
    <w:link w:val="En-tte"/>
    <w:uiPriority w:val="99"/>
    <w:rsid w:val="00DB230E"/>
  </w:style>
  <w:style w:type="paragraph" w:styleId="Pieddepage">
    <w:name w:val="footer"/>
    <w:basedOn w:val="Normal"/>
    <w:link w:val="PieddepageCar"/>
    <w:uiPriority w:val="99"/>
    <w:unhideWhenUsed w:val="1"/>
    <w:rsid w:val="00DB230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DB230E"/>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60.0" w:type="dxa"/>
        <w:left w:w="60.0" w:type="dxa"/>
        <w:bottom w:w="60.0" w:type="dxa"/>
        <w:right w:w="60.0" w:type="dxa"/>
      </w:tblCellMar>
    </w:tblPr>
  </w:style>
  <w:style w:type="table" w:styleId="Table2">
    <w:basedOn w:val="TableNormal"/>
    <w:tblPr>
      <w:tblStyleRowBandSize w:val="1"/>
      <w:tblStyleColBandSize w:val="1"/>
      <w:tblCellMar>
        <w:top w:w="60.0" w:type="dxa"/>
        <w:left w:w="60.0" w:type="dxa"/>
        <w:bottom w:w="60.0" w:type="dxa"/>
        <w:right w:w="60.0" w:type="dxa"/>
      </w:tblCellMar>
    </w:tblPr>
  </w:style>
  <w:style w:type="table" w:styleId="Table3">
    <w:basedOn w:val="TableNormal"/>
    <w:tblPr>
      <w:tblStyleRowBandSize w:val="1"/>
      <w:tblStyleColBandSize w:val="1"/>
      <w:tblCellMar>
        <w:top w:w="60.0" w:type="dxa"/>
        <w:left w:w="60.0" w:type="dxa"/>
        <w:bottom w:w="60.0" w:type="dxa"/>
        <w:right w:w="60.0" w:type="dxa"/>
      </w:tblCellMar>
    </w:tblPr>
  </w:style>
  <w:style w:type="table" w:styleId="Table4">
    <w:basedOn w:val="TableNormal"/>
    <w:tblPr>
      <w:tblStyleRowBandSize w:val="1"/>
      <w:tblStyleColBandSize w:val="1"/>
      <w:tblCellMar>
        <w:top w:w="60.0" w:type="dxa"/>
        <w:left w:w="60.0" w:type="dxa"/>
        <w:bottom w:w="60.0" w:type="dxa"/>
        <w:right w:w="60.0" w:type="dxa"/>
      </w:tblCellMar>
    </w:tblPr>
  </w:style>
  <w:style w:type="table" w:styleId="Table5">
    <w:basedOn w:val="TableNormal"/>
    <w:tblPr>
      <w:tblStyleRowBandSize w:val="1"/>
      <w:tblStyleColBandSize w:val="1"/>
      <w:tblCellMar>
        <w:top w:w="60.0" w:type="dxa"/>
        <w:left w:w="60.0" w:type="dxa"/>
        <w:bottom w:w="60.0" w:type="dxa"/>
        <w:right w:w="60.0" w:type="dxa"/>
      </w:tblCellMar>
    </w:tblPr>
  </w:style>
  <w:style w:type="table" w:styleId="Table6">
    <w:basedOn w:val="TableNormal"/>
    <w:tblPr>
      <w:tblStyleRowBandSize w:val="1"/>
      <w:tblStyleColBandSize w:val="1"/>
      <w:tblCellMar>
        <w:top w:w="60.0" w:type="dxa"/>
        <w:left w:w="60.0" w:type="dxa"/>
        <w:bottom w:w="60.0" w:type="dxa"/>
        <w:right w:w="60.0" w:type="dxa"/>
      </w:tblCellMar>
    </w:tblPr>
  </w:style>
  <w:style w:type="table" w:styleId="Table7">
    <w:basedOn w:val="TableNormal"/>
    <w:tblPr>
      <w:tblStyleRowBandSize w:val="1"/>
      <w:tblStyleColBandSize w:val="1"/>
      <w:tblCellMar>
        <w:top w:w="60.0" w:type="dxa"/>
        <w:left w:w="60.0" w:type="dxa"/>
        <w:bottom w:w="60.0" w:type="dxa"/>
        <w:right w:w="6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60.0" w:type="dxa"/>
        <w:left w:w="60.0" w:type="dxa"/>
        <w:bottom w:w="60.0" w:type="dxa"/>
        <w:right w:w="60.0" w:type="dxa"/>
      </w:tblCellMar>
    </w:tblPr>
  </w:style>
  <w:style w:type="table" w:styleId="Table10">
    <w:basedOn w:val="TableNormal"/>
    <w:tblPr>
      <w:tblStyleRowBandSize w:val="1"/>
      <w:tblStyleColBandSize w:val="1"/>
      <w:tblCellMar>
        <w:top w:w="60.0" w:type="dxa"/>
        <w:left w:w="60.0" w:type="dxa"/>
        <w:bottom w:w="60.0" w:type="dxa"/>
        <w:right w:w="60.0" w:type="dxa"/>
      </w:tblCellMar>
    </w:tblPr>
  </w:style>
  <w:style w:type="table" w:styleId="Table11">
    <w:basedOn w:val="TableNormal"/>
    <w:tblPr>
      <w:tblStyleRowBandSize w:val="1"/>
      <w:tblStyleColBandSize w:val="1"/>
      <w:tblCellMar>
        <w:top w:w="60.0" w:type="dxa"/>
        <w:left w:w="60.0" w:type="dxa"/>
        <w:bottom w:w="60.0" w:type="dxa"/>
        <w:right w:w="60.0" w:type="dxa"/>
      </w:tblCellMar>
    </w:tblPr>
  </w:style>
  <w:style w:type="table" w:styleId="Table12">
    <w:basedOn w:val="TableNormal"/>
    <w:tblPr>
      <w:tblStyleRowBandSize w:val="1"/>
      <w:tblStyleColBandSize w:val="1"/>
      <w:tblCellMar>
        <w:top w:w="60.0" w:type="dxa"/>
        <w:left w:w="60.0" w:type="dxa"/>
        <w:bottom w:w="60.0" w:type="dxa"/>
        <w:right w:w="60.0" w:type="dxa"/>
      </w:tblCellMar>
    </w:tblPr>
  </w:style>
  <w:style w:type="table" w:styleId="Table13">
    <w:basedOn w:val="TableNormal"/>
    <w:tblPr>
      <w:tblStyleRowBandSize w:val="1"/>
      <w:tblStyleColBandSize w:val="1"/>
      <w:tblCellMar>
        <w:top w:w="60.0" w:type="dxa"/>
        <w:left w:w="60.0" w:type="dxa"/>
        <w:bottom w:w="60.0" w:type="dxa"/>
        <w:right w:w="6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5ZgLcrYf4ic5k8XUIAoa6fj3g==">CgMxLjAaHwoBMBIaChgICVIUChJ0YWJsZS53eDR1YzN1andlMG8aHwoBMRIaChgICVIUChJ0YWJsZS44eXdidHN2MGttMGs4AHIhMXhJLTJxdjdRSjc1ZkZRZXFHRnc4OFZyc1RPcTE1MHFG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2025-03-16T12:12:00Z</dcterms:created>
  <dc:creator>Alain Abecassis</dc:creator>
</cp:coreProperties>
</file>