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Fonti dati Open</w:t>
      </w:r>
    </w:p>
    <w:p>
      <w:pPr>
        <w:spacing w:after="40"/>
      </w:pPr>
      <w:r>
        <w:rPr>
          <w:color w:val="333333"/>
          <w:sz w:val="26"/>
          <w:szCs w:val="26"/>
        </w:rPr>
        <w:t xml:space="preserve">Analisi e strategia di raccolta per l'aggregatore di bandi e finanziamenti</w:t>
      </w:r>
    </w:p>
    <w:p>
      <w:pPr>
        <w:spacing w:after="240"/>
      </w:pPr>
      <w:r>
        <w:rPr>
          <w:i/>
          <w:iCs/>
          <w:color w:val="666666"/>
        </w:rPr>
        <w:t xml:space="preserve">Da dove prendere i bandi (Italia + UE), come, e in che ordine. Giugno 2026.</w:t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 sintesi</w:t>
      </w:r>
    </w:p>
    <w:p>
      <w:pPr>
        <w:spacing w:after="140" w:line="276"/>
      </w:pPr>
      <w:r>
        <w:rPr>
          <w:b/>
          <w:bCs/>
        </w:rPr>
        <w:t xml:space="preserve">La buona notizia: le fonti migliori sono ufficiali, aperte e strutturate — non serve scraping per coprire la maggior parte dei bandi. </w:t>
      </w:r>
      <w:r>
        <w:t xml:space="preserve">Due fonti da sole danno un'ottima base: l'Open Data di incentivi.gov.it (nazionale) e l'API del portale UE Funding &amp; Tenders. Entrambe legali, stabili e in formati pronti (CSV/JSON).</w:t>
      </w:r>
    </w:p>
    <w:p>
      <w:pPr>
        <w:spacing w:after="140" w:line="276"/>
      </w:pPr>
      <w:r>
        <w:rPr>
          <w:b/>
          <w:bCs/>
        </w:rPr>
        <w:t xml:space="preserve">La strategia corretta è a livelli: </w:t>
      </w:r>
      <w:r>
        <w:t xml:space="preserve">prima le API/Open Data ufficiali (massima copertura con minimo sforzo e zero fragilità), poi i cataloghi nazionali aggregati (dati.gov.it, OpenCoesione), infine i portali regionali — usando i loro open data dove esistono e lo scraping solo come ultima risorsa per i pochi che non li espongono.</w:t>
      </w:r>
    </w:p>
    <w:p>
      <w:pPr>
        <w:spacing w:after="140" w:line="276"/>
      </w:pPr>
      <w:r>
        <w:rPr>
          <w:i/>
          <w:iCs/>
        </w:rPr>
        <w:t xml:space="preserve">Perché evitare lo scraping a tappeto: si rompe a ogni restyling del sito, spesso è vietato dai Termini di Servizio, e diventa un peso di manutenzione continuo. Le fonti ufficiali aperte eliminano quasi del tutto questo problema.</w:t>
      </w:r>
    </w:p>
    <w:p>
      <w:pPr>
        <w:spacing w:after="140" w:line="276"/>
      </w:pPr>
      <w:r>
        <w:rPr>
          <w:b/>
          <w:bCs/>
        </w:rPr>
        <w:t xml:space="preserve">Nota di realismo: </w:t>
      </w:r>
      <w:r>
        <w:t xml:space="preserve">esiste già chi aggrega queste fonti (es. BandiUp raccoglie da Commissione UE, TED, incentivi.gov.it, portali regionali). Quindi la copertura ampia è fattibile, ma la differenza la fa la qualità del matching e del messaggio per segmento — non il numero grezzo di bandi.</w:t>
      </w:r>
    </w:p>
    <w:p>
      <w:pPr>
        <w:pStyle w:val="Heading1"/>
      </w:pPr>
      <w:r>
        <w:t xml:space="preserve">2. Mappa delle fonti</w:t>
      </w:r>
    </w:p>
    <w:p>
      <w:pPr>
        <w:spacing w:after="140" w:line="276"/>
      </w:pPr>
      <w:r>
        <w:t xml:space="preserve">In ordine di priorità: copertura ottenuta rispetto allo sforzo richiesto.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100"/>
        <w:gridCol w:w="2360"/>
        <w:gridCol w:w="1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Copre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Formato / Licenza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incentivi.gov.it — Open Data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Incentivi nazionali (catalogo completo)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file (no scraping)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CSV + JSON · IODL 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UE — Funding &amp; Tenders (SEDIA)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Bandi UE (Horizon, Digital, LIFE, Erasmus+…)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pubblica anonima 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JSON/HTTPS · riuso consentito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UE — 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Appalti/gare europee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(TED)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JSON/XML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 (se utile)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OpenCoesione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Progetti fondi coesione IT+UE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dataset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CSV/Parquet · open · bimestrale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dati.gov.it (CKAN)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Catalogo nazionale, include dataset regionali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CKAN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JSON/CSV · 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Portali regionali (x20)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Bandi regionali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data dove c'è; altrimenti scraping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Eterogeneo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Bassa→incrementale</w:t>
            </w:r>
          </w:p>
        </w:tc>
      </w:tr>
    </w:tbl>
    <w:p>
      <w:pPr>
        <w:pStyle w:val="Heading1"/>
      </w:pPr>
      <w:r>
        <w:t xml:space="preserve">3. Le fonti principali in dettaglio</w:t>
      </w:r>
    </w:p>
    <w:p>
      <w:pPr>
        <w:pStyle w:val="Heading2"/>
      </w:pPr>
      <w:r>
        <w:t xml:space="preserve">3.1 incentivi.gov.it — Open Data (nazionale)</w:t>
      </w:r>
    </w:p>
    <w:p>
      <w:pPr>
        <w:spacing w:after="140" w:line="276"/>
      </w:pPr>
      <w:r>
        <w:t xml:space="preserve">Portale ufficiale (MIMIT + Invitalia). La sezione Open Data mette a disposizione il </w:t>
      </w:r>
      <w:r>
        <w:rPr>
          <w:b/>
          <w:bCs/>
        </w:rPr>
        <w:t xml:space="preserve">catalogo completo degli incentivi</w:t>
      </w:r>
      <w:r>
        <w:t xml:space="preserve"> scaricabile in </w:t>
      </w:r>
      <w:r>
        <w:rPr>
          <w:b/>
          <w:bCs/>
        </w:rPr>
        <w:t xml:space="preserve">CSV compresso e JSON</w:t>
      </w:r>
      <w:r>
        <w:t xml:space="preserve">, sotto licenza </w:t>
      </w:r>
      <w:r>
        <w:rPr>
          <w:b/>
          <w:bCs/>
        </w:rPr>
        <w:t xml:space="preserve">Italian Open Data License 2.0</w:t>
      </w:r>
      <w:r>
        <w:t xml:space="preserve"> (riuso libero, anche commerciale, con attribuzione). È la spina dorsale per la copertura nazionale.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Pro: </w:t>
      </w:r>
      <w:r>
        <w:t xml:space="preserve">ufficiale, completo, strutturato, aggiornato, nessun problema legale, nessuno scraping.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Approccio: </w:t>
      </w:r>
      <w:r>
        <w:t xml:space="preserve">scaricare il file periodicamente (anche via download automatizzato) e normalizzarlo nello schema interno.</w:t>
      </w:r>
    </w:p>
    <w:p>
      <w:pPr>
        <w:pStyle w:val="Heading2"/>
      </w:pPr>
      <w:r>
        <w:t xml:space="preserve">3.2 UE — Funding &amp; Tenders Portal / SEDIA (europeo)</w:t>
      </w:r>
    </w:p>
    <w:p>
      <w:pPr>
        <w:spacing w:after="140" w:line="276"/>
      </w:pPr>
      <w:r>
        <w:t xml:space="preserve">Punto unico per i programmi gestiti dalla Commissione UE. Espone un'</w:t>
      </w:r>
      <w:r>
        <w:rPr>
          <w:b/>
          <w:bCs/>
        </w:rPr>
        <w:t xml:space="preserve">API pubblica con accesso anonimo</w:t>
      </w:r>
      <w:r>
        <w:t xml:space="preserve"> per le opportunità pubblicate: ricerca per parola chiave, filtro per stato (aperto/in arrivo/chiuso) e scadenza, con identificativo bando, budget, programma e link. Dati in JSON, con paginazione.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Pro: </w:t>
      </w:r>
      <w:r>
        <w:t xml:space="preserve">API ufficiale e stabile, niente scraping, copertura UE completa.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Nota: </w:t>
      </w:r>
      <w:r>
        <w:t xml:space="preserve">l'accesso anonimo basta per leggere i bandi pubblicati; le chiavi servono solo per funzioni di invio/gestione, che a noi non interessano.</w:t>
      </w:r>
    </w:p>
    <w:p>
      <w:pPr>
        <w:pStyle w:val="Heading2"/>
      </w:pPr>
      <w:r>
        <w:t xml:space="preserve">3.3 OpenCoesione e dati.gov.it (complementari)</w:t>
      </w:r>
    </w:p>
    <w:p>
      <w:pPr>
        <w:spacing w:after="140" w:line="276"/>
      </w:pPr>
      <w:r>
        <w:t xml:space="preserve">OpenCoesione pubblica dataset (CSV/Parquet, aggiornati ogni due mesi) su progetti finanziati dalle politiche di coesione: utile più per lo storico/progetti finanziati che per i bandi aperti. dati.gov.it è il catalogo nazionale (CKAN) con API: vi confluiscono molti dataset regionali, quindi è un buon ponte verso le regioni senza dover toccare 20 siti diversi.</w:t>
      </w:r>
    </w:p>
    <w:p>
      <w:pPr>
        <w:pStyle w:val="Heading2"/>
      </w:pPr>
      <w:r>
        <w:t xml:space="preserve">3.4 Portali regionali (lungo termine)</w:t>
      </w:r>
    </w:p>
    <w:p>
      <w:pPr>
        <w:spacing w:after="140" w:line="276"/>
      </w:pPr>
      <w:r>
        <w:t xml:space="preserve">Sono 20, con formati e qualità molto diversi. La strada giusta non è scrapare tutto subito, ma: (1) prendere prima quelli raggiungibili via dati.gov.it / open data regionali; (2) aggiungere le regioni prioritarie una alla volta; (3) riservare lo scraping ai pochi portali senza dati aperti, con parser dedicati e tolleranti.</w:t>
      </w:r>
    </w:p>
    <w:p>
      <w:pPr>
        <w:pStyle w:val="Heading1"/>
      </w:pPr>
      <w:r>
        <w:t xml:space="preserve">4. Architettura di ingestione consigliata</w:t>
      </w:r>
    </w:p>
    <w:p>
      <w:pPr>
        <w:spacing w:after="140" w:line="276"/>
      </w:pPr>
      <w:r>
        <w:t xml:space="preserve">Un connettore per fonte, tutti che scrivono nello stesso schema interno. Così aggiungere una fonte non tocca il resto.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Connettori per fonte: </w:t>
      </w:r>
      <w:r>
        <w:t xml:space="preserve">uno per incentivi.gov.it (file), uno per l'API UE, poi OpenCoesione/CKAN, poi regionali. Ognuno isola le stranezze della sua fonte.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Normalizzazione: </w:t>
      </w:r>
      <w:r>
        <w:t xml:space="preserve">ogni connettore mappa i campi nella struttura comune (titolo, ente, fonte, ambito territoriale, beneficiari, settore, dimensione, obiettivi, dotazione, date, stato, link).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Deduplica: </w:t>
      </w:r>
      <w:r>
        <w:t xml:space="preserve">lo stesso bando può comparire su più fonti (es. un bando UE anche su incentivi.gov.it). Chiave di dedup su identificativi ufficiali + somiglianza di titolo/ente/scadenza.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Archivio + storico: </w:t>
      </w:r>
      <w:r>
        <w:t xml:space="preserve">database unico; si tiene traccia di apertura/chiusura e delle modifiche, per poter avvisare su nuovi bandi e variazioni.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Aggiornamento programmato: </w:t>
      </w:r>
      <w:r>
        <w:t xml:space="preserve">job periodico (es. giornaliero) che riscarica le fonti, normalizza, deduplica e calcola i nuovi bandi per gli alert.</w:t>
      </w:r>
    </w:p>
    <w:p>
      <w:pPr>
        <w:spacing w:after="140" w:line="276"/>
      </w:pPr>
      <w:r>
        <w:rPr>
          <w:i/>
          <w:iCs/>
        </w:rPr>
        <w:t xml:space="preserve">Il motore di matching e gli alert che abbiamo già costruito restano invariati: lavorano sullo schema interno, indipendentemente da quante e quali fonti lo alimentano.</w:t>
      </w:r>
    </w:p>
    <w:p>
      <w:pPr>
        <w:pStyle w:val="Heading1"/>
      </w:pPr>
      <w:r>
        <w:t xml:space="preserve">5. Nodi tecnici da gestire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Perché conta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 affrontarlo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Mappatura campi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Ogni fonte nomina i campi a modo suo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Tabella di mappatura per connettore; modalità 'inspect' per vedere le colonne reali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Deduplica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Stesso bando su più fonti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Chiave su id ufficiali + fuzzy su titolo/ente/scadenza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Normalizzazione settori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Settori/ATECO eterogenei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Vocabolario interno + regole di mappatura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Beneficiari e dimensione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Testo libero da interpretare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Estrazione a regole/parole chiave; revisione dei casi dubbi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e stato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Formati e stati diversi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Parsing robusto; stato calcolato da apertura/scadenza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Qualità e duplicati sporchi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Dati incompleti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Coda di revisione, come per gli EAN nel comparatore</w:t>
            </w:r>
          </w:p>
        </w:tc>
      </w:tr>
    </w:tbl>
    <w:p>
      <w:pPr>
        <w:pStyle w:val="Heading1"/>
      </w:pPr>
      <w:r>
        <w:t xml:space="preserve">6. Aspetti legali e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Licenze: </w:t>
      </w:r>
      <w:r>
        <w:t xml:space="preserve">IODL 2.0 (incentivi.gov.it) e il riuso dei dati UE consentono l'uso anche commerciale con attribuzione. Citare sempre la fonte.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Scraping: </w:t>
      </w:r>
      <w:r>
        <w:t xml:space="preserve">solo dove non esistono dati aperti, rispettando robots.txt e Termini di Servizio; mai ripubblicare contenuti protetti, solo fatti (scadenze, importi, link).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GDPR: </w:t>
      </w:r>
      <w:r>
        <w:t xml:space="preserve">i bandi non contengono dati personali. Il tema GDPR nasce solo lato utenti del servizio (profili, email per gli alert): minimizzare i dati, informativa e base giuridica. In beta si può restare anonimi.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Veste societaria: </w:t>
      </w:r>
      <w:r>
        <w:t xml:space="preserve">la raccolta e pubblicazione continuativa è attività d'impresa: coerente con l'assetto già discusso (intestazione/gestione a un familiare o socio). Da validare col commercialista.</w:t>
      </w:r>
    </w:p>
    <w:p>
      <w:pPr>
        <w:pStyle w:val="Heading1"/>
      </w:pPr>
      <w:r>
        <w:t xml:space="preserve">7. Roadmap di raccolta dati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Fase A — Nazionale (subito). </w:t>
      </w:r>
      <w:r>
        <w:t xml:space="preserve">Importer per il file Open Data di incentivi.gov.it → schema interno. Copre da solo gran parte dei bandi nazionali.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Fase B — Europa. </w:t>
      </w:r>
      <w:r>
        <w:t xml:space="preserve">Client per l'API UE Funding &amp; Tenders (SEDIA): bandi aperti UE, filtrati per stato/scadenza.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Fase C — Complementari. </w:t>
      </w:r>
      <w:r>
        <w:t xml:space="preserve">OpenCoesione e dati.gov.it (CKAN) per ampliare e raggiungere dataset regionali già aperti.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Fase D — Regioni prioritarie. </w:t>
      </w:r>
      <w:r>
        <w:t xml:space="preserve">Aggiunta progressiva delle regioni (a partire da quelle del target di lancio), con scraping solo dove necessario.</w:t>
      </w:r>
    </w:p>
    <w:p>
      <w:pPr>
        <w:spacing w:after="140" w:line="276"/>
      </w:pPr>
      <w:r>
        <w:rPr>
          <w:b/>
          <w:bCs/>
          <w:i/>
          <w:iCs/>
        </w:rPr>
        <w:t xml:space="preserve">Con le sole Fasi A e B si ottiene già un catalogo ampio e credibile (nazionale + UE) per lanciare la beta reale. Le Fasi C e D aumentano la copertura nel tempo.</w:t>
      </w:r>
    </w:p>
    <w:p>
      <w:pPr>
        <w:pStyle w:val="Heading1"/>
      </w:pPr>
      <w:r>
        <w:t xml:space="preserve">8. Prossimo passo concreto</w:t>
      </w:r>
    </w:p>
    <w:p>
      <w:pPr>
        <w:spacing w:after="140" w:line="276"/>
      </w:pPr>
      <w:r>
        <w:t xml:space="preserve">Il primo mattone è la </w:t>
      </w:r>
      <w:r>
        <w:rPr>
          <w:b/>
          <w:bCs/>
        </w:rPr>
        <w:t xml:space="preserve">Fase A</w:t>
      </w:r>
      <w:r>
        <w:t xml:space="preserve">: costruisco l'importer che prende il file Open Data di incentivi.gov.it e lo normalizza nello schema dell'aggregatore. Per agganciare i campi esatti basta che tu scarichi una volta il dataset CSV/JSON dalla sezione Open Data del portale e me lo passi (o me ne incolli l'intestazione): così la mappatura è precisa al primo colpo, senza tentativi.</w:t>
      </w:r>
    </w:p>
    <w:p>
      <w:pPr>
        <w:spacing w:after="140" w:line="276"/>
      </w:pPr>
      <w:r>
        <w:rPr>
          <w:i/>
          <w:iCs/>
        </w:rPr>
        <w:t xml:space="preserve">In parallelo posso preparare il client dell'API UE (Fase B). Da lì il catalogo passa dai 22 bandi di esempio a dati reali nazionali + europei.</w:t>
      </w:r>
    </w:p>
    <w:p>
      <w:pPr>
        <w:spacing w:before="300"/>
      </w:pPr>
      <w:r>
        <w:rPr>
          <w:b/>
          <w:bCs/>
          <w:color w:val="1F7A4D"/>
        </w:rPr>
        <w:t xml:space="preserve">Fonti</w:t>
      </w:r>
    </w:p>
    <w:p>
      <w:pPr>
        <w:spacing w:after="40"/>
      </w:pPr>
      <w:hyperlink w:history="1" r:id="rId4mppeofqy8zolimypaz91">
        <w:r>
          <w:rPr>
            <w:rStyle w:val="Hyperlink"/>
            <w:sz w:val="18"/>
            <w:szCs w:val="18"/>
          </w:rPr>
          <w:t xml:space="preserve">incentivi.gov.it — Open Data (CSV/JSON, IODL 2.0)</w:t>
        </w:r>
      </w:hyperlink>
    </w:p>
    <w:p>
      <w:pPr>
        <w:spacing w:after="40"/>
      </w:pPr>
      <w:hyperlink w:history="1" r:id="rId0j2lkpxhfleiysjbaidiy">
        <w:r>
          <w:rPr>
            <w:rStyle w:val="Hyperlink"/>
            <w:sz w:val="18"/>
            <w:szCs w:val="18"/>
          </w:rPr>
          <w:t xml:space="preserve">EU Funding &amp; Tenders Portal — API (SEDIA)</w:t>
        </w:r>
      </w:hyperlink>
    </w:p>
    <w:p>
      <w:pPr>
        <w:spacing w:after="40"/>
      </w:pPr>
      <w:hyperlink w:history="1" r:id="rIdezpoopor7bgnc6oljyeqj">
        <w:r>
          <w:rPr>
            <w:rStyle w:val="Hyperlink"/>
            <w:sz w:val="18"/>
            <w:szCs w:val="18"/>
          </w:rPr>
          <w:t xml:space="preserve">OpenCoesione — Open Data (CSV/Parquet)</w:t>
        </w:r>
      </w:hyperlink>
    </w:p>
    <w:p>
      <w:pPr>
        <w:spacing w:after="40"/>
      </w:pPr>
      <w:hyperlink w:history="1" r:id="rIds6dbr4pnfohdy81q-mf84">
        <w:r>
          <w:rPr>
            <w:rStyle w:val="Hyperlink"/>
            <w:sz w:val="18"/>
            <w:szCs w:val="18"/>
          </w:rPr>
          <w:t xml:space="preserve">dati.gov.it — catalogo nazionale (CKAN)</w:t>
        </w:r>
      </w:hyperlink>
    </w:p>
    <w:p>
      <w:pPr>
        <w:spacing w:after="40"/>
      </w:pPr>
      <w:hyperlink w:history="1" r:id="rIdvafnb5rdkslfmk6dmsy4x">
        <w:r>
          <w:rPr>
            <w:rStyle w:val="Hyperlink"/>
            <w:sz w:val="18"/>
            <w:szCs w:val="18"/>
          </w:rPr>
          <w:t xml:space="preserve">BandiUp — esempio di aggregatore esistente (benchmark)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Analisi fonti dati Open - Aggregatore bandi   |   Pag.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7A4D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1F7A4D" w:sz="6" w:space="4"/>
      </w:pBdr>
      <w:spacing w:after="140" w:before="300"/>
      <w:outlineLvl w:val="0"/>
    </w:pPr>
    <w:rPr>
      <w:rFonts w:ascii="Calibri" w:cs="Calibri" w:eastAsia="Calibri" w:hAnsi="Calibri"/>
      <w:b/>
      <w:bCs/>
      <w:color w:val="1F7A4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mppeofqy8zolimypaz91" Type="http://schemas.openxmlformats.org/officeDocument/2006/relationships/hyperlink" Target="https://www.incentivi.gov.it/it/open-data" TargetMode="External"/><Relationship Id="rId0j2lkpxhfleiysjbaidiy" Type="http://schemas.openxmlformats.org/officeDocument/2006/relationships/hyperlink" Target="https://ec.europa.eu/info/funding-tenders/opportunities/portal/screen/support/apis" TargetMode="External"/><Relationship Id="rIdezpoopor7bgnc6oljyeqj" Type="http://schemas.openxmlformats.org/officeDocument/2006/relationships/hyperlink" Target="https://opencoesione.gov.it/it/opendata/" TargetMode="External"/><Relationship Id="rIds6dbr4pnfohdy81q-mf84" Type="http://schemas.openxmlformats.org/officeDocument/2006/relationships/hyperlink" Target="https://www.dati.gov.it/" TargetMode="External"/><Relationship Id="rIdvafnb5rdkslfmk6dmsy4x" Type="http://schemas.openxmlformats.org/officeDocument/2006/relationships/hyperlink" Target="https://www.bandiup.it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2026-06-23T07:43:55.908Z</dcterms:created>
  <dcterms:modified xsi:type="dcterms:W3CDTF">2026-06-23T07:43:55.917Z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