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Garamond" w:hAnsi="Garamond"/>
          <w:b/>
          <w:bCs/>
          <w:sz w:val="40"/>
          <w:szCs w:val="40"/>
          <w:u w:val="single"/>
        </w:rPr>
      </w:pPr>
      <w:r>
        <w:rPr>
          <w:rFonts w:ascii="Garamond" w:hAnsi="Garamond"/>
          <w:b/>
          <w:bCs/>
          <w:sz w:val="40"/>
          <w:szCs w:val="40"/>
          <w:u w:val="single"/>
        </w:rPr>
        <w:t>Le Dormeur du val – Explication linéaire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u w:val="single"/>
        </w:rPr>
      </w:pPr>
      <w:r>
        <w:rPr>
          <w:rFonts w:ascii="Garamond" w:hAnsi="Garamond"/>
          <w:b/>
          <w:bCs/>
          <w:u w:val="single"/>
        </w:rPr>
        <w:t>Tableau Bucolique D’un Paysage Verdoiyant et Lumineux</w:t>
      </w:r>
    </w:p>
    <w:tbl>
      <w:tblPr>
        <w:tblStyle w:val="Grilledutableau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020"/>
        <w:gridCol w:w="3021"/>
        <w:gridCol w:w="3021"/>
      </w:tblGrid>
      <w:tr>
        <w:trPr/>
        <w:tc>
          <w:tcPr>
            <w:tcW w:w="3020" w:type="dxa"/>
            <w:tcBorders/>
            <w:shd w:color="auto" w:fill="002060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 xml:space="preserve">Citation </w:t>
            </w:r>
          </w:p>
        </w:tc>
        <w:tc>
          <w:tcPr>
            <w:tcW w:w="3021" w:type="dxa"/>
            <w:tcBorders/>
            <w:shd w:color="auto" w:fill="002060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>Procédé</w:t>
            </w:r>
          </w:p>
        </w:tc>
        <w:tc>
          <w:tcPr>
            <w:tcW w:w="3021" w:type="dxa"/>
            <w:tcBorders/>
            <w:shd w:color="auto" w:fill="002060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>Interprétation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i/>
                <w:iCs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C’est un trou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c’est un petit val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(v.4)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>Presentatif + present de description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 xml:space="preserve">Rimbaud donne a voir une description de la nature. Le présent accentue l’effet de tableau 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i/>
                <w:iCs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Trou de verdure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rivière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 xml:space="preserve"> » (v.1) / « petit 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val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(v.4)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herbes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(v.2)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soleil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(v.3)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montagne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(v.3)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>Champ lexical de la nature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 xml:space="preserve">Tableau d’une verte vallée = portrait d’une nature </w:t>
            </w: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 xml:space="preserve">lumineuse </w:t>
            </w: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 xml:space="preserve">et </w:t>
            </w:r>
            <w:r>
              <w:rPr>
                <w:rFonts w:eastAsia="Aptos" w:cs="" w:ascii="Garamond" w:hAnsi="Garamond"/>
                <w:b/>
                <w:bCs/>
                <w:i w:val="false"/>
                <w:iCs w:val="false"/>
                <w:kern w:val="2"/>
                <w:sz w:val="24"/>
                <w:szCs w:val="24"/>
                <w:lang w:val="fr-FR" w:eastAsia="en-US" w:bidi="ar-SA"/>
              </w:rPr>
              <w:t>verdoyante</w:t>
            </w:r>
          </w:p>
        </w:tc>
      </w:tr>
      <w:tr>
        <w:trPr>
          <w:trHeight w:val="1177" w:hRule="atLeast"/>
        </w:trPr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Où chante une rivière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(v.1) 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où le soleil, de la montagne fière,</w:t>
              <w:br/>
              <w:t>Luit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(v.2)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qui mousse de rayons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(v.4)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 w:eastAsia="Aptos" w:cs=""/>
                <w:b w:val="false"/>
                <w:bCs w:val="false"/>
                <w:kern w:val="2"/>
                <w:sz w:val="24"/>
                <w:szCs w:val="24"/>
                <w:u w:val="none"/>
                <w:lang w:val="fr-FR" w:eastAsia="en-US" w:bidi="ar-SA"/>
              </w:rPr>
            </w:pPr>
            <w:r>
              <w:rPr>
                <w:rFonts w:eastAsia="Aptos" w:cs="" w:ascii="Garamond" w:hAnsi="Garamond"/>
                <w:b w:val="false"/>
                <w:bCs w:val="false"/>
                <w:kern w:val="2"/>
                <w:sz w:val="24"/>
                <w:szCs w:val="24"/>
                <w:u w:val="none"/>
                <w:lang w:val="fr-FR" w:eastAsia="en-US" w:bidi="ar-SA"/>
              </w:rPr>
              <w:t>Subordonnées relatives</w:t>
            </w:r>
          </w:p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 xml:space="preserve">Précisions apportées sur cette vallée </w:t>
            </w: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>lumineuse</w:t>
            </w: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 xml:space="preserve"> (soleil, rayons) et rafraichissante (riviere) = </w:t>
            </w: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>bucolique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: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(v.4)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>Ponctuation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>La juxtaposition comme la subordination est au service du tableau de la nature (les deux points sont utilisés pour expliquer)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 w:eastAsia="Aptos"/>
                <w:color w:themeColor="text1" w:val="000000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Chante une rivière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(v.1) 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accrochant follement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 xml:space="preserve"> » (v.2)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>Personnification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 xml:space="preserve">Renforcement de la nature </w:t>
            </w: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>bucolique</w:t>
            </w: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 xml:space="preserve"> et </w:t>
            </w: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>idyllique</w:t>
            </w: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 xml:space="preserve"> qui ressemblerait au Paradis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 w:eastAsia="Aptos"/>
                <w:color w:themeColor="text1" w:val="000000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D’argent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(v.3)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Luit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(v.4)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>Rejets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 xml:space="preserve">Accents mis sur la </w:t>
            </w: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 xml:space="preserve">lumière idyllique </w:t>
            </w: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>de ce tableau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 w:eastAsia="Aptos"/>
                <w:color w:themeColor="text1" w:val="000000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Une rivière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aux herbes 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» (v.2)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le soleil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(v.3)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>Références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 xml:space="preserve">Ce Tableau de la nature réunit les </w:t>
            </w: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 xml:space="preserve">éléments </w:t>
            </w: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>en harmonie : l’eau avec la rivière, la terre avec les herbes et le feu avec le soleil et ses rayons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 w:eastAsia="Aptos"/>
                <w:color w:themeColor="text1" w:val="000000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Rivière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fière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(v.3)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 xml:space="preserve">Son « iere 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>La rime confirme l’atmosphère de lumIERE de ce tableau</w:t>
            </w:r>
          </w:p>
        </w:tc>
      </w:tr>
    </w:tbl>
    <w:p>
      <w:pPr>
        <w:pStyle w:val="ListParagraph"/>
        <w:tabs>
          <w:tab w:val="clear" w:pos="708"/>
          <w:tab w:val="left" w:pos="709" w:leader="none"/>
        </w:tabs>
        <w:spacing w:lineRule="auto" w:line="278"/>
        <w:ind w:start="1080"/>
        <w:rPr>
          <w:rFonts w:ascii="Garamond" w:hAnsi="Garamond"/>
          <w:b/>
          <w:bCs/>
          <w:sz w:val="24"/>
          <w:szCs w:val="24"/>
          <w:u w:val="single"/>
        </w:rPr>
      </w:pPr>
      <w:r>
        <w:rPr>
          <w:rFonts w:ascii="Garamond" w:hAnsi="Garamond"/>
          <w:b/>
          <w:bCs/>
          <w:sz w:val="24"/>
          <w:szCs w:val="24"/>
          <w:u w:val="single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78"/>
        <w:rPr>
          <w:rFonts w:ascii="Garamond" w:hAnsi="Garamond"/>
          <w:b/>
          <w:bCs/>
          <w:sz w:val="24"/>
          <w:szCs w:val="24"/>
          <w:u w:val="single"/>
        </w:rPr>
      </w:pPr>
      <w:r>
        <w:rPr>
          <w:rFonts w:ascii="Garamond" w:hAnsi="Garamond"/>
          <w:b/>
          <w:bCs/>
          <w:sz w:val="24"/>
          <w:szCs w:val="24"/>
          <w:u w:val="single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709" w:leader="none"/>
        </w:tabs>
        <w:spacing w:lineRule="auto" w:line="278"/>
        <w:rPr>
          <w:rFonts w:ascii="Garamond" w:hAnsi="Garamond"/>
          <w:b/>
          <w:bCs/>
          <w:sz w:val="24"/>
          <w:szCs w:val="24"/>
          <w:u w:val="single"/>
        </w:rPr>
      </w:pPr>
      <w:r>
        <w:rPr>
          <w:rFonts w:ascii="Garamond" w:hAnsi="Garamond"/>
          <w:b/>
          <w:bCs/>
          <w:sz w:val="24"/>
          <w:szCs w:val="24"/>
          <w:u w:val="single"/>
        </w:rPr>
        <w:t>Tableau d’un Soldat</w:t>
      </w:r>
    </w:p>
    <w:tbl>
      <w:tblPr>
        <w:tblStyle w:val="Grilledutableau"/>
        <w:tblW w:w="91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954"/>
        <w:gridCol w:w="2410"/>
        <w:gridCol w:w="3736"/>
      </w:tblGrid>
      <w:tr>
        <w:trPr/>
        <w:tc>
          <w:tcPr>
            <w:tcW w:w="2954" w:type="dxa"/>
            <w:tcBorders/>
            <w:shd w:color="auto" w:fill="002060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 xml:space="preserve">Citation </w:t>
            </w:r>
          </w:p>
        </w:tc>
        <w:tc>
          <w:tcPr>
            <w:tcW w:w="2410" w:type="dxa"/>
            <w:tcBorders/>
            <w:shd w:color="auto" w:fill="002060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>Procédé</w:t>
            </w:r>
          </w:p>
        </w:tc>
        <w:tc>
          <w:tcPr>
            <w:tcW w:w="3736" w:type="dxa"/>
            <w:tcBorders/>
            <w:shd w:color="auto" w:fill="002060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>Interprétation</w:t>
            </w:r>
          </w:p>
        </w:tc>
      </w:tr>
      <w:tr>
        <w:trPr/>
        <w:tc>
          <w:tcPr>
            <w:tcW w:w="295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Jeune, bouche ouverte, tête nue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+ tout le 2</w:t>
            </w:r>
            <w:r>
              <w:rPr>
                <w:rFonts w:eastAsia="Aptos" w:cs="" w:ascii="Garamond" w:hAnsi="Garamond"/>
                <w:color w:themeColor="text1" w:val="000000"/>
                <w:kern w:val="2"/>
                <w:position w:val="12"/>
                <w:sz w:val="24"/>
                <w:szCs w:val="24"/>
                <w:lang w:val="fr-FR" w:eastAsia="en-US" w:bidi="ar-SA"/>
              </w:rPr>
              <w:t>ème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 xml:space="preserve"> quatrain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Ennumeration</w:t>
            </w:r>
          </w:p>
        </w:tc>
        <w:tc>
          <w:tcPr>
            <w:tcW w:w="373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Rimbaud rajoute a son tableau de la nature, le tableau d’un soldat</w:t>
            </w:r>
          </w:p>
        </w:tc>
      </w:tr>
      <w:tr>
        <w:trPr/>
        <w:tc>
          <w:tcPr>
            <w:tcW w:w="295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Dort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(v.7-9)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étendu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(v.7)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bouche ouverte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(v.5)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somme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 (v.10)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berce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(v.11)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Champ lexical du sommeil</w:t>
            </w:r>
          </w:p>
        </w:tc>
        <w:tc>
          <w:tcPr>
            <w:tcW w:w="373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>.Ce tableau concerne un soldat endormi avec «Dort »</w:t>
            </w:r>
          </w:p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kern w:val="2"/>
                <w:sz w:val="24"/>
                <w:szCs w:val="24"/>
                <w:lang w:val="fr-FR" w:eastAsia="en-US" w:bidi="ar-SA"/>
              </w:rPr>
              <w:t>mis une nouvelle fois en rejet</w:t>
            </w:r>
          </w:p>
        </w:tc>
      </w:tr>
      <w:tr>
        <w:trPr/>
        <w:tc>
          <w:tcPr>
            <w:tcW w:w="295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i/>
                <w:iCs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Dans le frais cresson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(v.6)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dans l’herbe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(v.7)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dans son lit vert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(v.8)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dans les glaïeuls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(v.9)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Complement circonstentiel de lieu</w:t>
            </w:r>
          </w:p>
        </w:tc>
        <w:tc>
          <w:tcPr>
            <w:tcW w:w="373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Le poète s’attarde sur la posture du soldat de haut en bas (tête, corps, pieds</w:t>
            </w:r>
          </w:p>
        </w:tc>
      </w:tr>
      <w:tr>
        <w:trPr/>
        <w:tc>
          <w:tcPr>
            <w:tcW w:w="295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Lumière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pâle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(v.8)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Antithèse</w:t>
            </w:r>
          </w:p>
        </w:tc>
        <w:tc>
          <w:tcPr>
            <w:tcW w:w="373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Paradoxe de toute cette lumière qui laisse le soldat blafard </w:t>
            </w:r>
          </w:p>
        </w:tc>
      </w:tr>
      <w:tr>
        <w:trPr/>
        <w:tc>
          <w:tcPr>
            <w:tcW w:w="295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Bleu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 xml:space="preserve"> » (v.6) / « 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pleut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 (v.8)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Hypallage + Rime</w:t>
            </w:r>
          </w:p>
        </w:tc>
        <w:tc>
          <w:tcPr>
            <w:tcW w:w="373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La rime jette une ombre sur le tableau idyllique du soldat (le bleu renvoie à la paleur du soldat, le pleut casse l’impression bucolique</w:t>
            </w:r>
          </w:p>
        </w:tc>
      </w:tr>
      <w:tr>
        <w:trPr/>
        <w:tc>
          <w:tcPr>
            <w:tcW w:w="295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 w:eastAsia="Aptos"/>
                <w:color w:themeColor="text1" w:val="000000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2</w:t>
            </w:r>
            <w:r>
              <w:rPr>
                <w:rFonts w:eastAsia="Aptos" w:cs="" w:ascii="Garamond" w:hAnsi="Garamond"/>
                <w:color w:themeColor="text1" w:val="000000"/>
                <w:kern w:val="2"/>
                <w:position w:val="13"/>
                <w:sz w:val="24"/>
                <w:szCs w:val="24"/>
                <w:lang w:val="fr-FR" w:eastAsia="en-US" w:bidi="ar-SA"/>
              </w:rPr>
              <w:t>ème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 xml:space="preserve"> quatrain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Rimes croisées</w:t>
            </w:r>
          </w:p>
        </w:tc>
        <w:tc>
          <w:tcPr>
            <w:tcW w:w="373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Une opposition se crée au niveau sonore et rythmique continuant de nuancer le tableau idyllique</w:t>
            </w:r>
          </w:p>
        </w:tc>
      </w:tr>
      <w:tr>
        <w:trPr/>
        <w:tc>
          <w:tcPr>
            <w:tcW w:w="295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 w:eastAsia="Aptos"/>
                <w:color w:themeColor="text1" w:val="000000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Glaïeuls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(v.9)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Métaphore</w:t>
            </w:r>
          </w:p>
        </w:tc>
        <w:tc>
          <w:tcPr>
            <w:tcW w:w="373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 la volta, Rimbaud évoque une fleur ambiguë qui renvoie autant au triomphe qu’à la mort (« la mort ou les glaïeuls » chez les gladiateurs)</w:t>
            </w:r>
          </w:p>
        </w:tc>
      </w:tr>
      <w:tr>
        <w:trPr/>
        <w:tc>
          <w:tcPr>
            <w:tcW w:w="2954" w:type="dxa"/>
            <w:tcBorders/>
          </w:tcPr>
          <w:p>
            <w:pPr>
              <w:pStyle w:val="NormalWeb"/>
              <w:widowControl/>
              <w:tabs>
                <w:tab w:val="clear" w:pos="708"/>
                <w:tab w:val="left" w:pos="709" w:leader="none"/>
              </w:tabs>
              <w:suppressAutoHyphens w:val="true"/>
              <w:spacing w:lineRule="auto" w:line="276" w:beforeAutospacing="0" w:before="0" w:afterAutospacing="0" w:after="160"/>
              <w:jc w:val="start"/>
              <w:rPr>
                <w:rFonts w:ascii="Garamond" w:hAnsi="Garamond" w:cs="Arial"/>
              </w:rPr>
            </w:pPr>
            <w:r>
              <w:rPr>
                <w:rFonts w:eastAsia="Aptos" w:ascii="Garamond" w:hAnsi="Garamond"/>
                <w:color w:themeColor="text1" w:val="000000"/>
                <w:kern w:val="2"/>
                <w:lang w:val="fr-FR" w:bidi="ar-SA"/>
              </w:rPr>
              <w:t>« </w:t>
            </w:r>
            <w:r>
              <w:rPr>
                <w:rFonts w:eastAsia="Aptos" w:ascii="Garamond" w:hAnsi="Garamond"/>
                <w:i/>
                <w:iCs/>
                <w:color w:themeColor="text1" w:val="000000"/>
                <w:kern w:val="2"/>
                <w:lang w:val="fr-FR" w:bidi="ar-SA"/>
              </w:rPr>
              <w:t>Souriant comme</w:t>
            </w:r>
          </w:p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 w:eastAsia="Aptos"/>
                <w:color w:themeColor="text1" w:val="000000"/>
                <w:sz w:val="24"/>
                <w:szCs w:val="24"/>
              </w:rPr>
            </w:pP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Sourirait un enfant malade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(v.11)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Comparaison au conditionnel</w:t>
            </w:r>
          </w:p>
        </w:tc>
        <w:tc>
          <w:tcPr>
            <w:tcW w:w="373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Il est comparé a un enfant malade et le conditionnel annoce déjà la mort = ambiguïté</w:t>
            </w:r>
          </w:p>
        </w:tc>
      </w:tr>
      <w:tr>
        <w:trPr/>
        <w:tc>
          <w:tcPr>
            <w:tcW w:w="295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 w:eastAsia="Aptos"/>
                <w:color w:themeColor="text1" w:val="000000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Nature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(v.11)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Apostrophe</w:t>
            </w:r>
          </w:p>
        </w:tc>
        <w:tc>
          <w:tcPr>
            <w:tcW w:w="373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Le poète demande àla nature de prendre en charge le soldat ce qui crée une fusion idyllique mais met l’accent sur la solitude de ce dernier (il n’y  a pas que la nature</w:t>
            </w:r>
          </w:p>
        </w:tc>
      </w:tr>
      <w:tr>
        <w:trPr/>
        <w:tc>
          <w:tcPr>
            <w:tcW w:w="295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 w:eastAsia="Aptos"/>
                <w:color w:themeColor="text1" w:val="000000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Chaudement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 xml:space="preserve"> » (v.12) / 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froid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(v.12)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Antithese </w:t>
            </w:r>
          </w:p>
        </w:tc>
        <w:tc>
          <w:tcPr>
            <w:tcW w:w="373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On ne sait pas s’il est si paisible physiquement finalement= ambiguïté</w:t>
            </w:r>
          </w:p>
        </w:tc>
      </w:tr>
    </w:tbl>
    <w:p>
      <w:pPr>
        <w:pStyle w:val="Normal"/>
        <w:tabs>
          <w:tab w:val="clear" w:pos="708"/>
          <w:tab w:val="left" w:pos="709" w:leader="none"/>
        </w:tabs>
        <w:rPr>
          <w:rFonts w:ascii="Garamond" w:hAnsi="Garamond"/>
          <w:b/>
          <w:bCs/>
          <w:sz w:val="24"/>
          <w:szCs w:val="24"/>
          <w:u w:val="single"/>
        </w:rPr>
      </w:pPr>
      <w:r>
        <w:rPr>
          <w:rFonts w:ascii="Garamond" w:hAnsi="Garamond"/>
          <w:b/>
          <w:bCs/>
          <w:sz w:val="24"/>
          <w:szCs w:val="24"/>
          <w:u w:val="single"/>
        </w:rPr>
      </w:r>
    </w:p>
    <w:p>
      <w:pPr>
        <w:pStyle w:val="Normal"/>
        <w:tabs>
          <w:tab w:val="clear" w:pos="708"/>
          <w:tab w:val="left" w:pos="709" w:leader="none"/>
        </w:tabs>
        <w:rPr>
          <w:rFonts w:ascii="Garamond" w:hAnsi="Garamond"/>
          <w:b/>
          <w:bCs/>
          <w:sz w:val="24"/>
          <w:szCs w:val="24"/>
          <w:u w:val="single"/>
        </w:rPr>
      </w:pPr>
      <w:r>
        <w:rPr>
          <w:rFonts w:ascii="Garamond" w:hAnsi="Garamond"/>
          <w:b/>
          <w:bCs/>
          <w:sz w:val="24"/>
          <w:szCs w:val="24"/>
          <w:u w:val="single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709" w:leader="none"/>
        </w:tabs>
        <w:spacing w:lineRule="auto" w:line="278"/>
        <w:rPr>
          <w:rFonts w:ascii="Garamond" w:hAnsi="Garamond"/>
          <w:b/>
          <w:bCs/>
          <w:sz w:val="24"/>
          <w:szCs w:val="24"/>
          <w:u w:val="single"/>
        </w:rPr>
      </w:pPr>
      <w:r>
        <w:rPr>
          <w:rFonts w:ascii="Garamond" w:hAnsi="Garamond"/>
          <w:b/>
          <w:bCs/>
          <w:sz w:val="24"/>
          <w:szCs w:val="24"/>
          <w:u w:val="single"/>
        </w:rPr>
        <w:t>Tableau Tragique d’un Soldat Mort</w:t>
      </w:r>
    </w:p>
    <w:tbl>
      <w:tblPr>
        <w:tblStyle w:val="Grilledutableau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020"/>
        <w:gridCol w:w="3021"/>
        <w:gridCol w:w="3021"/>
      </w:tblGrid>
      <w:tr>
        <w:trPr/>
        <w:tc>
          <w:tcPr>
            <w:tcW w:w="3020" w:type="dxa"/>
            <w:tcBorders/>
            <w:shd w:color="auto" w:fill="002060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 xml:space="preserve">Citation </w:t>
            </w:r>
          </w:p>
        </w:tc>
        <w:tc>
          <w:tcPr>
            <w:tcW w:w="3021" w:type="dxa"/>
            <w:tcBorders/>
            <w:shd w:color="auto" w:fill="002060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>Procédé</w:t>
            </w:r>
          </w:p>
        </w:tc>
        <w:tc>
          <w:tcPr>
            <w:tcW w:w="3021" w:type="dxa"/>
            <w:tcBorders/>
            <w:shd w:color="auto" w:fill="002060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eastAsia="Aptos" w:cs="" w:ascii="Garamond" w:hAnsi="Garamond"/>
                <w:b/>
                <w:bCs/>
                <w:kern w:val="2"/>
                <w:sz w:val="24"/>
                <w:szCs w:val="24"/>
                <w:lang w:val="fr-FR" w:eastAsia="en-US" w:bidi="ar-SA"/>
              </w:rPr>
              <w:t>Interprétation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Parfums ne font pas frissonner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(v.12)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Allitération en F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Le froid du pemier tercet est cofirmé au niveau sonore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i/>
                <w:iCs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Ne font pas frissonner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(v.12)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Négation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Il ne respire plus = annonce tragique de la mort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i/>
                <w:iCs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Poitrine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(v.12)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narine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(v.13)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Rime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Rimbaud s’attarde tragiquement sur les deux parties du corps qui accueillent la vie (le coeur et la respiration)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Il dort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(v.13)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Répétition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Déjà mentionné dans les strophes précédentes, le lecteur commence à douter de ce somme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 xml:space="preserve">Il dort dans le soleil 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» (v.13)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Métaphore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Référence tragique à la mort (impossible de dormir dans le soleil)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 w:eastAsia="Aptos"/>
                <w:color w:themeColor="text1" w:val="000000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Tranquille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(v.14)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Rejet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color w:val="C9211E"/>
                <w:sz w:val="24"/>
                <w:szCs w:val="24"/>
              </w:rPr>
            </w:pPr>
            <w:r>
              <w:rPr>
                <w:rFonts w:ascii="Garamond" w:hAnsi="Garamond"/>
                <w:color w:val="C9211E"/>
                <w:sz w:val="24"/>
                <w:szCs w:val="24"/>
              </w:rPr>
              <w:t>Accent mis sur la douceur de la mort mais aussi sa violence (il est seul)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 w:eastAsia="Aptos"/>
                <w:color w:themeColor="text1" w:val="000000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Dort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(v.13)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deux trous rouges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(v.14)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Euphémisme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Trou (tombeau, balle) rouge (sang), dort (mort) = mort tragique traitée de manière douce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 w:eastAsia="Aptos"/>
                <w:color w:themeColor="text1" w:val="000000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Deux derniers vers (à accentuer à la lecture)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Allitération en D, T et R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Effet de dureté tragique qui rompt avec la fausse tranquilité de tout le poème (son des balles qui ont tué le personnage) + râle de la mort = tragique (mort violente)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 w:eastAsia="Aptos"/>
                <w:color w:themeColor="text1" w:val="000000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Rouges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(v.14)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Adjectif Qualificatif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Après le bleu, le jaune et le vert qui renvoyaient à la nature, le poète évoque une couleur </w:t>
            </w:r>
            <w:r>
              <w:rPr>
                <w:rFonts w:ascii="Garamond" w:hAnsi="Garamond"/>
                <w:sz w:val="24"/>
                <w:szCs w:val="24"/>
              </w:rPr>
              <w:t>tragiquement humaine puisqu’elle renvoie a la mort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 w:eastAsia="Aptos"/>
                <w:color w:themeColor="text1" w:val="000000"/>
                <w:sz w:val="24"/>
                <w:szCs w:val="24"/>
              </w:rPr>
            </w:pP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Trou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(v.1) / « </w:t>
            </w:r>
            <w:r>
              <w:rPr>
                <w:rFonts w:eastAsia="Aptos" w:cs="" w:ascii="Garamond" w:hAnsi="Garamond"/>
                <w:i/>
                <w:iCs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trous</w:t>
            </w:r>
            <w:r>
              <w:rPr>
                <w:rFonts w:eastAsia="Aptos" w:cs="" w:ascii="Garamond" w:hAnsi="Garamond"/>
                <w:color w:themeColor="text1" w:val="000000"/>
                <w:kern w:val="2"/>
                <w:sz w:val="24"/>
                <w:szCs w:val="24"/>
                <w:lang w:val="fr-FR" w:eastAsia="en-US" w:bidi="ar-SA"/>
              </w:rPr>
              <w:t> » (v.14)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Effet de boucle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0"/>
              <w:jc w:val="start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La vallée verdoyante se transforme en mare de sang et le trou en tombeau = relecture tragique du poème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aramond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)"/>
      <w:lvlJc w:val="start"/>
      <w:pPr>
        <w:tabs>
          <w:tab w:val="num" w:pos="0"/>
        </w:tabs>
        <w:ind w:start="1080" w:hanging="720"/>
      </w:pPr>
      <w:rPr>
        <w:rFonts w:ascii="Garamond" w:hAnsi="Garamond"/>
        <w:sz w:val="24"/>
        <w:szCs w:val="24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02c9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df02c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df02c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df02c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df02c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df02c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df02c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df02c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df02c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df02c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df02c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df02c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df02c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df02c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df02c9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df02c9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df02c9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df02c9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df02c9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qFormat/>
    <w:rsid w:val="00df02c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df02c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df02c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f02c9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df02c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f02c9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51570f"/>
    <w:rPr>
      <w:sz w:val="22"/>
      <w:szCs w:val="22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51570f"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df02c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df02c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df02c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f02c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df0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51570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51570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7a1de6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fr-FR"/>
      <w14:ligatures w14:val="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f02c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LibreOffice/26.2.4.2$Linux_X86_64 LibreOffice_project/620$Build-2</Application>
  <AppVersion>15.0000</AppVersion>
  <Pages>4</Pages>
  <Words>858</Words>
  <Characters>3838</Characters>
  <CharactersWithSpaces>4603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2024-10-25T13:02:00Z</dcterms:created>
  <dc:creator>Pierre Giorgianni</dc:creator>
  <dc:description/>
  <dc:language>en-US</dc:language>
  <cp:lastModifiedBy/>
  <dcterms:modified xsi:type="dcterms:W3CDTF">2026-09-16T12:43:33Z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