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 Repository Decision</w:t>
      </w:r>
    </w:p>
    <w:p>
      <w:pPr>
        <w:pStyle w:val="Subtitle"/>
      </w:pPr>
      <w:r>
        <w:t xml:space="preserve">Stage 2.2 — Consolidated repo base selection &amp; rationale</w:t>
      </w:r>
    </w:p>
    <w:p>
      <w:pPr>
        <w:pStyle w:val="Date"/>
      </w:pPr>
      <w:r>
        <w:t xml:space="preserve">Version 1.0 — 28 July 2026</w:t>
      </w:r>
    </w:p>
    <w:bookmarkStart w:id="24" w:name="base-repository-decision-stage-2.2"/>
    <w:p>
      <w:pPr>
        <w:pStyle w:val="Heading1"/>
      </w:pPr>
      <w:r>
        <w:t xml:space="preserve">Base Repository Decision (Stage 2.2)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SachetCognition/Chem_erpnext</w:t>
      </w:r>
      <w:r>
        <w:rPr>
          <w:b/>
          <w:bCs/>
        </w:rPr>
        <w:t xml:space="preserve"> </w:t>
      </w:r>
      <w:r>
        <w:rPr>
          <w:b/>
          <w:bCs/>
        </w:rPr>
        <w:t xml:space="preserve">(ERPNext) is the base for the consolidated application built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SachetCognition/rheinwerk-mes-core</w:t>
      </w:r>
      <w:r>
        <w:rPr>
          <w:b/>
          <w:bCs/>
        </w:rPr>
        <w:t xml:space="preserve">.</w:t>
      </w:r>
      <w:r>
        <w:t xml:space="preserve"> </w:t>
      </w:r>
      <w:r>
        <w:t xml:space="preserve">Qcadoo MES (</w:t>
      </w:r>
      <w:r>
        <w:rPr>
          <w:rStyle w:val="VerbatimChar"/>
        </w:rPr>
        <w:t xml:space="preserve">Chem_mes</w:t>
      </w:r>
      <w:r>
        <w:t xml:space="preserve">) is a semantics donor only; OFBiz (</w:t>
      </w:r>
      <w:r>
        <w:rPr>
          <w:rStyle w:val="VerbatimChar"/>
        </w:rPr>
        <w:t xml:space="preserve">VM_ofbiz-framework</w:t>
      </w:r>
      <w:r>
        <w:t xml:space="preserve">) is retired (data-migration source only).</w:t>
      </w:r>
    </w:p>
    <w:bookmarkStart w:id="20" w:name="decision-form"/>
    <w:p>
      <w:pPr>
        <w:pStyle w:val="Heading2"/>
      </w:pPr>
      <w:r>
        <w:t xml:space="preserve">Decision form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Accepted (confirms ADR-001 with Stage 1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considered</w:t>
            </w:r>
          </w:p>
        </w:tc>
        <w:tc>
          <w:tcPr/>
          <w:p>
            <w:pPr>
              <w:pStyle w:val="Compact"/>
            </w:pPr>
            <w:r>
              <w:t xml:space="preserve">Base on Chem_erpnext · base on Chem_mes · base on VM_ofbiz-framework · greenfield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ADR-001 weights: functional 35 / data model 20 / technical health 20 / extensibility 15 / UX 10</w:t>
            </w:r>
          </w:p>
        </w:tc>
      </w:tr>
    </w:tbl>
    <w:bookmarkEnd w:id="20"/>
    <w:bookmarkStart w:id="21" w:name="Xc0717003ade68b05db4f9f6e7acaadc35ebb23e"/>
    <w:p>
      <w:pPr>
        <w:pStyle w:val="Heading2"/>
      </w:pPr>
      <w:r>
        <w:t xml:space="preserve">Weighted comparison (from dossier Parts 3–6)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 (weight)</w:t>
            </w:r>
          </w:p>
        </w:tc>
        <w:tc>
          <w:tcPr/>
          <w:p>
            <w:pPr>
              <w:pStyle w:val="Compact"/>
            </w:pPr>
            <w:r>
              <w:t xml:space="preserve">ERPNext</w:t>
            </w:r>
          </w:p>
        </w:tc>
        <w:tc>
          <w:tcPr/>
          <w:p>
            <w:pPr>
              <w:pStyle w:val="Compact"/>
            </w:pPr>
            <w:r>
              <w:t xml:space="preserve">Qcadoo MES</w:t>
            </w:r>
          </w:p>
        </w:tc>
        <w:tc>
          <w:tcPr/>
          <w:p>
            <w:pPr>
              <w:pStyle w:val="Compact"/>
            </w:pPr>
            <w:r>
              <w:t xml:space="preserve">OFBiz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depth (35%)</w:t>
            </w:r>
          </w:p>
        </w:tc>
        <w:tc>
          <w:tcPr/>
          <w:p>
            <w:pPr>
              <w:pStyle w:val="Compact"/>
            </w:pPr>
            <w:r>
              <w:t xml:space="preserve">14 Rich / 7 Adequate of 30 capabilities; only real quality engine, planning/MRP, valuation</w:t>
            </w:r>
          </w:p>
        </w:tc>
        <w:tc>
          <w:tcPr/>
          <w:p>
            <w:pPr>
              <w:pStyle w:val="Compact"/>
            </w:pPr>
            <w:r>
              <w:t xml:space="preserve">11 Rich, deepest in execution/traceability/warehouse</w:t>
            </w:r>
          </w:p>
        </w:tc>
        <w:tc>
          <w:tcPr/>
          <w:p>
            <w:pPr>
              <w:pStyle w:val="Compact"/>
            </w:pPr>
            <w:r>
              <w:t xml:space="preserve">5 Rich; wins no capability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Data-model fitness (20%)</w:t>
            </w:r>
          </w:p>
        </w:tc>
        <w:tc>
          <w:tcPr/>
          <w:p>
            <w:pPr>
              <w:pStyle w:val="Compact"/>
            </w:pPr>
            <w:r>
              <w:t xml:space="preserve">DocType metadata + immutable SLE/GLE ledgers; extensible without schema forks</w:t>
            </w:r>
          </w:p>
        </w:tc>
        <w:tc>
          <w:tcPr/>
          <w:p>
            <w:pPr>
              <w:pStyle w:val="Compact"/>
            </w:pPr>
            <w:r>
              <w:t xml:space="preserve">Rich but Java-bound; dual batch model; single schema</w:t>
            </w:r>
          </w:p>
        </w:tc>
        <w:tc>
          <w:tcPr/>
          <w:p>
            <w:pPr>
              <w:pStyle w:val="Compact"/>
            </w:pPr>
            <w:r>
              <w:t xml:space="preserve">Generic entity engine; optional lots break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health (20%)</w:t>
            </w:r>
          </w:p>
        </w:tc>
        <w:tc>
          <w:tcPr/>
          <w:p>
            <w:pPr>
              <w:pStyle w:val="Compact"/>
            </w:pPr>
            <w:r>
              <w:t xml:space="preserve">Python 3 / active CI / 515 test files / current framework</w:t>
            </w:r>
          </w:p>
        </w:tc>
        <w:tc>
          <w:tcPr/>
          <w:p>
            <w:pPr>
              <w:pStyle w:val="Compact"/>
            </w:pPr>
            <w:r>
              <w:t xml:space="preserve">Java 8, Spring-XML, snapshot deps from third-party Nexus (unreproducible builds)</w:t>
            </w:r>
          </w:p>
        </w:tc>
        <w:tc>
          <w:tcPr/>
          <w:p>
            <w:pPr>
              <w:pStyle w:val="Compact"/>
            </w:pPr>
            <w:r>
              <w:t xml:space="preserve">Java 17 but manufacturing module functionally frozen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Extensibility (15%)</w:t>
            </w:r>
          </w:p>
        </w:tc>
        <w:tc>
          <w:tcPr/>
          <w:p>
            <w:pPr>
              <w:pStyle w:val="Compact"/>
            </w:pPr>
            <w:r>
              <w:t xml:space="preserve">hooks/doc-events/custom apps designed for absorption without forking</w:t>
            </w:r>
          </w:p>
        </w:tc>
        <w:tc>
          <w:tcPr/>
          <w:p>
            <w:pPr>
              <w:pStyle w:val="Compact"/>
            </w:pPr>
            <w:r>
              <w:t xml:space="preserve">AOP/plugin model, but extension = more Java 8 estate</w:t>
            </w:r>
          </w:p>
        </w:tc>
        <w:tc>
          <w:tcPr/>
          <w:p>
            <w:pPr>
              <w:pStyle w:val="Compact"/>
            </w:pPr>
            <w:r>
              <w:t xml:space="preserve">Component model, weak for this team’s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(10%)</w:t>
            </w:r>
          </w:p>
        </w:tc>
        <w:tc>
          <w:tcPr/>
          <w:p>
            <w:pPr>
              <w:pStyle w:val="Compact"/>
            </w:pPr>
            <w:r>
              <w:t xml:space="preserve">Modern desk + shop-floor pages</w:t>
            </w:r>
          </w:p>
        </w:tc>
        <w:tc>
          <w:tcPr/>
          <w:p>
            <w:pPr>
              <w:pStyle w:val="Compact"/>
            </w:pPr>
            <w:r>
              <w:t xml:space="preserve">jqGrid/JSP-era</w:t>
            </w:r>
          </w:p>
        </w:tc>
        <w:tc>
          <w:tcPr/>
          <w:p>
            <w:pPr>
              <w:pStyle w:val="Compact"/>
            </w:pPr>
            <w:r>
              <w:t xml:space="preserve">Declarative screens, 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Weighted outcome: ERPNext wins every criterion except raw execution-semantics depth — and that depth is carried over as re-implemented rules (Absorb), which is exactly what the anchor’s extension model is designed for.</w:t>
      </w:r>
    </w:p>
    <w:bookmarkEnd w:id="21"/>
    <w:bookmarkStart w:id="22" w:name="rationale-summary"/>
    <w:p>
      <w:pPr>
        <w:pStyle w:val="Heading2"/>
      </w:pPr>
      <w:r>
        <w:t xml:space="preserve">Rationale (summary)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Breadth + health:</w:t>
      </w:r>
      <w:r>
        <w:t xml:space="preserve"> </w:t>
      </w:r>
      <w:r>
        <w:t xml:space="preserve">the anchor must be the system that is broadest and healthiest, because everything else is grafted onto it. That is ERPNext by a wide margin (dossier §6.2 platform-substrate row).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Depth is portable, platforms are not:</w:t>
      </w:r>
      <w:r>
        <w:t xml:space="preserve"> </w:t>
      </w:r>
      <w:r>
        <w:t xml:space="preserve">Qcadoo’s winning behaviours are enum/listener</w:t>
      </w:r>
      <w:r>
        <w:t xml:space="preserve"> </w:t>
      </w:r>
      <w:r>
        <w:rPr>
          <w:i/>
          <w:iCs/>
        </w:rPr>
        <w:t xml:space="preserve">rules</w:t>
      </w:r>
      <w:r>
        <w:t xml:space="preserve"> </w:t>
      </w:r>
      <w:r>
        <w:t xml:space="preserve">— re-implementable as Frappe workflows/hooks with characterisation-test parity. Making Qcadoo the base would mean building quality, planning, valuation, multi-plant and a modern UI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an ageing Java 8 platform with unreproducible builds (implication 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OFBiz eliminated:</w:t>
      </w:r>
      <w:r>
        <w:t xml:space="preserve"> </w:t>
      </w:r>
      <w:r>
        <w:t xml:space="preserve">wins no capability area; manufacturing is Adequate-at-best, quality Absent, lots optional (dossier §6.2</w:t>
      </w:r>
      <w:r>
        <w:t xml:space="preserve"> </w:t>
      </w:r>
      <w:r>
        <w:t xml:space="preserve">“Anything from OFBiz: none”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Greenfield eliminated:</w:t>
      </w:r>
      <w:r>
        <w:t xml:space="preserve"> </w:t>
      </w:r>
      <w:r>
        <w:t xml:space="preserve">discards a working quality engine, planning stack, ledgers and RBAC that score Rich, for no compensating gain.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Consequence for repo layout:</w:t>
      </w:r>
      <w:r>
        <w:t xml:space="preserve"> </w:t>
      </w:r>
      <w:r>
        <w:rPr>
          <w:rStyle w:val="VerbatimChar"/>
        </w:rPr>
        <w:t xml:space="preserve">rheinwerk-mes-core</w:t>
      </w:r>
      <w:r>
        <w:t xml:space="preserve"> </w:t>
      </w:r>
      <w:r>
        <w:t xml:space="preserve">hosts a custom Frappe app (</w:t>
      </w:r>
      <w:r>
        <w:rPr>
          <w:rStyle w:val="VerbatimChar"/>
        </w:rPr>
        <w:t xml:space="preserve">rheinwerk_mes</w:t>
      </w:r>
      <w:r>
        <w:t xml:space="preserve">) installed alongside the ERPNext base; anchor DocTypes are never forked (ARCHITECTURE.md layering); Qcadoo/OFBiz code is never vendored in.</w:t>
      </w:r>
    </w:p>
    <w:bookmarkEnd w:id="22"/>
    <w:bookmarkStart w:id="23" w:name="what-base-does-not-mean"/>
    <w:p>
      <w:pPr>
        <w:pStyle w:val="Heading2"/>
      </w:pPr>
      <w:r>
        <w:t xml:space="preserve">What</w:t>
      </w:r>
      <w:r>
        <w:t xml:space="preserve"> </w:t>
      </w:r>
      <w:r>
        <w:t xml:space="preserve">“base”</w:t>
      </w:r>
      <w:r>
        <w:t xml:space="preserve"> </w:t>
      </w:r>
      <w:r>
        <w:t xml:space="preserve">does NOT mean</w:t>
      </w:r>
    </w:p>
    <w:p>
      <w:pPr>
        <w:pStyle w:val="Compact"/>
        <w:numPr>
          <w:ilvl w:val="0"/>
          <w:numId w:val="1002"/>
        </w:numPr>
      </w:pPr>
      <w:r>
        <w:t xml:space="preserve">Not a fork of</w:t>
      </w:r>
      <w:r>
        <w:t xml:space="preserve"> </w:t>
      </w:r>
      <w:r>
        <w:rPr>
          <w:rStyle w:val="VerbatimChar"/>
        </w:rPr>
        <w:t xml:space="preserve">Chem_erpnext</w:t>
      </w:r>
      <w:r>
        <w:t xml:space="preserve">: the base is consumed as an upstream dependency; all Rheinwerk behaviour lives in the</w:t>
      </w:r>
      <w:r>
        <w:t xml:space="preserve"> </w:t>
      </w:r>
      <w:r>
        <w:rPr>
          <w:rStyle w:val="VerbatimChar"/>
        </w:rPr>
        <w:t xml:space="preserve">rheinwerk_mes</w:t>
      </w:r>
      <w:r>
        <w:t xml:space="preserve"> </w:t>
      </w:r>
      <w:r>
        <w:t xml:space="preserve">app in this repo.</w:t>
      </w:r>
    </w:p>
    <w:p>
      <w:pPr>
        <w:pStyle w:val="Compact"/>
        <w:numPr>
          <w:ilvl w:val="0"/>
          <w:numId w:val="1002"/>
        </w:numPr>
      </w:pPr>
      <w:r>
        <w:t xml:space="preserve">Not carrying ERPNext’s finance/buying/selling as books of record — those remain group-ERP territory (ADR-002); modules stay installed only as far as stock/GL integrity requires.</w:t>
      </w:r>
    </w:p>
    <w:bookmarkEnd w:id="23"/>
    <w:bookmarkEnd w:id="24"/>
    <w:sectPr>
      <w:footerReference r:id="rId9" w:type="default"/>
      <w:footnotePr>
        <w:numRestart w:val="eachSect"/>
      </w:footnotePr>
      <w:pgMar w:bottom="1296" w:left="1152" w:right="1152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7F7F7F"/>
        <w:sz w:val="17"/>
      </w:rPr>
      <w:t xml:space="preserve">Rheinwerk Chemie GmbH — Production Systems Dossier   |   Page </w:t>
    </w:r>
    <w:r>
      <w:rPr>
        <w:color w:val="7F7F7F"/>
        <w:sz w:val="17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 Light" w:asciiTheme="majorHAnsi" w:cstheme="majorBidi" w:eastAsiaTheme="majorEastAsia" w:hAnsi="Calibri Light" w:hAnsiTheme="majorHAnsi"/>
      <w:b/>
      <w:color w:val="1F4E79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2E74B5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80"/>
      <w:outlineLvl w:val="0"/>
    </w:pPr>
    <w:rPr>
      <w:rFonts w:ascii="Calibri Light" w:asciiTheme="majorHAnsi" w:cstheme="majorBidi" w:eastAsiaTheme="majorEastAsia" w:hAnsi="Calibri Light" w:hAnsiTheme="majorHAnsi"/>
      <w:b/>
      <w:i w:val="0"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80"/>
      <w:outlineLvl w:val="1"/>
    </w:pPr>
    <w:rPr>
      <w:rFonts w:ascii="Calibri Light" w:asciiTheme="majorHAnsi" w:cstheme="majorBidi" w:eastAsiaTheme="majorEastAsia" w:hAnsi="Calibri Light" w:hAnsiTheme="majorHAnsi"/>
      <w:b/>
      <w:i w:val="0"/>
      <w:color w:val="1F4E79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80"/>
      <w:outlineLvl w:val="2"/>
    </w:pPr>
    <w:rPr>
      <w:rFonts w:ascii="Calibri Light" w:cstheme="majorBidi" w:eastAsiaTheme="majorEastAsia" w:hAnsi="Calibri Light"/>
      <w:b/>
      <w:i w:val="0"/>
      <w:color w:val="2E74B5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00" w:before="280"/>
      <w:outlineLvl w:val="3"/>
    </w:pPr>
    <w:rPr>
      <w:rFonts w:ascii="Calibri Light" w:cstheme="majorBidi" w:eastAsiaTheme="majorEastAsia" w:hAnsi="Calibri Light"/>
      <w:b/>
      <w:i w:val="0"/>
      <w:iCs/>
      <w:color w:val="2E74B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00" w:before="280"/>
      <w:outlineLvl w:val="4"/>
    </w:pPr>
    <w:rPr>
      <w:rFonts w:ascii="Calibri Light" w:cstheme="majorBidi" w:eastAsiaTheme="majorEastAsia" w:hAnsi="Calibri Light"/>
      <w:b w:val="0"/>
      <w:i w:val="0"/>
      <w:color w:val="2E74B5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fill="EAF1F8" w:val="clear"/>
      <w:pBdr>
        <w:left w:color="2E74B5" w:sz="18" w:val="single"/>
      </w:pBdr>
    </w:pPr>
    <w:rPr>
      <w:i w:val="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Repository Decision</dc:title>
  <dc:creator/>
  <cp:keywords/>
  <dcterms:created xsi:type="dcterms:W3CDTF">2026-07-28T11:06:49Z</dcterms:created>
  <dcterms:modified xsi:type="dcterms:W3CDTF">2026-07-28T11:06:49Z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— 28 July 2026</vt:lpwstr>
  </property>
  <property fmtid="{D5CDD505-2E9C-101B-9397-08002B2CF9AE}" pid="3" name="subtitle">
    <vt:lpwstr>Stage 2.2 — Consolidated repo base selection &amp; rationale</vt:lpwstr>
  </property>
</Properties>
</file>