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4 vs Milton BZ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