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6306" w14:textId="13A0755C" w:rsidR="005F3507" w:rsidRDefault="00000000">
      <w:proofErr w:type="spellStart"/>
      <w:r>
        <w:t>Cinical</w:t>
      </w:r>
      <w:proofErr w:type="spellEnd"/>
      <w:r>
        <w:t xml:space="preserve"> OCT Report </w:t>
      </w:r>
    </w:p>
    <w:p w14:paraId="2A1B8D6F" w14:textId="77777777" w:rsidR="005F3507" w:rsidRDefault="00000000">
      <w:r>
        <w:t xml:space="preserve"> </w:t>
      </w:r>
    </w:p>
    <w:p w14:paraId="7E0DB443" w14:textId="77777777" w:rsidR="005F3507" w:rsidRDefault="00000000">
      <w:r>
        <w:t xml:space="preserve"> </w:t>
      </w:r>
    </w:p>
    <w:p w14:paraId="6EC95F7B" w14:textId="77777777" w:rsidR="005F3507" w:rsidRDefault="00000000">
      <w:r>
        <w:t xml:space="preserve"> OCT findings:  </w:t>
      </w:r>
    </w:p>
    <w:p w14:paraId="3E60D650" w14:textId="77777777" w:rsidR="005F3507" w:rsidRDefault="00000000">
      <w:r>
        <w:t xml:space="preserve"> </w:t>
      </w:r>
    </w:p>
    <w:tbl>
      <w:tblPr>
        <w:tblpPr w:leftFromText="180" w:rightFromText="180" w:horzAnchor="margin" w:tblpY="-360"/>
        <w:tblW w:w="9640" w:type="dxa"/>
        <w:tblLayout w:type="fixed"/>
        <w:tblLook w:val="0420" w:firstRow="1" w:lastRow="0" w:firstColumn="0" w:lastColumn="0" w:noHBand="0" w:noVBand="1"/>
      </w:tblPr>
      <w:tblGrid>
        <w:gridCol w:w="3394"/>
        <w:gridCol w:w="1119"/>
        <w:gridCol w:w="1119"/>
        <w:gridCol w:w="1119"/>
        <w:gridCol w:w="2889"/>
      </w:tblGrid>
      <w:tr w:rsidR="005F3507" w14:paraId="7154217A" w14:textId="77777777" w:rsidTr="004A2134">
        <w:trPr>
          <w:cantSplit/>
          <w:trHeight w:val="859"/>
          <w:tblHeader/>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0A92CE"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20"/>
                <w:szCs w:val="20"/>
              </w:rPr>
              <w:t>Date</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AEB736"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b/>
                <w:color w:val="000000"/>
                <w:sz w:val="20"/>
                <w:szCs w:val="20"/>
              </w:rPr>
              <w:t>pRNFL_OD</w:t>
            </w:r>
            <w:proofErr w:type="spellEnd"/>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B76C4E"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b/>
                <w:color w:val="000000"/>
                <w:sz w:val="20"/>
                <w:szCs w:val="20"/>
              </w:rPr>
              <w:t>pRNFL_OS</w:t>
            </w:r>
            <w:proofErr w:type="spellEnd"/>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C2D670"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20"/>
                <w:szCs w:val="20"/>
              </w:rPr>
              <w:t>GCIPL_OD</w:t>
            </w:r>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A941F5"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20"/>
                <w:szCs w:val="20"/>
              </w:rPr>
              <w:t>GCIPL_OS</w:t>
            </w:r>
          </w:p>
        </w:tc>
      </w:tr>
      <w:tr w:rsidR="005F3507" w14:paraId="1182DFD2" w14:textId="77777777" w:rsidTr="004A2134">
        <w:trPr>
          <w:cantSplit/>
          <w:trHeight w:val="859"/>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549F2"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20"/>
                <w:szCs w:val="20"/>
              </w:rPr>
              <w:lastRenderedPageBreak/>
              <w:t>11/2/2022</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428FDF"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20"/>
                <w:szCs w:val="20"/>
              </w:rPr>
              <w:t xml:space="preserve">73 </w:t>
            </w:r>
            <w:proofErr w:type="gramStart"/>
            <w:r>
              <w:rPr>
                <w:rFonts w:ascii="Arial" w:eastAsia="Helvetica" w:hAnsi="Helvetica" w:cs="Helvetica"/>
                <w:color w:val="000000"/>
                <w:sz w:val="20"/>
                <w:szCs w:val="20"/>
              </w:rPr>
              <w:t>um</w:t>
            </w:r>
            <w:proofErr w:type="gramEnd"/>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963861"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20"/>
                <w:szCs w:val="20"/>
              </w:rPr>
              <w:t xml:space="preserve">75 </w:t>
            </w:r>
            <w:proofErr w:type="gramStart"/>
            <w:r>
              <w:rPr>
                <w:rFonts w:ascii="Arial" w:eastAsia="Helvetica" w:hAnsi="Helvetica" w:cs="Helvetica"/>
                <w:color w:val="000000"/>
                <w:sz w:val="20"/>
                <w:szCs w:val="20"/>
              </w:rPr>
              <w:t>um</w:t>
            </w:r>
            <w:proofErr w:type="gramEnd"/>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FD96F5"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20"/>
                <w:szCs w:val="20"/>
              </w:rPr>
              <w:t xml:space="preserve">65 </w:t>
            </w:r>
            <w:proofErr w:type="gramStart"/>
            <w:r>
              <w:rPr>
                <w:rFonts w:ascii="Arial" w:eastAsia="Helvetica" w:hAnsi="Helvetica" w:cs="Helvetica"/>
                <w:color w:val="000000"/>
                <w:sz w:val="20"/>
                <w:szCs w:val="20"/>
              </w:rPr>
              <w:t>um</w:t>
            </w:r>
            <w:proofErr w:type="gramEnd"/>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953E45"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20"/>
                <w:szCs w:val="20"/>
              </w:rPr>
              <w:t xml:space="preserve">64 </w:t>
            </w:r>
            <w:proofErr w:type="gramStart"/>
            <w:r>
              <w:rPr>
                <w:rFonts w:ascii="Arial" w:eastAsia="Helvetica" w:hAnsi="Helvetica" w:cs="Helvetica"/>
                <w:color w:val="000000"/>
                <w:sz w:val="20"/>
                <w:szCs w:val="20"/>
              </w:rPr>
              <w:t>um</w:t>
            </w:r>
            <w:proofErr w:type="gramEnd"/>
          </w:p>
        </w:tc>
      </w:tr>
      <w:tr w:rsidR="005F3507" w14:paraId="47637C24" w14:textId="77777777" w:rsidTr="004A2134">
        <w:trPr>
          <w:cantSplit/>
          <w:trHeight w:val="1145"/>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D12D6A" w14:textId="77777777" w:rsidR="005F3507" w:rsidRDefault="005F3507" w:rsidP="004A2134">
            <w:pPr>
              <w:keepNext/>
              <w:pBdr>
                <w:top w:val="none" w:sz="0" w:space="0" w:color="000000"/>
                <w:left w:val="none" w:sz="0" w:space="0" w:color="000000"/>
                <w:bottom w:val="none" w:sz="0" w:space="0" w:color="000000"/>
                <w:right w:val="none" w:sz="0" w:space="0" w:color="000000"/>
              </w:pBdr>
              <w:spacing w:before="100" w:after="100"/>
              <w:ind w:left="100" w:right="100"/>
            </w:pP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C82934"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20"/>
                <w:szCs w:val="20"/>
              </w:rPr>
              <w:t>1st-5th percentile</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E186BB"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20"/>
                <w:szCs w:val="20"/>
              </w:rPr>
              <w:t>5th-95th percentile</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FAA1C7"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20"/>
                <w:szCs w:val="20"/>
              </w:rPr>
              <w:t>&lt; 1st percentile</w:t>
            </w:r>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1D3412" w14:textId="77777777" w:rsidR="005F3507" w:rsidRDefault="00000000" w:rsidP="004A2134">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20"/>
                <w:szCs w:val="20"/>
              </w:rPr>
              <w:t>&lt; 1st percentile</w:t>
            </w:r>
          </w:p>
        </w:tc>
      </w:tr>
      <w:tr w:rsidR="004A2134" w14:paraId="50B8C67A" w14:textId="77777777" w:rsidTr="004A2134">
        <w:trPr>
          <w:cantSplit/>
          <w:trHeight w:val="651"/>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9AF57A" w14:textId="5E1C44EB" w:rsid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pPr>
            <w:r w:rsidRPr="004A2134">
              <w:rPr>
                <w:rFonts w:ascii="Arial" w:eastAsia="Times New Roman" w:hAnsi="Arial" w:cs="Arial"/>
                <w:sz w:val="22"/>
                <w:szCs w:val="22"/>
              </w:rPr>
              <w:t>11/3/21</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C81467" w14:textId="7D8CD77D" w:rsid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color w:val="000000"/>
                <w:sz w:val="20"/>
                <w:szCs w:val="20"/>
              </w:rPr>
            </w:pPr>
            <w:r w:rsidRPr="004A2134">
              <w:rPr>
                <w:rFonts w:ascii="Arial" w:eastAsia="Times New Roman" w:hAnsi="Arial" w:cs="Arial"/>
                <w:sz w:val="22"/>
                <w:szCs w:val="22"/>
              </w:rPr>
              <w:t>72</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C3670B" w14:textId="1F33DABC" w:rsid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color w:val="000000"/>
                <w:sz w:val="20"/>
                <w:szCs w:val="20"/>
              </w:rPr>
            </w:pPr>
            <w:r w:rsidRPr="004A2134">
              <w:rPr>
                <w:rFonts w:ascii="Arial" w:eastAsia="Times New Roman" w:hAnsi="Arial" w:cs="Arial"/>
                <w:sz w:val="22"/>
                <w:szCs w:val="22"/>
              </w:rPr>
              <w:t>78</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54F09B" w14:textId="235B2FBF" w:rsid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color w:val="000000"/>
                <w:sz w:val="20"/>
                <w:szCs w:val="20"/>
              </w:rPr>
            </w:pPr>
            <w:r w:rsidRPr="004A2134">
              <w:rPr>
                <w:rFonts w:ascii="Arial" w:eastAsia="Times New Roman" w:hAnsi="Arial" w:cs="Arial"/>
                <w:sz w:val="22"/>
                <w:szCs w:val="22"/>
              </w:rPr>
              <w:t xml:space="preserve">64 </w:t>
            </w:r>
            <w:r w:rsidRPr="004A2134">
              <w:rPr>
                <w:rFonts w:ascii="Arial" w:eastAsia="Times New Roman" w:hAnsi="Arial" w:cs="Arial"/>
                <w:i/>
                <w:iCs/>
                <w:color w:val="000000"/>
                <w:sz w:val="22"/>
                <w:szCs w:val="22"/>
              </w:rPr>
              <w:t>(may be impacted by ERM)</w:t>
            </w:r>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9F3B75" w14:textId="7C4376DE" w:rsid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color w:val="000000"/>
                <w:sz w:val="20"/>
                <w:szCs w:val="20"/>
              </w:rPr>
            </w:pPr>
            <w:r w:rsidRPr="004A2134">
              <w:rPr>
                <w:rFonts w:ascii="Arial" w:eastAsia="Times New Roman" w:hAnsi="Arial" w:cs="Arial"/>
                <w:sz w:val="22"/>
                <w:szCs w:val="22"/>
              </w:rPr>
              <w:t>64</w:t>
            </w:r>
          </w:p>
        </w:tc>
      </w:tr>
      <w:tr w:rsidR="004A2134" w14:paraId="0C5DC20D" w14:textId="77777777" w:rsidTr="004A2134">
        <w:trPr>
          <w:cantSplit/>
          <w:trHeight w:val="651"/>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8507FB" w14:textId="03EA2D64"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color w:val="000000"/>
                <w:sz w:val="22"/>
                <w:szCs w:val="22"/>
              </w:rPr>
            </w:pPr>
            <w:r w:rsidRPr="004A2134">
              <w:rPr>
                <w:rFonts w:ascii="Arial" w:eastAsia="Times New Roman" w:hAnsi="Arial" w:cs="Arial"/>
                <w:sz w:val="22"/>
                <w:szCs w:val="22"/>
              </w:rPr>
              <w:t>10/18/21</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9013C7" w14:textId="49DBFF70"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73</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53B334" w14:textId="17E348AD"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77 (</w:t>
            </w:r>
            <w:r w:rsidRPr="004A2134">
              <w:rPr>
                <w:rFonts w:ascii="Arial" w:eastAsia="Times New Roman" w:hAnsi="Arial" w:cs="Arial"/>
                <w:i/>
                <w:iCs/>
                <w:color w:val="000000"/>
                <w:sz w:val="22"/>
                <w:szCs w:val="22"/>
              </w:rPr>
              <w:t>Unreliable; poor signal strength)</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70E99AB" w14:textId="0567D849"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i/>
                <w:iCs/>
                <w:color w:val="000000"/>
                <w:sz w:val="22"/>
                <w:szCs w:val="22"/>
              </w:rPr>
              <w:t>63 (minor segmentation error seen)</w:t>
            </w:r>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2A35C6" w14:textId="7BE12E46"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 xml:space="preserve">64 </w:t>
            </w:r>
            <w:r w:rsidRPr="004A2134">
              <w:rPr>
                <w:rFonts w:ascii="Arial" w:eastAsia="Times New Roman" w:hAnsi="Arial" w:cs="Arial"/>
                <w:i/>
                <w:iCs/>
                <w:color w:val="000000"/>
                <w:sz w:val="22"/>
                <w:szCs w:val="22"/>
              </w:rPr>
              <w:t>(Unreliable; poor signal strength)</w:t>
            </w:r>
          </w:p>
        </w:tc>
      </w:tr>
      <w:tr w:rsidR="004A2134" w14:paraId="54D26076" w14:textId="77777777" w:rsidTr="004A2134">
        <w:trPr>
          <w:cantSplit/>
          <w:trHeight w:val="651"/>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11C893" w14:textId="25CB6A6E"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10/19/20</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48815F" w14:textId="07BED674"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 xml:space="preserve">77 </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980EC7" w14:textId="3F35E779"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i/>
                <w:iCs/>
                <w:color w:val="000000"/>
                <w:sz w:val="22"/>
                <w:szCs w:val="22"/>
              </w:rPr>
              <w:t>74 (Unreliable – poor signal, segmentation error</w:t>
            </w:r>
            <w:r w:rsidRPr="004A2134">
              <w:rPr>
                <w:rFonts w:ascii="Arial" w:eastAsia="Times New Roman" w:hAnsi="Arial" w:cs="Arial"/>
                <w:sz w:val="22"/>
                <w:szCs w:val="22"/>
              </w:rPr>
              <w:t>)</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7BA61D" w14:textId="11FDE3CD"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i/>
                <w:iCs/>
                <w:color w:val="000000"/>
                <w:sz w:val="22"/>
                <w:szCs w:val="22"/>
              </w:rPr>
            </w:pPr>
            <w:r w:rsidRPr="004A2134">
              <w:rPr>
                <w:rFonts w:ascii="Arial" w:eastAsia="Times New Roman" w:hAnsi="Arial" w:cs="Arial"/>
                <w:i/>
                <w:iCs/>
                <w:color w:val="000000"/>
                <w:sz w:val="22"/>
                <w:szCs w:val="22"/>
              </w:rPr>
              <w:t>63 (may be unreliable)</w:t>
            </w:r>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A05464" w14:textId="5418F6F4"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 xml:space="preserve">64 </w:t>
            </w:r>
          </w:p>
        </w:tc>
      </w:tr>
      <w:tr w:rsidR="004A2134" w14:paraId="6BC9092E" w14:textId="77777777" w:rsidTr="004A2134">
        <w:trPr>
          <w:cantSplit/>
          <w:trHeight w:val="651"/>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8A0B38" w14:textId="1A721E74"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color w:val="000000"/>
                <w:sz w:val="22"/>
                <w:szCs w:val="22"/>
              </w:rPr>
              <w:t> </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DD22D0" w14:textId="2706FB9E"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5</w:t>
            </w:r>
            <w:r w:rsidRPr="004A2134">
              <w:rPr>
                <w:rFonts w:ascii="Arial" w:eastAsia="Times New Roman" w:hAnsi="Arial" w:cs="Arial"/>
                <w:color w:val="000000"/>
                <w:sz w:val="22"/>
                <w:szCs w:val="22"/>
                <w:vertAlign w:val="superscript"/>
              </w:rPr>
              <w:t>th</w:t>
            </w:r>
            <w:r w:rsidRPr="004A2134">
              <w:rPr>
                <w:rFonts w:ascii="Arial" w:eastAsia="Times New Roman" w:hAnsi="Arial" w:cs="Arial"/>
                <w:sz w:val="22"/>
                <w:szCs w:val="22"/>
              </w:rPr>
              <w:t>-95</w:t>
            </w:r>
            <w:r w:rsidRPr="004A2134">
              <w:rPr>
                <w:rFonts w:ascii="Arial" w:eastAsia="Times New Roman" w:hAnsi="Arial" w:cs="Arial"/>
                <w:color w:val="000000"/>
                <w:sz w:val="22"/>
                <w:szCs w:val="22"/>
                <w:vertAlign w:val="superscript"/>
              </w:rPr>
              <w:t>th</w:t>
            </w:r>
            <w:r w:rsidRPr="004A2134">
              <w:rPr>
                <w:rFonts w:ascii="Arial" w:eastAsia="Times New Roman" w:hAnsi="Arial" w:cs="Arial"/>
                <w:sz w:val="22"/>
                <w:szCs w:val="22"/>
              </w:rPr>
              <w:t> percentile</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8D3346" w14:textId="51EFAE12"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i/>
                <w:iCs/>
                <w:color w:val="000000"/>
                <w:sz w:val="22"/>
                <w:szCs w:val="22"/>
              </w:rPr>
            </w:pPr>
            <w:r w:rsidRPr="004A2134">
              <w:rPr>
                <w:rFonts w:ascii="Arial" w:eastAsia="Times New Roman" w:hAnsi="Arial" w:cs="Arial"/>
                <w:sz w:val="22"/>
                <w:szCs w:val="22"/>
              </w:rPr>
              <w:t>1</w:t>
            </w:r>
            <w:r w:rsidRPr="004A2134">
              <w:rPr>
                <w:rFonts w:ascii="Arial" w:eastAsia="Times New Roman" w:hAnsi="Arial" w:cs="Arial"/>
                <w:color w:val="000000"/>
                <w:sz w:val="22"/>
                <w:szCs w:val="22"/>
                <w:vertAlign w:val="superscript"/>
              </w:rPr>
              <w:t>ST</w:t>
            </w:r>
            <w:r w:rsidRPr="004A2134">
              <w:rPr>
                <w:rFonts w:ascii="Arial" w:eastAsia="Times New Roman" w:hAnsi="Arial" w:cs="Arial"/>
                <w:sz w:val="22"/>
                <w:szCs w:val="22"/>
              </w:rPr>
              <w:t>-5</w:t>
            </w:r>
            <w:r w:rsidRPr="004A2134">
              <w:rPr>
                <w:rFonts w:ascii="Arial" w:eastAsia="Times New Roman" w:hAnsi="Arial" w:cs="Arial"/>
                <w:color w:val="000000"/>
                <w:sz w:val="22"/>
                <w:szCs w:val="22"/>
                <w:vertAlign w:val="superscript"/>
              </w:rPr>
              <w:t>th</w:t>
            </w:r>
            <w:r w:rsidRPr="004A2134">
              <w:rPr>
                <w:rFonts w:ascii="Arial" w:eastAsia="Times New Roman" w:hAnsi="Arial" w:cs="Arial"/>
                <w:sz w:val="22"/>
                <w:szCs w:val="22"/>
              </w:rPr>
              <w:t xml:space="preserve"> percentile </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F4B042" w14:textId="72F5C1ED"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i/>
                <w:iCs/>
                <w:color w:val="000000"/>
                <w:sz w:val="22"/>
                <w:szCs w:val="22"/>
              </w:rPr>
            </w:pPr>
            <w:r w:rsidRPr="004A2134">
              <w:rPr>
                <w:rFonts w:ascii="Arial" w:eastAsia="Times New Roman" w:hAnsi="Arial" w:cs="Arial"/>
                <w:i/>
                <w:iCs/>
                <w:color w:val="000000"/>
                <w:sz w:val="22"/>
                <w:szCs w:val="22"/>
              </w:rPr>
              <w:t>&lt;1</w:t>
            </w:r>
            <w:r w:rsidRPr="004A2134">
              <w:rPr>
                <w:rFonts w:ascii="Arial" w:eastAsia="Times New Roman" w:hAnsi="Arial" w:cs="Arial"/>
                <w:i/>
                <w:iCs/>
                <w:color w:val="000000"/>
                <w:sz w:val="22"/>
                <w:szCs w:val="22"/>
                <w:vertAlign w:val="superscript"/>
              </w:rPr>
              <w:t>st</w:t>
            </w:r>
            <w:r w:rsidRPr="004A2134">
              <w:rPr>
                <w:rFonts w:ascii="Arial" w:eastAsia="Times New Roman" w:hAnsi="Arial" w:cs="Arial"/>
                <w:i/>
                <w:iCs/>
                <w:color w:val="000000"/>
                <w:sz w:val="22"/>
                <w:szCs w:val="22"/>
              </w:rPr>
              <w:t> percentile</w:t>
            </w:r>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21ADE25" w14:textId="591D95AF"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&lt;1</w:t>
            </w:r>
            <w:r w:rsidRPr="004A2134">
              <w:rPr>
                <w:rFonts w:ascii="Arial" w:eastAsia="Times New Roman" w:hAnsi="Arial" w:cs="Arial"/>
                <w:color w:val="000000"/>
                <w:sz w:val="22"/>
                <w:szCs w:val="22"/>
                <w:vertAlign w:val="superscript"/>
              </w:rPr>
              <w:t>st</w:t>
            </w:r>
            <w:r w:rsidRPr="004A2134">
              <w:rPr>
                <w:rFonts w:ascii="Arial" w:eastAsia="Times New Roman" w:hAnsi="Arial" w:cs="Arial"/>
                <w:sz w:val="22"/>
                <w:szCs w:val="22"/>
              </w:rPr>
              <w:t> percentile</w:t>
            </w:r>
          </w:p>
        </w:tc>
      </w:tr>
      <w:tr w:rsidR="004A2134" w14:paraId="624BBD0A" w14:textId="77777777" w:rsidTr="004A2134">
        <w:trPr>
          <w:cantSplit/>
          <w:trHeight w:val="651"/>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3700D4" w14:textId="0EA01548"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color w:val="000000"/>
                <w:sz w:val="22"/>
                <w:szCs w:val="22"/>
              </w:rPr>
            </w:pPr>
            <w:r w:rsidRPr="004A2134">
              <w:rPr>
                <w:rFonts w:ascii="Arial" w:eastAsia="Times New Roman" w:hAnsi="Arial" w:cs="Arial"/>
                <w:sz w:val="22"/>
                <w:szCs w:val="22"/>
              </w:rPr>
              <w:t>5/10/17</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2778CA" w14:textId="2E5D2D2B"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i/>
                <w:iCs/>
                <w:color w:val="000000"/>
                <w:sz w:val="22"/>
                <w:szCs w:val="22"/>
              </w:rPr>
              <w:t>76 (may be unreliable, significant artifact)</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51CAEE" w14:textId="479AA56F"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85</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E2D55D" w14:textId="12C972DC"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i/>
                <w:iCs/>
                <w:color w:val="000000"/>
                <w:sz w:val="22"/>
                <w:szCs w:val="22"/>
              </w:rPr>
            </w:pPr>
            <w:r w:rsidRPr="004A2134">
              <w:rPr>
                <w:rFonts w:ascii="Arial" w:eastAsia="Times New Roman" w:hAnsi="Arial" w:cs="Arial"/>
                <w:i/>
                <w:iCs/>
                <w:color w:val="000000"/>
                <w:sz w:val="22"/>
                <w:szCs w:val="22"/>
              </w:rPr>
              <w:t>75 (may be unreliable)</w:t>
            </w:r>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2046E0" w14:textId="55482C1A"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67</w:t>
            </w:r>
          </w:p>
        </w:tc>
      </w:tr>
      <w:tr w:rsidR="004A2134" w14:paraId="53A7330A" w14:textId="77777777" w:rsidTr="004A2134">
        <w:trPr>
          <w:cantSplit/>
          <w:trHeight w:val="651"/>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13D7E7" w14:textId="505DDF59"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2015</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4E64AC" w14:textId="3C4E3592"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i/>
                <w:iCs/>
                <w:color w:val="000000"/>
                <w:sz w:val="22"/>
                <w:szCs w:val="22"/>
              </w:rPr>
            </w:pPr>
            <w:r w:rsidRPr="004A2134">
              <w:rPr>
                <w:rFonts w:ascii="Arial" w:eastAsia="Times New Roman" w:hAnsi="Arial" w:cs="Arial"/>
                <w:i/>
                <w:iCs/>
                <w:color w:val="000000"/>
                <w:sz w:val="22"/>
                <w:szCs w:val="22"/>
              </w:rPr>
              <w:t>77</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791DB0" w14:textId="1F69EC85"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82</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749E84" w14:textId="3DA372EC"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i/>
                <w:iCs/>
                <w:color w:val="000000"/>
                <w:sz w:val="22"/>
                <w:szCs w:val="22"/>
              </w:rPr>
            </w:pPr>
            <w:r w:rsidRPr="004A2134">
              <w:rPr>
                <w:rFonts w:ascii="Arial" w:eastAsia="Times New Roman" w:hAnsi="Arial" w:cs="Arial"/>
                <w:sz w:val="22"/>
                <w:szCs w:val="22"/>
              </w:rPr>
              <w:t xml:space="preserve">75 </w:t>
            </w:r>
            <w:r w:rsidRPr="004A2134">
              <w:rPr>
                <w:rFonts w:ascii="Arial" w:eastAsia="Times New Roman" w:hAnsi="Arial" w:cs="Arial"/>
                <w:i/>
                <w:iCs/>
                <w:color w:val="000000"/>
                <w:sz w:val="22"/>
                <w:szCs w:val="22"/>
              </w:rPr>
              <w:t>(likely confounded by ERM)</w:t>
            </w:r>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F1DC8F" w14:textId="427CA1F3"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68</w:t>
            </w:r>
          </w:p>
        </w:tc>
      </w:tr>
      <w:tr w:rsidR="004A2134" w14:paraId="0D8F2706" w14:textId="77777777" w:rsidTr="004A2134">
        <w:trPr>
          <w:cantSplit/>
          <w:trHeight w:val="651"/>
        </w:trPr>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0D0072" w14:textId="47D8D058"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5/23/12</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D70BF5" w14:textId="63BD9E87"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i/>
                <w:iCs/>
                <w:color w:val="000000"/>
                <w:sz w:val="22"/>
                <w:szCs w:val="22"/>
              </w:rPr>
            </w:pPr>
            <w:r w:rsidRPr="004A2134">
              <w:rPr>
                <w:rFonts w:ascii="Arial" w:eastAsia="Times New Roman" w:hAnsi="Arial" w:cs="Arial"/>
                <w:sz w:val="22"/>
                <w:szCs w:val="22"/>
              </w:rPr>
              <w:t>71</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F25F24" w14:textId="7C7783B8"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86</w:t>
            </w:r>
          </w:p>
        </w:tc>
        <w:tc>
          <w:tcPr>
            <w:tcW w:w="1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38B734" w14:textId="10053284"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58</w:t>
            </w:r>
          </w:p>
        </w:tc>
        <w:tc>
          <w:tcPr>
            <w:tcW w:w="28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D91889" w14:textId="326FB16B" w:rsidR="004A2134" w:rsidRPr="004A2134" w:rsidRDefault="004A2134" w:rsidP="004A2134">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Times New Roman" w:hAnsi="Arial" w:cs="Arial"/>
                <w:sz w:val="22"/>
                <w:szCs w:val="22"/>
              </w:rPr>
            </w:pPr>
            <w:r w:rsidRPr="004A2134">
              <w:rPr>
                <w:rFonts w:ascii="Arial" w:eastAsia="Times New Roman" w:hAnsi="Arial" w:cs="Arial"/>
                <w:sz w:val="22"/>
                <w:szCs w:val="22"/>
              </w:rPr>
              <w:t>70</w:t>
            </w:r>
          </w:p>
        </w:tc>
      </w:tr>
    </w:tbl>
    <w:p w14:paraId="670C3498" w14:textId="77777777" w:rsidR="004A2134" w:rsidRDefault="00000000">
      <w:r>
        <w:t xml:space="preserve"> </w:t>
      </w:r>
    </w:p>
    <w:p w14:paraId="2B6D56DF" w14:textId="77777777" w:rsidR="005F3507" w:rsidRDefault="005F3507"/>
    <w:p w14:paraId="1CAA6555" w14:textId="77777777" w:rsidR="005F3507" w:rsidRDefault="00000000">
      <w:r>
        <w:t xml:space="preserve"> DETAILED INTERPRETATION: </w:t>
      </w:r>
    </w:p>
    <w:p w14:paraId="4FFE29D2" w14:textId="77777777" w:rsidR="005F3507" w:rsidRDefault="005F3507"/>
    <w:p w14:paraId="6497431D" w14:textId="77777777" w:rsidR="005F3507" w:rsidRDefault="00000000">
      <w:r>
        <w:lastRenderedPageBreak/>
        <w:t xml:space="preserve">I personally reviewed the OCT scan that is stored on the FORUM server. </w:t>
      </w:r>
    </w:p>
    <w:p w14:paraId="19F6A9F8" w14:textId="77777777" w:rsidR="005F3507" w:rsidRDefault="00000000">
      <w:r>
        <w:t xml:space="preserve">   </w:t>
      </w:r>
    </w:p>
    <w:p w14:paraId="26E3614B" w14:textId="079C3741" w:rsidR="005F3507" w:rsidRDefault="00000000">
      <w:r>
        <w:t xml:space="preserve">The average retinal nerve fiber layer (RNFL) thicknesses </w:t>
      </w:r>
      <w:r w:rsidR="004A2134">
        <w:t>were</w:t>
      </w:r>
      <w:r>
        <w:t xml:space="preserve"> in the 1st-5th percentile in the right eye and 5th-95th percentile in the left eye compared to age-matched normative control data. There was no significant asymmetry in the average RNFL thickness between eyes. There was no significant relative regional thinning of the RNFL in either eye. Average RNFL thicknesses in </w:t>
      </w:r>
      <w:r w:rsidR="004A2134">
        <w:t>the left</w:t>
      </w:r>
      <w:r>
        <w:t xml:space="preserve"> eye </w:t>
      </w:r>
      <w:r w:rsidR="004A2134">
        <w:t>is overall stable from recent prior scans, given limitations in scan quality) but is decreased since 5/10/2017.</w:t>
      </w:r>
    </w:p>
    <w:p w14:paraId="7C1837AF" w14:textId="77777777" w:rsidR="005F3507" w:rsidRDefault="00000000">
      <w:r>
        <w:t xml:space="preserve"> </w:t>
      </w:r>
    </w:p>
    <w:p w14:paraId="481D32AE" w14:textId="4308430F" w:rsidR="005F3507" w:rsidRDefault="00000000">
      <w:r>
        <w:t xml:space="preserve"> The average composite ganglion cell layer (GCIPL) thicknesses </w:t>
      </w:r>
      <w:r w:rsidR="004A2134">
        <w:t>were</w:t>
      </w:r>
      <w:r>
        <w:t xml:space="preserve"> in the &lt; 1st percentile in the right eye and &lt; 1st percentile in the left eye compared to age-matched normative control data. There was no significant asymmetry in the average GCIPL thickness between eyes.   There was significant inferior / temporal regional thinning of the GCIPL in the right eye. Average GCIPL thicknesses in both eyes were stable since prior OCT on 11/17/2021</w:t>
      </w:r>
      <w:r w:rsidR="004A2134">
        <w:t>.</w:t>
      </w:r>
    </w:p>
    <w:p w14:paraId="232E0BAA" w14:textId="77777777" w:rsidR="005F3507" w:rsidRDefault="005F3507"/>
    <w:p w14:paraId="3882330E" w14:textId="15BA1500" w:rsidR="005F3507" w:rsidRDefault="00000000">
      <w:r>
        <w:t xml:space="preserve"> These findings could be supportive of </w:t>
      </w:r>
      <w:r w:rsidR="004A2134">
        <w:t xml:space="preserve">prior </w:t>
      </w:r>
      <w:r>
        <w:t xml:space="preserve">optic neuropathy in the right eye. </w:t>
      </w:r>
      <w:r w:rsidR="004A2134">
        <w:rPr>
          <w:rFonts w:ascii="inherit" w:eastAsia="Times New Roman" w:hAnsi="inherit" w:cs="inherit"/>
          <w:color w:val="000000"/>
        </w:rPr>
        <w:t xml:space="preserve"> These findings also </w:t>
      </w:r>
      <w:r w:rsidR="004A2134">
        <w:rPr>
          <w:rFonts w:ascii="inherit" w:eastAsia="Times New Roman" w:hAnsi="inherit" w:cs="inherit"/>
          <w:color w:val="000000"/>
        </w:rPr>
        <w:t xml:space="preserve">show </w:t>
      </w:r>
      <w:r w:rsidR="004A2134">
        <w:rPr>
          <w:rFonts w:ascii="inherit" w:eastAsia="Times New Roman" w:hAnsi="inherit" w:cs="inherit"/>
          <w:color w:val="000000"/>
        </w:rPr>
        <w:t xml:space="preserve">bilaterally thinned GCIPL, which may be seen in patients with prior bilateral optic neuritis, subclinical optic nerve atrophy, cerebral degeneration, or other </w:t>
      </w:r>
      <w:r w:rsidR="004A2134">
        <w:rPr>
          <w:rFonts w:ascii="inherit" w:eastAsia="Times New Roman" w:hAnsi="inherit" w:cs="inherit"/>
          <w:color w:val="000000"/>
        </w:rPr>
        <w:br/>
        <w:t>focal retinal pathology</w:t>
      </w:r>
      <w:r w:rsidR="004A2134">
        <w:rPr>
          <w:rFonts w:ascii="inherit" w:eastAsia="Times New Roman" w:hAnsi="inherit" w:cs="inherit"/>
          <w:color w:val="000000"/>
        </w:rPr>
        <w:t xml:space="preserve">. </w:t>
      </w:r>
      <w:proofErr w:type="spellStart"/>
      <w:r>
        <w:t>Clinical</w:t>
      </w:r>
      <w:proofErr w:type="spellEnd"/>
      <w:r>
        <w:t xml:space="preserve"> correlation advised. Annual ophthalmological examination is recommended.  </w:t>
      </w:r>
    </w:p>
    <w:p w14:paraId="75ED5FB2" w14:textId="77777777" w:rsidR="005F3507" w:rsidRDefault="00000000">
      <w:r>
        <w:t xml:space="preserve"> </w:t>
      </w:r>
    </w:p>
    <w:p w14:paraId="2E7D3809" w14:textId="77777777" w:rsidR="005F3507" w:rsidRDefault="00000000">
      <w:r>
        <w:t xml:space="preserve"> Sachin Gadani, MD PhD  </w:t>
      </w:r>
    </w:p>
    <w:p w14:paraId="14DB7B3A" w14:textId="77777777" w:rsidR="005F3507" w:rsidRDefault="00000000">
      <w:r>
        <w:t xml:space="preserve"> Neuroimmunology Fellow</w:t>
      </w:r>
    </w:p>
    <w:sectPr w:rsidR="005F3507"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5936272">
    <w:abstractNumId w:val="1"/>
  </w:num>
  <w:num w:numId="2" w16cid:durableId="1269506608">
    <w:abstractNumId w:val="2"/>
  </w:num>
  <w:num w:numId="3" w16cid:durableId="157181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4A2134"/>
    <w:rsid w:val="005F3507"/>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CC109"/>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323</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Sachin Gadani</cp:lastModifiedBy>
  <cp:revision>10</cp:revision>
  <dcterms:created xsi:type="dcterms:W3CDTF">2017-02-28T11:18:00Z</dcterms:created>
  <dcterms:modified xsi:type="dcterms:W3CDTF">2022-11-04T16:49:00Z</dcterms:modified>
  <cp:category/>
</cp:coreProperties>
</file>