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drawing>
          <wp:inline distT="0" distB="0" distL="0" distR="0">
            <wp:extent cx="180975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323975"/>
                    </a:xfrm>
                    <a:prstGeom prst="rect">
                      <a:avLst/>
                    </a:prstGeom>
                  </pic:spPr>
                </pic:pic>
              </a:graphicData>
            </a:graphic>
          </wp:inline>
        </w:drawing>
      </w:r>
    </w:p>
    <w:p>
      <w:pPr>
        <w:spacing w:after="0" w:before="500"/>
      </w:pPr>
      <w:r>
        <w:rPr>
          <w:rFonts w:ascii="Cambria" w:cs="Cambria" w:eastAsia="Cambria" w:hAnsi="Cambria"/>
          <w:b/>
          <w:bCs/>
          <w:color w:val="0F2A43"/>
          <w:sz w:val="60"/>
          <w:szCs w:val="60"/>
        </w:rPr>
        <w:t xml:space="preserve">PPE Ordering Platform</w:t>
      </w:r>
    </w:p>
    <w:p>
      <w:pPr>
        <w:spacing w:after="0" w:before="120"/>
      </w:pPr>
      <w:r>
        <w:rPr>
          <w:rFonts w:ascii="Cambria" w:cs="Cambria" w:eastAsia="Cambria" w:hAnsi="Cambria"/>
          <w:color w:val="C25610"/>
          <w:sz w:val="34"/>
          <w:szCs w:val="34"/>
        </w:rPr>
        <w:t xml:space="preserve">Production Architecture &amp; Deployment Guide</w:t>
      </w:r>
    </w:p>
    <w:p>
      <w:pPr>
        <w:pBdr>
          <w:top w:val="single" w:color="C25610" w:sz="8"/>
        </w:pBdr>
        <w:spacing w:after="0" w:before="400"/>
      </w:pPr>
    </w:p>
    <w:p>
      <w:pPr>
        <w:spacing w:after="0" w:before="260"/>
      </w:pPr>
      <w:r>
        <w:rPr>
          <w:rFonts w:ascii="Calibri" w:cs="Calibri" w:eastAsia="Calibri" w:hAnsi="Calibri"/>
          <w:color w:val="5B6B7B"/>
          <w:sz w:val="24"/>
          <w:szCs w:val="24"/>
        </w:rPr>
        <w:t xml:space="preserve">PROSAFE × Emirates Global Aluminium</w:t>
      </w:r>
    </w:p>
    <w:p>
      <w:pPr>
        <w:spacing w:after="0" w:before="80"/>
      </w:pPr>
      <w:r>
        <w:rPr>
          <w:rFonts w:ascii="Calibri" w:cs="Calibri" w:eastAsia="Calibri" w:hAnsi="Calibri"/>
          <w:color w:val="5B6B7B"/>
          <w:sz w:val="21"/>
          <w:szCs w:val="21"/>
        </w:rPr>
        <w:t xml:space="preserve">Website · Middleware · Database · Android and iOS applications</w:t>
      </w:r>
    </w:p>
    <w:p>
      <w:pPr>
        <w:spacing w:after="0" w:before="900"/>
      </w:pPr>
      <w:r>
        <w:rPr>
          <w:rFonts w:ascii="Calibri" w:cs="Calibri" w:eastAsia="Calibri" w:hAnsi="Calibri"/>
          <w:i/>
          <w:iCs/>
          <w:color w:val="5B6B7B"/>
          <w:sz w:val="19"/>
          <w:szCs w:val="19"/>
        </w:rPr>
        <w:t xml:space="preserve">Prepared by Prosafe Systems  ·  Technical hand-over document</w:t>
      </w:r>
    </w:p>
    <w:p>
      <w:r>
        <w:br w:type="page"/>
      </w:r>
    </w:p>
    <w:p>
      <w:pPr>
        <w:spacing w:after="200"/>
      </w:pPr>
      <w:r>
        <w:rPr>
          <w:rFonts w:ascii="Cambria" w:cs="Cambria" w:eastAsia="Cambria" w:hAnsi="Cambria"/>
          <w:b/>
          <w:bCs/>
          <w:color w:val="0F2A43"/>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60"/>
      </w:pPr>
      <w:r>
        <w:rPr>
          <w:rFonts w:ascii="Calibri" w:cs="Calibri" w:eastAsia="Calibri" w:hAnsi="Calibri"/>
          <w:i/>
          <w:iCs/>
          <w:color w:val="5B6B7B"/>
          <w:sz w:val="18"/>
          <w:szCs w:val="18"/>
        </w:rPr>
        <w:t xml:space="preserve">If the list above is blank, click it and press F9 (Word) to build the table of contents.</w:t>
      </w:r>
    </w:p>
    <w:p>
      <w:r>
        <w:br w:type="page"/>
      </w:r>
    </w:p>
    <w:p>
      <w:pPr>
        <w:pStyle w:val="Heading1"/>
        <w:spacing w:after="160" w:before="360"/>
      </w:pPr>
      <w:r>
        <w:t xml:space="preserve">1. Purpose and scope</w:t>
      </w:r>
    </w:p>
    <w:p>
      <w:pPr>
        <w:spacing w:after="120" w:line="276"/>
      </w:pPr>
      <w:r>
        <w:rPr>
          <w:rFonts w:ascii="Calibri" w:cs="Calibri" w:eastAsia="Calibri" w:hAnsi="Calibri"/>
          <w:color w:val="222222"/>
          <w:sz w:val="21"/>
          <w:szCs w:val="21"/>
        </w:rPr>
        <w:t xml:space="preserve">This document is the technical reference for running the PROSAFE × EGA PPE Ordering Platform in production. It describes what the system is built from, how the pieces fit together, how each one is deployed and configured, and what must be done before and after go-live. It is written for the engineers and IT staff who will host, operate and extend the platform.</w:t>
      </w:r>
    </w:p>
    <w:p>
      <w:pPr>
        <w:spacing w:after="120" w:line="276"/>
      </w:pPr>
      <w:r>
        <w:rPr>
          <w:rFonts w:ascii="Calibri" w:cs="Calibri" w:eastAsia="Calibri" w:hAnsi="Calibri"/>
          <w:color w:val="222222"/>
          <w:sz w:val="21"/>
          <w:szCs w:val="21"/>
        </w:rPr>
        <w:t xml:space="preserve">It covers four deployable artefacts:</w:t>
      </w:r>
    </w:p>
    <w:p>
      <w:pPr>
        <w:pStyle w:val="ListParagraph"/>
        <w:numPr>
          <w:ilvl w:val="0"/>
          <w:numId w:val="2"/>
        </w:numPr>
        <w:spacing w:after="80" w:line="276"/>
      </w:pPr>
      <w:r>
        <w:rPr>
          <w:rFonts w:ascii="Calibri" w:cs="Calibri" w:eastAsia="Calibri" w:hAnsi="Calibri"/>
          <w:b/>
          <w:bCs/>
          <w:color w:val="222222"/>
          <w:sz w:val="21"/>
          <w:szCs w:val="21"/>
        </w:rPr>
        <w:t xml:space="preserve">Middleware</w:t>
      </w:r>
      <w:r>
        <w:rPr>
          <w:rFonts w:ascii="Calibri" w:cs="Calibri" w:eastAsia="Calibri" w:hAnsi="Calibri"/>
          <w:color w:val="222222"/>
          <w:sz w:val="21"/>
          <w:szCs w:val="21"/>
        </w:rPr>
        <w:t xml:space="preserve"> — the Node.js/Express business-logic and API layer. Every rule in the system lives here.</w:t>
      </w:r>
    </w:p>
    <w:p>
      <w:pPr>
        <w:pStyle w:val="ListParagraph"/>
        <w:numPr>
          <w:ilvl w:val="0"/>
          <w:numId w:val="2"/>
        </w:numPr>
        <w:spacing w:after="80" w:line="276"/>
      </w:pPr>
      <w:r>
        <w:rPr>
          <w:rFonts w:ascii="Calibri" w:cs="Calibri" w:eastAsia="Calibri" w:hAnsi="Calibri"/>
          <w:b/>
          <w:bCs/>
          <w:color w:val="222222"/>
          <w:sz w:val="21"/>
          <w:szCs w:val="21"/>
        </w:rPr>
        <w:t xml:space="preserve">Web portal</w:t>
      </w:r>
      <w:r>
        <w:rPr>
          <w:rFonts w:ascii="Calibri" w:cs="Calibri" w:eastAsia="Calibri" w:hAnsi="Calibri"/>
          <w:color w:val="222222"/>
          <w:sz w:val="21"/>
          <w:szCs w:val="21"/>
        </w:rPr>
        <w:t xml:space="preserve"> — the React single-page application used by employees, approvers, stores and administrators.</w:t>
      </w:r>
    </w:p>
    <w:p>
      <w:pPr>
        <w:pStyle w:val="ListParagraph"/>
        <w:numPr>
          <w:ilvl w:val="0"/>
          <w:numId w:val="2"/>
        </w:numPr>
        <w:spacing w:after="80" w:line="276"/>
      </w:pPr>
      <w:r>
        <w:rPr>
          <w:rFonts w:ascii="Calibri" w:cs="Calibri" w:eastAsia="Calibri" w:hAnsi="Calibri"/>
          <w:b/>
          <w:bCs/>
          <w:color w:val="222222"/>
          <w:sz w:val="21"/>
          <w:szCs w:val="21"/>
        </w:rPr>
        <w:t xml:space="preserve">Mobile application</w:t>
      </w:r>
      <w:r>
        <w:rPr>
          <w:rFonts w:ascii="Calibri" w:cs="Calibri" w:eastAsia="Calibri" w:hAnsi="Calibri"/>
          <w:color w:val="222222"/>
          <w:sz w:val="21"/>
          <w:szCs w:val="21"/>
        </w:rPr>
        <w:t xml:space="preserve"> — the Expo / React Native employee app for Android and iOS.</w:t>
      </w:r>
    </w:p>
    <w:p>
      <w:pPr>
        <w:pStyle w:val="ListParagraph"/>
        <w:numPr>
          <w:ilvl w:val="0"/>
          <w:numId w:val="2"/>
        </w:numPr>
        <w:spacing w:after="80" w:line="276"/>
      </w:pPr>
      <w:r>
        <w:rPr>
          <w:rFonts w:ascii="Calibri" w:cs="Calibri" w:eastAsia="Calibri" w:hAnsi="Calibri"/>
          <w:b/>
          <w:bCs/>
          <w:color w:val="222222"/>
          <w:sz w:val="21"/>
          <w:szCs w:val="21"/>
        </w:rPr>
        <w:t xml:space="preserve">Database</w:t>
      </w:r>
      <w:r>
        <w:rPr>
          <w:rFonts w:ascii="Calibri" w:cs="Calibri" w:eastAsia="Calibri" w:hAnsi="Calibri"/>
          <w:color w:val="222222"/>
          <w:sz w:val="21"/>
          <w:szCs w:val="21"/>
        </w:rPr>
        <w:t xml:space="preserve"> — Supabase (managed PostgreSQL) with Supabase Auth for identity.</w:t>
      </w:r>
    </w:p>
    <w:p>
      <w:pPr>
        <w:pBdr>
          <w:left w:val="single" w:color="C25610" w:sz="18"/>
        </w:pBdr>
        <w:shd w:fill="FFF4E8" w:val="clear"/>
        <w:spacing w:after="0" w:before="140" w:line="260"/>
        <w:ind w:left="160" w:right="160"/>
      </w:pPr>
      <w:r>
        <w:rPr>
          <w:rFonts w:ascii="Calibri" w:cs="Calibri" w:eastAsia="Calibri" w:hAnsi="Calibri"/>
          <w:b/>
          <w:bCs/>
          <w:color w:val="0F2A43"/>
          <w:sz w:val="21"/>
          <w:szCs w:val="21"/>
        </w:rPr>
        <w:t xml:space="preserve">Read section 12 before going live</w:t>
      </w:r>
    </w:p>
    <w:p>
      <w:pPr>
        <w:pBdr>
          <w:left w:val="single" w:color="C25610" w:sz="18"/>
        </w:pBdr>
        <w:shd w:fill="FFF4E8" w:val="clear"/>
        <w:spacing w:after="200" w:before="0" w:line="260"/>
        <w:ind w:left="160" w:right="160"/>
      </w:pPr>
      <w:r>
        <w:rPr>
          <w:rFonts w:ascii="Calibri" w:cs="Calibri" w:eastAsia="Calibri" w:hAnsi="Calibri"/>
          <w:color w:val="333333"/>
          <w:sz w:val="20"/>
          <w:szCs w:val="20"/>
        </w:rPr>
        <w:t xml:space="preserve">Section 12 lists the production-readiness actions that are still open. Two of them — the background sweep on serverless hosting, and the hard-coded API address in the mobile app — will cause incorrect behaviour in production if they are not addressed.</w:t>
      </w:r>
    </w:p>
    <w:p>
      <w:pPr>
        <w:pStyle w:val="Heading1"/>
        <w:spacing w:after="160" w:before="360"/>
      </w:pPr>
      <w:r>
        <w:t xml:space="preserve">2. System architecture</w:t>
      </w:r>
    </w:p>
    <w:p>
      <w:pPr>
        <w:pStyle w:val="Heading2"/>
        <w:spacing w:after="120" w:before="260"/>
      </w:pPr>
      <w:r>
        <w:t xml:space="preserve">2.1 Shape of the system</w:t>
      </w:r>
    </w:p>
    <w:p>
      <w:pPr>
        <w:spacing w:after="120" w:line="276"/>
      </w:pPr>
      <w:r>
        <w:rPr>
          <w:rFonts w:ascii="Calibri" w:cs="Calibri" w:eastAsia="Calibri" w:hAnsi="Calibri"/>
          <w:color w:val="222222"/>
          <w:sz w:val="21"/>
          <w:szCs w:val="21"/>
        </w:rPr>
        <w:t xml:space="preserve">The platform is a three-tier system. Two client applications talk to one stateless API server, which is the only component that talks to the database and to the ERP. No client ever holds a database credential.</w:t>
      </w:r>
    </w:p>
    <w:p>
      <w:pPr>
        <w:pBdr>
          <w:top w:val="single" w:color="D6DEE6" w:sz="4"/>
        </w:pBdr>
        <w:shd w:fill="F2F5F9" w:val="clear"/>
        <w:spacing w:after="0" w:line="240"/>
        <w:ind w:left="200" w:right="200"/>
      </w:pPr>
      <w:r>
        <w:rPr>
          <w:rFonts w:ascii="Consolas" w:cs="Consolas" w:eastAsia="Consolas" w:hAnsi="Consolas"/>
          <w:color w:val="0F2A43"/>
          <w:sz w:val="15"/>
          <w:szCs w:val="15"/>
        </w:rPr>
        <w:t xml:space="preserve">   ┌──────────────────┐        ┌──────────────────┐</w:t>
      </w:r>
    </w:p>
    <w:p>
      <w:pPr>
        <w:shd w:fill="F2F5F9" w:val="clear"/>
        <w:spacing w:after="0" w:line="240"/>
        <w:ind w:left="200" w:right="200"/>
      </w:pPr>
      <w:r>
        <w:rPr>
          <w:rFonts w:ascii="Consolas" w:cs="Consolas" w:eastAsia="Consolas" w:hAnsi="Consolas"/>
          <w:color w:val="0F2A43"/>
          <w:sz w:val="15"/>
          <w:szCs w:val="15"/>
        </w:rPr>
        <w:t xml:space="preserve">   │  Web portal      │        │  Mobile app      │</w:t>
      </w:r>
    </w:p>
    <w:p>
      <w:pPr>
        <w:shd w:fill="F2F5F9" w:val="clear"/>
        <w:spacing w:after="0" w:line="240"/>
        <w:ind w:left="200" w:right="200"/>
      </w:pPr>
      <w:r>
        <w:rPr>
          <w:rFonts w:ascii="Consolas" w:cs="Consolas" w:eastAsia="Consolas" w:hAnsi="Consolas"/>
          <w:color w:val="0F2A43"/>
          <w:sz w:val="15"/>
          <w:szCs w:val="15"/>
        </w:rPr>
        <w:t xml:space="preserve">   │  React + Vite    │        │  Expo / RN       │</w:t>
      </w:r>
    </w:p>
    <w:p>
      <w:pPr>
        <w:shd w:fill="F2F5F9" w:val="clear"/>
        <w:spacing w:after="0" w:line="240"/>
        <w:ind w:left="200" w:right="200"/>
      </w:pPr>
      <w:r>
        <w:rPr>
          <w:rFonts w:ascii="Consolas" w:cs="Consolas" w:eastAsia="Consolas" w:hAnsi="Consolas"/>
          <w:color w:val="0F2A43"/>
          <w:sz w:val="15"/>
          <w:szCs w:val="15"/>
        </w:rPr>
        <w:t xml:space="preserve">   │  (static build)  │        │  Android · iOS   │</w:t>
      </w:r>
    </w:p>
    <w:p>
      <w:pPr>
        <w:shd w:fill="F2F5F9" w:val="clear"/>
        <w:spacing w:after="0" w:line="240"/>
        <w:ind w:left="200" w:right="200"/>
      </w:pPr>
      <w:r>
        <w:rPr>
          <w:rFonts w:ascii="Consolas" w:cs="Consolas" w:eastAsia="Consolas" w:hAnsi="Consolas"/>
          <w:color w:val="0F2A43"/>
          <w:sz w:val="15"/>
          <w:szCs w:val="15"/>
        </w:rPr>
        <w:t xml:space="preserve">   └────────┬─────────┘        └────────┬─────────┘</w:t>
      </w:r>
    </w:p>
    <w:p>
      <w:pPr>
        <w:shd w:fill="F2F5F9" w:val="clear"/>
        <w:spacing w:after="0" w:line="240"/>
        <w:ind w:left="200" w:right="200"/>
      </w:pPr>
      <w:r>
        <w:rPr>
          <w:rFonts w:ascii="Consolas" w:cs="Consolas" w:eastAsia="Consolas" w:hAnsi="Consolas"/>
          <w:color w:val="0F2A43"/>
          <w:sz w:val="15"/>
          <w:szCs w:val="15"/>
        </w:rPr>
        <w:t xml:space="preserve">            │       HTTPS / JSON        │</w:t>
      </w:r>
    </w:p>
    <w:p>
      <w:pPr>
        <w:shd w:fill="F2F5F9" w:val="clear"/>
        <w:spacing w:after="0" w:line="240"/>
        <w:ind w:left="200" w:right="200"/>
      </w:pPr>
      <w:r>
        <w:rPr>
          <w:rFonts w:ascii="Consolas" w:cs="Consolas" w:eastAsia="Consolas" w:hAnsi="Consolas"/>
          <w:color w:val="0F2A43"/>
          <w:sz w:val="15"/>
          <w:szCs w:val="15"/>
        </w:rPr>
        <w:t xml:space="preserve">            │    Bearer access token    │</w:t>
      </w:r>
    </w:p>
    <w:p>
      <w:pPr>
        <w:shd w:fill="F2F5F9" w:val="clear"/>
        <w:spacing w:after="0" w:line="240"/>
        <w:ind w:left="200" w:right="200"/>
      </w:pPr>
      <w:r>
        <w:rPr>
          <w:rFonts w:ascii="Consolas" w:cs="Consolas" w:eastAsia="Consolas" w:hAnsi="Consolas"/>
          <w:color w:val="0F2A43"/>
          <w:sz w:val="15"/>
          <w:szCs w:val="15"/>
        </w:rPr>
        <w:t xml:space="preserve">            └───────────┬───────────────┘</w:t>
      </w:r>
    </w:p>
    <w:p>
      <w:pPr>
        <w:shd w:fill="F2F5F9" w:val="clear"/>
        <w:spacing w:after="0" w:line="240"/>
        <w:ind w:left="200" w:right="200"/>
      </w:pPr>
      <w:r>
        <w:rPr>
          <w:rFonts w:ascii="Consolas" w:cs="Consolas" w:eastAsia="Consolas" w:hAnsi="Consolas"/>
          <w:color w:val="0F2A43"/>
          <w:sz w:val="15"/>
          <w:szCs w:val="15"/>
        </w:rPr>
        <w:t xml:space="preserve">                        ▼</w:t>
      </w:r>
    </w:p>
    <w:p>
      <w:pPr>
        <w:shd w:fill="F2F5F9" w:val="clear"/>
        <w:spacing w:after="0" w:line="240"/>
        <w:ind w:left="200" w:right="200"/>
      </w:pPr>
      <w:r>
        <w:rPr>
          <w:rFonts w:ascii="Consolas" w:cs="Consolas" w:eastAsia="Consolas" w:hAnsi="Consolas"/>
          <w:color w:val="0F2A43"/>
          <w:sz w:val="15"/>
          <w:szCs w:val="15"/>
        </w:rPr>
        <w:t xml:space="preserve">            ┌───────────────────────────┐</w:t>
      </w:r>
    </w:p>
    <w:p>
      <w:pPr>
        <w:shd w:fill="F2F5F9" w:val="clear"/>
        <w:spacing w:after="0" w:line="240"/>
        <w:ind w:left="200" w:right="200"/>
      </w:pPr>
      <w:r>
        <w:rPr>
          <w:rFonts w:ascii="Consolas" w:cs="Consolas" w:eastAsia="Consolas" w:hAnsi="Consolas"/>
          <w:color w:val="0F2A43"/>
          <w:sz w:val="15"/>
          <w:szCs w:val="15"/>
        </w:rPr>
        <w:t xml:space="preserve">            │  MIDDLEWARE               │</w:t>
      </w:r>
    </w:p>
    <w:p>
      <w:pPr>
        <w:shd w:fill="F2F5F9" w:val="clear"/>
        <w:spacing w:after="0" w:line="240"/>
        <w:ind w:left="200" w:right="200"/>
      </w:pPr>
      <w:r>
        <w:rPr>
          <w:rFonts w:ascii="Consolas" w:cs="Consolas" w:eastAsia="Consolas" w:hAnsi="Consolas"/>
          <w:color w:val="0F2A43"/>
          <w:sz w:val="15"/>
          <w:szCs w:val="15"/>
        </w:rPr>
        <w:t xml:space="preserve">            │  Node.js + Express        │</w:t>
      </w:r>
    </w:p>
    <w:p>
      <w:pPr>
        <w:shd w:fill="F2F5F9" w:val="clear"/>
        <w:spacing w:after="0" w:line="240"/>
        <w:ind w:left="200" w:right="200"/>
      </w:pPr>
      <w:r>
        <w:rPr>
          <w:rFonts w:ascii="Consolas" w:cs="Consolas" w:eastAsia="Consolas" w:hAnsi="Consolas"/>
          <w:color w:val="0F2A43"/>
          <w:sz w:val="15"/>
          <w:szCs w:val="15"/>
        </w:rPr>
        <w:t xml:space="preserve">            │  · authentication gate    │</w:t>
      </w:r>
    </w:p>
    <w:p>
      <w:pPr>
        <w:shd w:fill="F2F5F9" w:val="clear"/>
        <w:spacing w:after="0" w:line="240"/>
        <w:ind w:left="200" w:right="200"/>
      </w:pPr>
      <w:r>
        <w:rPr>
          <w:rFonts w:ascii="Consolas" w:cs="Consolas" w:eastAsia="Consolas" w:hAnsi="Consolas"/>
          <w:color w:val="0F2A43"/>
          <w:sz w:val="15"/>
          <w:szCs w:val="15"/>
        </w:rPr>
        <w:t xml:space="preserve">            │  · role authorisation     │</w:t>
      </w:r>
    </w:p>
    <w:p>
      <w:pPr>
        <w:shd w:fill="F2F5F9" w:val="clear"/>
        <w:spacing w:after="0" w:line="240"/>
        <w:ind w:left="200" w:right="200"/>
      </w:pPr>
      <w:r>
        <w:rPr>
          <w:rFonts w:ascii="Consolas" w:cs="Consolas" w:eastAsia="Consolas" w:hAnsi="Consolas"/>
          <w:color w:val="0F2A43"/>
          <w:sz w:val="15"/>
          <w:szCs w:val="15"/>
        </w:rPr>
        <w:t xml:space="preserve">            │  · all SRS2 business rules│</w:t>
      </w:r>
    </w:p>
    <w:p>
      <w:pPr>
        <w:shd w:fill="F2F5F9" w:val="clear"/>
        <w:spacing w:after="0" w:line="240"/>
        <w:ind w:left="200" w:right="200"/>
      </w:pPr>
      <w:r>
        <w:rPr>
          <w:rFonts w:ascii="Consolas" w:cs="Consolas" w:eastAsia="Consolas" w:hAnsi="Consolas"/>
          <w:color w:val="0F2A43"/>
          <w:sz w:val="15"/>
          <w:szCs w:val="15"/>
        </w:rPr>
        <w:t xml:space="preserve">            │  · stock and allocation   │</w:t>
      </w:r>
    </w:p>
    <w:p>
      <w:pPr>
        <w:shd w:fill="F2F5F9" w:val="clear"/>
        <w:spacing w:after="0" w:line="240"/>
        <w:ind w:left="200" w:right="200"/>
      </w:pPr>
      <w:r>
        <w:rPr>
          <w:rFonts w:ascii="Consolas" w:cs="Consolas" w:eastAsia="Consolas" w:hAnsi="Consolas"/>
          <w:color w:val="0F2A43"/>
          <w:sz w:val="15"/>
          <w:szCs w:val="15"/>
        </w:rPr>
        <w:t xml:space="preserve">            │  · document numbering     │</w:t>
      </w:r>
    </w:p>
    <w:p>
      <w:pPr>
        <w:shd w:fill="F2F5F9" w:val="clear"/>
        <w:spacing w:after="0" w:line="240"/>
        <w:ind w:left="200" w:right="200"/>
      </w:pPr>
      <w:r>
        <w:rPr>
          <w:rFonts w:ascii="Consolas" w:cs="Consolas" w:eastAsia="Consolas" w:hAnsi="Consolas"/>
          <w:color w:val="0F2A43"/>
          <w:sz w:val="15"/>
          <w:szCs w:val="15"/>
        </w:rPr>
        <w:t xml:space="preserve">            └───┬───────────────────┬───┘</w:t>
      </w:r>
    </w:p>
    <w:p>
      <w:pPr>
        <w:shd w:fill="F2F5F9" w:val="clear"/>
        <w:spacing w:after="0" w:line="240"/>
        <w:ind w:left="200" w:right="200"/>
      </w:pPr>
      <w:r>
        <w:rPr>
          <w:rFonts w:ascii="Consolas" w:cs="Consolas" w:eastAsia="Consolas" w:hAnsi="Consolas"/>
          <w:color w:val="0F2A43"/>
          <w:sz w:val="15"/>
          <w:szCs w:val="15"/>
        </w:rPr>
        <w:t xml:space="preserve">                │                   │</w:t>
      </w:r>
    </w:p>
    <w:p>
      <w:pPr>
        <w:shd w:fill="F2F5F9" w:val="clear"/>
        <w:spacing w:after="0" w:line="240"/>
        <w:ind w:left="200" w:right="200"/>
      </w:pPr>
      <w:r>
        <w:rPr>
          <w:rFonts w:ascii="Consolas" w:cs="Consolas" w:eastAsia="Consolas" w:hAnsi="Consolas"/>
          <w:color w:val="0F2A43"/>
          <w:sz w:val="15"/>
          <w:szCs w:val="15"/>
        </w:rPr>
        <w:t xml:space="preserve">   service-role │                   │ REST + API key</w:t>
      </w:r>
    </w:p>
    <w:p>
      <w:pPr>
        <w:shd w:fill="F2F5F9" w:val="clear"/>
        <w:spacing w:after="0" w:line="240"/>
        <w:ind w:left="200" w:right="200"/>
      </w:pPr>
      <w:r>
        <w:rPr>
          <w:rFonts w:ascii="Consolas" w:cs="Consolas" w:eastAsia="Consolas" w:hAnsi="Consolas"/>
          <w:color w:val="0F2A43"/>
          <w:sz w:val="15"/>
          <w:szCs w:val="15"/>
        </w:rPr>
        <w:t xml:space="preserve">                ▼                   ▼</w:t>
      </w:r>
    </w:p>
    <w:p>
      <w:pPr>
        <w:shd w:fill="F2F5F9" w:val="clear"/>
        <w:spacing w:after="0" w:line="240"/>
        <w:ind w:left="200" w:right="200"/>
      </w:pPr>
      <w:r>
        <w:rPr>
          <w:rFonts w:ascii="Consolas" w:cs="Consolas" w:eastAsia="Consolas" w:hAnsi="Consolas"/>
          <w:color w:val="0F2A43"/>
          <w:sz w:val="15"/>
          <w:szCs w:val="15"/>
        </w:rPr>
        <w:t xml:space="preserve">     ┌────────────────────┐   ┌──────────────────┐</w:t>
      </w:r>
    </w:p>
    <w:p>
      <w:pPr>
        <w:shd w:fill="F2F5F9" w:val="clear"/>
        <w:spacing w:after="0" w:line="240"/>
        <w:ind w:left="200" w:right="200"/>
      </w:pPr>
      <w:r>
        <w:rPr>
          <w:rFonts w:ascii="Consolas" w:cs="Consolas" w:eastAsia="Consolas" w:hAnsi="Consolas"/>
          <w:color w:val="0F2A43"/>
          <w:sz w:val="15"/>
          <w:szCs w:val="15"/>
        </w:rPr>
        <w:t xml:space="preserve">     │  SUPABASE          │   │  ERP             │</w:t>
      </w:r>
    </w:p>
    <w:p>
      <w:pPr>
        <w:shd w:fill="F2F5F9" w:val="clear"/>
        <w:spacing w:after="0" w:line="240"/>
        <w:ind w:left="200" w:right="200"/>
      </w:pPr>
      <w:r>
        <w:rPr>
          <w:rFonts w:ascii="Consolas" w:cs="Consolas" w:eastAsia="Consolas" w:hAnsi="Consolas"/>
          <w:color w:val="0F2A43"/>
          <w:sz w:val="15"/>
          <w:szCs w:val="15"/>
        </w:rPr>
        <w:t xml:space="preserve">     │  PostgreSQL        │   │  ERPNext (live)  │</w:t>
      </w:r>
    </w:p>
    <w:p>
      <w:pPr>
        <w:shd w:fill="F2F5F9" w:val="clear"/>
        <w:spacing w:after="0" w:line="240"/>
        <w:ind w:left="200" w:right="200"/>
      </w:pPr>
      <w:r>
        <w:rPr>
          <w:rFonts w:ascii="Consolas" w:cs="Consolas" w:eastAsia="Consolas" w:hAnsi="Consolas"/>
          <w:color w:val="0F2A43"/>
          <w:sz w:val="15"/>
          <w:szCs w:val="15"/>
        </w:rPr>
        <w:t xml:space="preserve">     │  Supabase Auth     │   │  Focus 9 (stub)  │</w:t>
      </w:r>
    </w:p>
    <w:p>
      <w:pPr>
        <w:shd w:fill="F2F5F9" w:val="clear"/>
        <w:spacing w:after="160" w:line="240"/>
        <w:ind w:left="200" w:right="200"/>
      </w:pPr>
      <w:r>
        <w:rPr>
          <w:rFonts w:ascii="Consolas" w:cs="Consolas" w:eastAsia="Consolas" w:hAnsi="Consolas"/>
          <w:color w:val="0F2A43"/>
          <w:sz w:val="15"/>
          <w:szCs w:val="15"/>
        </w:rPr>
        <w:t xml:space="preserve">     └────────────────────┘   └──────────────────┘</w:t>
      </w:r>
    </w:p>
    <w:p>
      <w:pPr>
        <w:pStyle w:val="Heading2"/>
        <w:spacing w:after="120" w:before="260"/>
      </w:pPr>
      <w:r>
        <w:t xml:space="preserve">2.2 Design principles</w:t>
      </w:r>
    </w:p>
    <w:p>
      <w:pPr>
        <w:pStyle w:val="ListParagraph"/>
        <w:numPr>
          <w:ilvl w:val="0"/>
          <w:numId w:val="2"/>
        </w:numPr>
        <w:spacing w:after="80" w:line="276"/>
      </w:pPr>
      <w:r>
        <w:rPr>
          <w:rFonts w:ascii="Calibri" w:cs="Calibri" w:eastAsia="Calibri" w:hAnsi="Calibri"/>
          <w:b/>
          <w:bCs/>
          <w:color w:val="222222"/>
          <w:sz w:val="21"/>
          <w:szCs w:val="21"/>
        </w:rPr>
        <w:t xml:space="preserve">The middleware is the only authority.</w:t>
      </w:r>
      <w:r>
        <w:rPr>
          <w:rFonts w:ascii="Calibri" w:cs="Calibri" w:eastAsia="Calibri" w:hAnsi="Calibri"/>
          <w:color w:val="222222"/>
          <w:sz w:val="21"/>
          <w:szCs w:val="21"/>
        </w:rPr>
        <w:t xml:space="preserve"> Role checks, allocation arithmetic, stock reservation and every SRS2 rule are enforced server-side. The clients render state; they never decide it.</w:t>
      </w:r>
    </w:p>
    <w:p>
      <w:pPr>
        <w:pStyle w:val="ListParagraph"/>
        <w:numPr>
          <w:ilvl w:val="0"/>
          <w:numId w:val="2"/>
        </w:numPr>
        <w:spacing w:after="80" w:line="276"/>
      </w:pPr>
      <w:r>
        <w:rPr>
          <w:rFonts w:ascii="Calibri" w:cs="Calibri" w:eastAsia="Calibri" w:hAnsi="Calibri"/>
          <w:b/>
          <w:bCs/>
          <w:color w:val="222222"/>
          <w:sz w:val="21"/>
          <w:szCs w:val="21"/>
        </w:rPr>
        <w:t xml:space="preserve">The clients are interchangeable.</w:t>
      </w:r>
      <w:r>
        <w:rPr>
          <w:rFonts w:ascii="Calibri" w:cs="Calibri" w:eastAsia="Calibri" w:hAnsi="Calibri"/>
          <w:color w:val="222222"/>
          <w:sz w:val="21"/>
          <w:szCs w:val="21"/>
        </w:rPr>
        <w:t xml:space="preserve"> The web portal and the mobile app consume the same API. An order placed on a phone is visible to the storekeeper immediately because there is one database, not a mobile copy.</w:t>
      </w:r>
    </w:p>
    <w:p>
      <w:pPr>
        <w:pStyle w:val="ListParagraph"/>
        <w:numPr>
          <w:ilvl w:val="0"/>
          <w:numId w:val="2"/>
        </w:numPr>
        <w:spacing w:after="80" w:line="276"/>
      </w:pPr>
      <w:r>
        <w:rPr>
          <w:rFonts w:ascii="Calibri" w:cs="Calibri" w:eastAsia="Calibri" w:hAnsi="Calibri"/>
          <w:b/>
          <w:bCs/>
          <w:color w:val="222222"/>
          <w:sz w:val="21"/>
          <w:szCs w:val="21"/>
        </w:rPr>
        <w:t xml:space="preserve">The database is never reached directly by a client.</w:t>
      </w:r>
      <w:r>
        <w:rPr>
          <w:rFonts w:ascii="Calibri" w:cs="Calibri" w:eastAsia="Calibri" w:hAnsi="Calibri"/>
          <w:color w:val="222222"/>
          <w:sz w:val="21"/>
          <w:szCs w:val="21"/>
        </w:rPr>
        <w:t xml:space="preserve"> The middleware holds the Supabase service-role key. Row Level Security is enabled on all ten tables with no policies defined, so any direct connection with an anon or authenticated key is denied by default.</w:t>
      </w:r>
    </w:p>
    <w:p>
      <w:pPr>
        <w:pStyle w:val="ListParagraph"/>
        <w:numPr>
          <w:ilvl w:val="0"/>
          <w:numId w:val="2"/>
        </w:numPr>
        <w:spacing w:after="80" w:line="276"/>
      </w:pPr>
      <w:r>
        <w:rPr>
          <w:rFonts w:ascii="Calibri" w:cs="Calibri" w:eastAsia="Calibri" w:hAnsi="Calibri"/>
          <w:b/>
          <w:bCs/>
          <w:color w:val="222222"/>
          <w:sz w:val="21"/>
          <w:szCs w:val="21"/>
        </w:rPr>
        <w:t xml:space="preserve">The ERP is downstream, not in the critical path.</w:t>
      </w:r>
      <w:r>
        <w:rPr>
          <w:rFonts w:ascii="Calibri" w:cs="Calibri" w:eastAsia="Calibri" w:hAnsi="Calibri"/>
          <w:color w:val="222222"/>
          <w:sz w:val="21"/>
          <w:szCs w:val="21"/>
        </w:rPr>
        <w:t xml:space="preserve"> An ERP outage does not stop an order; the call is retried once and then written to the event log for re-sync.</w:t>
      </w:r>
    </w:p>
    <w:p>
      <w:pPr>
        <w:pStyle w:val="ListParagraph"/>
        <w:numPr>
          <w:ilvl w:val="0"/>
          <w:numId w:val="2"/>
        </w:numPr>
        <w:spacing w:after="80" w:line="276"/>
      </w:pPr>
      <w:r>
        <w:rPr>
          <w:rFonts w:ascii="Calibri" w:cs="Calibri" w:eastAsia="Calibri" w:hAnsi="Calibri"/>
          <w:b/>
          <w:bCs/>
          <w:color w:val="222222"/>
          <w:sz w:val="21"/>
          <w:szCs w:val="21"/>
        </w:rPr>
        <w:t xml:space="preserve">Storage is swappable.</w:t>
      </w:r>
      <w:r>
        <w:rPr>
          <w:rFonts w:ascii="Calibri" w:cs="Calibri" w:eastAsia="Calibri" w:hAnsi="Calibri"/>
          <w:color w:val="222222"/>
          <w:sz w:val="21"/>
          <w:szCs w:val="21"/>
        </w:rPr>
        <w:t xml:space="preserve"> A storage adapter interface allows the middleware to run against Supabase (production) or a local JSON file (demonstration). The mode is auto-detected from the environment.</w:t>
      </w:r>
    </w:p>
    <w:p>
      <w:pPr>
        <w:pStyle w:val="Heading2"/>
        <w:spacing w:after="120" w:before="260"/>
      </w:pPr>
      <w:r>
        <w:t xml:space="preserve">2.3 Technology stack</w:t>
      </w:r>
    </w:p>
    <w:tbl>
      <w:tblPr>
        <w:tblW w:type="dxa" w:w="10080"/>
        <w:tblBorders>
          <w:top w:val="single" w:color="D6DEE6" w:sz="2"/>
          <w:left w:val="single" w:color="D6DEE6" w:sz="2"/>
          <w:bottom w:val="single" w:color="D6DEE6" w:sz="2"/>
          <w:right w:val="single" w:color="D6DEE6" w:sz="2"/>
          <w:insideH w:val="single" w:color="D6DEE6" w:sz="2"/>
          <w:insideV w:val="single" w:color="D6DEE6" w:sz="2"/>
        </w:tblBorders>
      </w:tblPr>
      <w:tblGrid>
        <w:gridCol w:w="2160"/>
        <w:gridCol w:w="2736"/>
        <w:gridCol w:w="1872"/>
        <w:gridCol w:w="3312"/>
      </w:tblGrid>
      <w:tr>
        <w:trPr>
          <w:tblHeader/>
        </w:trPr>
        <w:tc>
          <w:tcPr>
            <w:tcW w:type="dxa" w:w="2160"/>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Layer</w:t>
            </w:r>
          </w:p>
        </w:tc>
        <w:tc>
          <w:tcPr>
            <w:tcW w:type="dxa" w:w="2736"/>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Technology</w:t>
            </w:r>
          </w:p>
        </w:tc>
        <w:tc>
          <w:tcPr>
            <w:tcW w:type="dxa" w:w="1872"/>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Version</w:t>
            </w:r>
          </w:p>
        </w:tc>
        <w:tc>
          <w:tcPr>
            <w:tcW w:type="dxa" w:w="3312"/>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Notes</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Middleware runtime</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Node.js</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20 LTS or newer</w:t>
            </w:r>
          </w:p>
        </w:tc>
        <w:tc>
          <w:tcPr>
            <w:tcW w:type="dxa" w:w="331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Express 4.19</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Middleware libraries</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express, cors, jsonwebtoken,</w:t>
            </w:r>
          </w:p>
          <w:p>
            <w:pPr>
              <w:spacing w:after="0" w:line="250"/>
            </w:pPr>
            <w:r>
              <w:rPr>
                <w:rFonts w:ascii="Calibri" w:cs="Calibri" w:eastAsia="Calibri" w:hAnsi="Calibri"/>
                <w:b w:val="false"/>
                <w:bCs w:val="false"/>
                <w:color w:val="222222"/>
                <w:sz w:val="19"/>
                <w:szCs w:val="19"/>
              </w:rPr>
              <w:t xml:space="preserve">dotenv, @supabase/supabase-js</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4.19 / 2.8 / 9.0 /</w:t>
            </w:r>
          </w:p>
          <w:p>
            <w:pPr>
              <w:spacing w:after="0" w:line="250"/>
            </w:pPr>
            <w:r>
              <w:rPr>
                <w:rFonts w:ascii="Calibri" w:cs="Calibri" w:eastAsia="Calibri" w:hAnsi="Calibri"/>
                <w:b w:val="false"/>
                <w:bCs w:val="false"/>
                <w:color w:val="222222"/>
                <w:sz w:val="19"/>
                <w:szCs w:val="19"/>
              </w:rPr>
              <w:t xml:space="preserve">16.4 / 2.45</w:t>
            </w:r>
          </w:p>
        </w:tc>
        <w:tc>
          <w:tcPr>
            <w:tcW w:type="dxa" w:w="331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No ORM; SQL functions used for atomic operations</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Web portal</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React + Vite</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React 18.3, Vite 5.4</w:t>
            </w:r>
          </w:p>
        </w:tc>
        <w:tc>
          <w:tcPr>
            <w:tcW w:type="dxa" w:w="331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react-router-dom 6.26; static build output</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Mobile</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Expo / React Native</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Expo SDK 54,</w:t>
            </w:r>
          </w:p>
          <w:p>
            <w:pPr>
              <w:spacing w:after="0" w:line="250"/>
            </w:pPr>
            <w:r>
              <w:rPr>
                <w:rFonts w:ascii="Calibri" w:cs="Calibri" w:eastAsia="Calibri" w:hAnsi="Calibri"/>
                <w:b w:val="false"/>
                <w:bCs w:val="false"/>
                <w:color w:val="222222"/>
                <w:sz w:val="19"/>
                <w:szCs w:val="19"/>
              </w:rPr>
              <w:t xml:space="preserve">RN 0.81</w:t>
            </w:r>
          </w:p>
        </w:tc>
        <w:tc>
          <w:tcPr>
            <w:tcW w:type="dxa" w:w="331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One codebase for Android and iOS</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Database</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PostgreSQL (Supabase)</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Supabase managed</w:t>
            </w:r>
          </w:p>
        </w:tc>
        <w:tc>
          <w:tcPr>
            <w:tcW w:type="dxa" w:w="331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10 tables, 3 SQL functions, RLS enabled</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Identity</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Supabase Auth</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w:t>
            </w:r>
          </w:p>
        </w:tc>
        <w:tc>
          <w:tcPr>
            <w:tcW w:type="dxa" w:w="331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E-mail and password; middleware verifies tokens</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ERP</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ERPNext REST</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w:t>
            </w:r>
          </w:p>
        </w:tc>
        <w:tc>
          <w:tcPr>
            <w:tcW w:type="dxa" w:w="331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Focus 9 adapter present, awaiting vendor API</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Hosting (current)</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Vercel</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w:t>
            </w:r>
          </w:p>
        </w:tc>
        <w:tc>
          <w:tcPr>
            <w:tcW w:type="dxa" w:w="331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Two projects: web and middleware</w:t>
            </w:r>
          </w:p>
        </w:tc>
      </w:tr>
    </w:tbl>
    <w:p>
      <w:r>
        <w:br w:type="page"/>
      </w:r>
    </w:p>
    <w:p>
      <w:pPr>
        <w:pStyle w:val="Heading1"/>
        <w:spacing w:after="160" w:before="360"/>
      </w:pPr>
      <w:r>
        <w:t xml:space="preserve">3. Components</w:t>
      </w:r>
    </w:p>
    <w:p>
      <w:pPr>
        <w:pStyle w:val="Heading2"/>
        <w:spacing w:after="120" w:before="260"/>
      </w:pPr>
      <w:r>
        <w:t xml:space="preserve">3.1 Middleware</w:t>
      </w:r>
    </w:p>
    <w:p>
      <w:pPr>
        <w:spacing w:after="120" w:line="276"/>
      </w:pPr>
      <w:r>
        <w:rPr>
          <w:rFonts w:ascii="Calibri" w:cs="Calibri" w:eastAsia="Calibri" w:hAnsi="Calibri"/>
          <w:color w:val="222222"/>
          <w:sz w:val="21"/>
          <w:szCs w:val="21"/>
        </w:rPr>
        <w:t xml:space="preserve">The middleware is a single Express application (</w:t>
      </w:r>
      <w:r>
        <w:rPr>
          <w:rFonts w:ascii="Consolas" w:cs="Consolas" w:eastAsia="Consolas" w:hAnsi="Consolas"/>
          <w:color w:val="0F2A43"/>
          <w:sz w:val="18"/>
          <w:szCs w:val="18"/>
        </w:rPr>
        <w:t xml:space="preserve">middleware/server.js</w:t>
      </w:r>
      <w:r>
        <w:rPr>
          <w:rFonts w:ascii="Calibri" w:cs="Calibri" w:eastAsia="Calibri" w:hAnsi="Calibri"/>
          <w:color w:val="222222"/>
          <w:sz w:val="21"/>
          <w:szCs w:val="21"/>
        </w:rPr>
        <w:t xml:space="preserve">) exposing 35 REST endpoints. It is stateless: no session is held in memory, so it can be replicated horizontally without sticky sessions.</w:t>
      </w:r>
    </w:p>
    <w:p>
      <w:pPr>
        <w:pStyle w:val="Heading3"/>
        <w:spacing w:after="100" w:before="200"/>
      </w:pPr>
      <w:r>
        <w:t xml:space="preserve">Responsibilities</w:t>
      </w:r>
    </w:p>
    <w:p>
      <w:pPr>
        <w:pStyle w:val="ListParagraph"/>
        <w:numPr>
          <w:ilvl w:val="0"/>
          <w:numId w:val="2"/>
        </w:numPr>
        <w:spacing w:after="80" w:line="276"/>
      </w:pPr>
      <w:r>
        <w:rPr>
          <w:rFonts w:ascii="Calibri" w:cs="Calibri" w:eastAsia="Calibri" w:hAnsi="Calibri"/>
          <w:sz w:val="21"/>
          <w:szCs w:val="21"/>
        </w:rPr>
        <w:t xml:space="preserve">Authentication gate and role authorisation on every request.</w:t>
      </w:r>
    </w:p>
    <w:p>
      <w:pPr>
        <w:pStyle w:val="ListParagraph"/>
        <w:numPr>
          <w:ilvl w:val="0"/>
          <w:numId w:val="2"/>
        </w:numPr>
        <w:spacing w:after="80" w:line="276"/>
      </w:pPr>
      <w:r>
        <w:rPr>
          <w:rFonts w:ascii="Calibri" w:cs="Calibri" w:eastAsia="Calibri" w:hAnsi="Calibri"/>
          <w:sz w:val="21"/>
          <w:szCs w:val="21"/>
        </w:rPr>
        <w:t xml:space="preserve">Allocation accounting, keyed by price-list line rather than item code so size and colour variants share one allocation.</w:t>
      </w:r>
    </w:p>
    <w:p>
      <w:pPr>
        <w:pStyle w:val="ListParagraph"/>
        <w:numPr>
          <w:ilvl w:val="0"/>
          <w:numId w:val="2"/>
        </w:numPr>
        <w:spacing w:after="80" w:line="276"/>
      </w:pPr>
      <w:r>
        <w:rPr>
          <w:rFonts w:ascii="Calibri" w:cs="Calibri" w:eastAsia="Calibri" w:hAnsi="Calibri"/>
          <w:sz w:val="21"/>
          <w:szCs w:val="21"/>
        </w:rPr>
        <w:t xml:space="preserve">Server-side carts with a ten-minute stock reservation window.</w:t>
      </w:r>
    </w:p>
    <w:p>
      <w:pPr>
        <w:pStyle w:val="ListParagraph"/>
        <w:numPr>
          <w:ilvl w:val="0"/>
          <w:numId w:val="2"/>
        </w:numPr>
        <w:spacing w:after="80" w:line="276"/>
      </w:pPr>
      <w:r>
        <w:rPr>
          <w:rFonts w:ascii="Calibri" w:cs="Calibri" w:eastAsia="Calibri" w:hAnsi="Calibri"/>
          <w:sz w:val="21"/>
          <w:szCs w:val="21"/>
        </w:rPr>
        <w:t xml:space="preserve">Order placement, including the main-store to reservation-store stock transfer.</w:t>
      </w:r>
    </w:p>
    <w:p>
      <w:pPr>
        <w:pStyle w:val="ListParagraph"/>
        <w:numPr>
          <w:ilvl w:val="0"/>
          <w:numId w:val="2"/>
        </w:numPr>
        <w:spacing w:after="80" w:line="276"/>
      </w:pPr>
      <w:r>
        <w:rPr>
          <w:rFonts w:ascii="Calibri" w:cs="Calibri" w:eastAsia="Calibri" w:hAnsi="Calibri"/>
          <w:sz w:val="21"/>
          <w:szCs w:val="21"/>
        </w:rPr>
        <w:t xml:space="preserve">Delivery-date rules, the three-day approval window and the three-day return window.</w:t>
      </w:r>
    </w:p>
    <w:p>
      <w:pPr>
        <w:pStyle w:val="ListParagraph"/>
        <w:numPr>
          <w:ilvl w:val="0"/>
          <w:numId w:val="2"/>
        </w:numPr>
        <w:spacing w:after="80" w:line="276"/>
      </w:pPr>
      <w:r>
        <w:rPr>
          <w:rFonts w:ascii="Calibri" w:cs="Calibri" w:eastAsia="Calibri" w:hAnsi="Calibri"/>
          <w:sz w:val="21"/>
          <w:szCs w:val="21"/>
        </w:rPr>
        <w:t xml:space="preserve">Document numbering through an atomic database sequence.</w:t>
      </w:r>
    </w:p>
    <w:p>
      <w:pPr>
        <w:pStyle w:val="ListParagraph"/>
        <w:numPr>
          <w:ilvl w:val="0"/>
          <w:numId w:val="2"/>
        </w:numPr>
        <w:spacing w:after="80" w:line="276"/>
      </w:pPr>
      <w:r>
        <w:rPr>
          <w:rFonts w:ascii="Calibri" w:cs="Calibri" w:eastAsia="Calibri" w:hAnsi="Calibri"/>
          <w:sz w:val="21"/>
          <w:szCs w:val="21"/>
        </w:rPr>
        <w:t xml:space="preserve">ERP document creation, with retry and failure logging.</w:t>
      </w:r>
    </w:p>
    <w:p>
      <w:pPr>
        <w:pStyle w:val="Heading3"/>
        <w:spacing w:after="100" w:before="200"/>
      </w:pPr>
      <w:r>
        <w:t xml:space="preserve">Key modules</w:t>
      </w:r>
    </w:p>
    <w:tbl>
      <w:tblPr>
        <w:tblW w:type="dxa" w:w="10080"/>
        <w:tblBorders>
          <w:top w:val="single" w:color="D6DEE6" w:sz="2"/>
          <w:left w:val="single" w:color="D6DEE6" w:sz="2"/>
          <w:bottom w:val="single" w:color="D6DEE6" w:sz="2"/>
          <w:right w:val="single" w:color="D6DEE6" w:sz="2"/>
          <w:insideH w:val="single" w:color="D6DEE6" w:sz="2"/>
          <w:insideV w:val="single" w:color="D6DEE6" w:sz="2"/>
        </w:tblBorders>
      </w:tblPr>
      <w:tblGrid>
        <w:gridCol w:w="3024"/>
        <w:gridCol w:w="7056"/>
      </w:tblGrid>
      <w:tr>
        <w:trPr>
          <w:tblHeader/>
        </w:trPr>
        <w:tc>
          <w:tcPr>
            <w:tcW w:type="dxa" w:w="3024"/>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File</w:t>
            </w:r>
          </w:p>
        </w:tc>
        <w:tc>
          <w:tcPr>
            <w:tcW w:type="dxa" w:w="7056"/>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Responsibility</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server.js</w:t>
            </w:r>
          </w:p>
        </w:tc>
        <w:tc>
          <w:tcPr>
            <w:tcW w:type="dxa" w:w="705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Express app, all routes, all business rules</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auth.js</w:t>
            </w:r>
          </w:p>
        </w:tc>
        <w:tc>
          <w:tcPr>
            <w:tcW w:type="dxa" w:w="705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Sign-up, sign-in, token verification, account deletion</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store/index.js</w:t>
            </w:r>
          </w:p>
        </w:tc>
        <w:tc>
          <w:tcPr>
            <w:tcW w:type="dxa" w:w="705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Selects the storage adapter from the environment</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store/supabase.js</w:t>
            </w:r>
          </w:p>
        </w:tc>
        <w:tc>
          <w:tcPr>
            <w:tcW w:type="dxa" w:w="705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PostgreSQL adapter (production)</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store/local.js</w:t>
            </w:r>
          </w:p>
        </w:tc>
        <w:tc>
          <w:tcPr>
            <w:tcW w:type="dxa" w:w="705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JSON-file adapter (demonstration only)</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store/seed-data.js</w:t>
            </w:r>
          </w:p>
        </w:tc>
        <w:tc>
          <w:tcPr>
            <w:tcW w:type="dxa" w:w="705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Master data taken from the EGA Data List workbooks</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store/item-images.js</w:t>
            </w:r>
          </w:p>
        </w:tc>
        <w:tc>
          <w:tcPr>
            <w:tcW w:type="dxa" w:w="705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Product photographs as data URIs, generated by a tool</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erp/index.js</w:t>
            </w:r>
          </w:p>
        </w:tc>
        <w:tc>
          <w:tcPr>
            <w:tcW w:type="dxa" w:w="705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Provider selection and the retry wrapper</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erp/erpnext.js</w:t>
            </w:r>
          </w:p>
        </w:tc>
        <w:tc>
          <w:tcPr>
            <w:tcW w:type="dxa" w:w="705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Live ERPNext adapter</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erp/focus9.js</w:t>
            </w:r>
          </w:p>
        </w:tc>
        <w:tc>
          <w:tcPr>
            <w:tcW w:type="dxa" w:w="705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Focus 9 adapter — stub with marked integration points</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api/index.js</w:t>
            </w:r>
          </w:p>
        </w:tc>
        <w:tc>
          <w:tcPr>
            <w:tcW w:type="dxa" w:w="705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Serverless entry point that wraps the Express app</w:t>
            </w:r>
          </w:p>
        </w:tc>
      </w:tr>
    </w:tbl>
    <w:p>
      <w:pPr>
        <w:pStyle w:val="Heading2"/>
        <w:spacing w:after="120" w:before="260"/>
      </w:pPr>
      <w:r>
        <w:t xml:space="preserve">3.2 Web portal</w:t>
      </w:r>
    </w:p>
    <w:p>
      <w:pPr>
        <w:spacing w:after="120" w:line="276"/>
      </w:pPr>
      <w:r>
        <w:rPr>
          <w:rFonts w:ascii="Calibri" w:cs="Calibri" w:eastAsia="Calibri" w:hAnsi="Calibri"/>
          <w:color w:val="222222"/>
          <w:sz w:val="21"/>
          <w:szCs w:val="21"/>
        </w:rPr>
        <w:t xml:space="preserve">A React single-page application built by Vite into a static bundle (</w:t>
      </w:r>
      <w:r>
        <w:rPr>
          <w:rFonts w:ascii="Consolas" w:cs="Consolas" w:eastAsia="Consolas" w:hAnsi="Consolas"/>
          <w:color w:val="0F2A43"/>
          <w:sz w:val="18"/>
          <w:szCs w:val="18"/>
        </w:rPr>
        <w:t xml:space="preserve">dist/</w:t>
      </w:r>
      <w:r>
        <w:rPr>
          <w:rFonts w:ascii="Calibri" w:cs="Calibri" w:eastAsia="Calibri" w:hAnsi="Calibri"/>
          <w:color w:val="222222"/>
          <w:sz w:val="21"/>
          <w:szCs w:val="21"/>
        </w:rPr>
        <w:t xml:space="preserve">). It has no server side of its own: it is deployed as static files and reaches the middleware over HTTPS. The API base address is baked in at build time from </w:t>
      </w:r>
      <w:r>
        <w:rPr>
          <w:rFonts w:ascii="Consolas" w:cs="Consolas" w:eastAsia="Consolas" w:hAnsi="Consolas"/>
          <w:color w:val="0F2A43"/>
          <w:sz w:val="18"/>
          <w:szCs w:val="18"/>
        </w:rPr>
        <w:t xml:space="preserve">VITE_API_URL</w:t>
      </w:r>
      <w:r>
        <w:rPr>
          <w:rFonts w:ascii="Calibri" w:cs="Calibri" w:eastAsia="Calibri" w:hAnsi="Calibri"/>
          <w:color w:val="222222"/>
          <w:sz w:val="21"/>
          <w:szCs w:val="21"/>
        </w:rPr>
        <w:t xml:space="preserve">.</w:t>
      </w:r>
    </w:p>
    <w:p>
      <w:pPr>
        <w:spacing w:after="120" w:line="276"/>
      </w:pPr>
      <w:r>
        <w:rPr>
          <w:rFonts w:ascii="Calibri" w:cs="Calibri" w:eastAsia="Calibri" w:hAnsi="Calibri"/>
          <w:color w:val="222222"/>
          <w:sz w:val="21"/>
          <w:szCs w:val="21"/>
        </w:rPr>
        <w:t xml:space="preserve">Routing is client-side. Because a single-page application serves every path from </w:t>
      </w:r>
      <w:r>
        <w:rPr>
          <w:rFonts w:ascii="Consolas" w:cs="Consolas" w:eastAsia="Consolas" w:hAnsi="Consolas"/>
          <w:color w:val="0F2A43"/>
          <w:sz w:val="18"/>
          <w:szCs w:val="18"/>
        </w:rPr>
        <w:t xml:space="preserve">index.html</w:t>
      </w:r>
      <w:r>
        <w:rPr>
          <w:rFonts w:ascii="Calibri" w:cs="Calibri" w:eastAsia="Calibri" w:hAnsi="Calibri"/>
          <w:color w:val="222222"/>
          <w:sz w:val="21"/>
          <w:szCs w:val="21"/>
        </w:rPr>
        <w:t xml:space="preserve">, the host must be configured to rewrite unknown paths to the index document, or a page refresh on a deep link such as </w:t>
      </w:r>
      <w:r>
        <w:rPr>
          <w:rFonts w:ascii="Consolas" w:cs="Consolas" w:eastAsia="Consolas" w:hAnsi="Consolas"/>
          <w:color w:val="0F2A43"/>
          <w:sz w:val="18"/>
          <w:szCs w:val="18"/>
        </w:rPr>
        <w:t xml:space="preserve">/orders</w:t>
      </w:r>
      <w:r>
        <w:rPr>
          <w:rFonts w:ascii="Calibri" w:cs="Calibri" w:eastAsia="Calibri" w:hAnsi="Calibri"/>
          <w:color w:val="222222"/>
          <w:sz w:val="21"/>
          <w:szCs w:val="21"/>
        </w:rPr>
        <w:t xml:space="preserve"> will return 404.</w:t>
      </w:r>
    </w:p>
    <w:p>
      <w:pPr>
        <w:pStyle w:val="Heading2"/>
        <w:spacing w:after="120" w:before="260"/>
      </w:pPr>
      <w:r>
        <w:t xml:space="preserve">3.3 Mobile application</w:t>
      </w:r>
    </w:p>
    <w:p>
      <w:pPr>
        <w:spacing w:after="120" w:line="276"/>
      </w:pPr>
      <w:r>
        <w:rPr>
          <w:rFonts w:ascii="Calibri" w:cs="Calibri" w:eastAsia="Calibri" w:hAnsi="Calibri"/>
          <w:color w:val="222222"/>
          <w:sz w:val="21"/>
          <w:szCs w:val="21"/>
        </w:rPr>
        <w:t xml:space="preserve">An Expo / React Native application sharing the same API. It is distributed through the Google Play Store and, if required, the Apple App Store. Builds are produced with EAS Build.</w:t>
      </w:r>
    </w:p>
    <w:p>
      <w:pPr>
        <w:pBdr>
          <w:left w:val="single" w:color="C0392B" w:sz="18"/>
        </w:pBdr>
        <w:shd w:fill="FDECE1" w:val="clear"/>
        <w:spacing w:after="0" w:before="140" w:line="260"/>
        <w:ind w:left="160" w:right="160"/>
      </w:pPr>
      <w:r>
        <w:rPr>
          <w:rFonts w:ascii="Calibri" w:cs="Calibri" w:eastAsia="Calibri" w:hAnsi="Calibri"/>
          <w:b/>
          <w:bCs/>
          <w:color w:val="0F2A43"/>
          <w:sz w:val="21"/>
          <w:szCs w:val="21"/>
        </w:rPr>
        <w:t xml:space="preserve">The API address is currently hard-coded to a private address</w:t>
      </w:r>
    </w:p>
    <w:p>
      <w:pPr>
        <w:pBdr>
          <w:left w:val="single" w:color="C0392B" w:sz="18"/>
        </w:pBdr>
        <w:shd w:fill="FDECE1" w:val="clear"/>
        <w:spacing w:after="200" w:before="0" w:line="260"/>
        <w:ind w:left="160" w:right="160"/>
      </w:pPr>
      <w:r>
        <w:rPr>
          <w:rFonts w:ascii="Calibri" w:cs="Calibri" w:eastAsia="Calibri" w:hAnsi="Calibri"/>
          <w:color w:val="333333"/>
          <w:sz w:val="20"/>
          <w:szCs w:val="20"/>
        </w:rPr>
        <w:t xml:space="preserve">mobile/src/config.js contains a LAN address over plain HTTP. It must be changed to the public HTTPS middleware address before any store build. Android blocks cleartext HTTP by default, so a build shipped as-is will fail to reach the server on any device.</w:t>
      </w:r>
    </w:p>
    <w:p>
      <w:pPr>
        <w:pStyle w:val="Heading2"/>
        <w:spacing w:after="120" w:before="260"/>
      </w:pPr>
      <w:r>
        <w:t xml:space="preserve">3.4 Database</w:t>
      </w:r>
    </w:p>
    <w:p>
      <w:pPr>
        <w:spacing w:after="120" w:line="276"/>
      </w:pPr>
      <w:r>
        <w:rPr>
          <w:rFonts w:ascii="Calibri" w:cs="Calibri" w:eastAsia="Calibri" w:hAnsi="Calibri"/>
          <w:color w:val="222222"/>
          <w:sz w:val="21"/>
          <w:szCs w:val="21"/>
        </w:rPr>
        <w:t xml:space="preserve">Supabase managed PostgreSQL. The schema is created and maintained by one idempotent script.</w:t>
      </w:r>
    </w:p>
    <w:tbl>
      <w:tblPr>
        <w:tblW w:type="dxa" w:w="10080"/>
        <w:tblBorders>
          <w:top w:val="single" w:color="D6DEE6" w:sz="2"/>
          <w:left w:val="single" w:color="D6DEE6" w:sz="2"/>
          <w:bottom w:val="single" w:color="D6DEE6" w:sz="2"/>
          <w:right w:val="single" w:color="D6DEE6" w:sz="2"/>
          <w:insideH w:val="single" w:color="D6DEE6" w:sz="2"/>
          <w:insideV w:val="single" w:color="D6DEE6" w:sz="2"/>
        </w:tblBorders>
      </w:tblPr>
      <w:tblGrid>
        <w:gridCol w:w="2304"/>
        <w:gridCol w:w="7776"/>
      </w:tblGrid>
      <w:tr>
        <w:trPr>
          <w:tblHeader/>
        </w:trPr>
        <w:tc>
          <w:tcPr>
            <w:tcW w:type="dxa" w:w="2304"/>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Table</w:t>
            </w:r>
          </w:p>
        </w:tc>
        <w:tc>
          <w:tcPr>
            <w:tcW w:type="dxa" w:w="7776"/>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Purpose</w:t>
            </w:r>
          </w:p>
        </w:tc>
      </w:tr>
      <w:tr>
        <w:tc>
          <w:tcPr>
            <w:tcW w:type="dxa" w:w="230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masters</w:t>
            </w:r>
          </w:p>
        </w:tc>
        <w:tc>
          <w:tcPr>
            <w:tcW w:type="dxa" w:w="777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All master data as (kind, id, data jsonb) — customers, employees, contracts, departments, locations, divisions, stores, uoms, items, price lists</w:t>
            </w:r>
          </w:p>
        </w:tc>
      </w:tr>
      <w:tr>
        <w:tc>
          <w:tcPr>
            <w:tcW w:type="dxa" w:w="230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profiles</w:t>
            </w:r>
          </w:p>
        </w:tc>
        <w:tc>
          <w:tcPr>
            <w:tcW w:type="dxa" w:w="777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Application user profiles, keyed to the Supabase Auth user id</w:t>
            </w:r>
          </w:p>
        </w:tc>
      </w:tr>
      <w:tr>
        <w:tc>
          <w:tcPr>
            <w:tcW w:type="dxa" w:w="230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inventory</w:t>
            </w:r>
          </w:p>
        </w:tc>
        <w:tc>
          <w:tcPr>
            <w:tcW w:type="dxa" w:w="777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Quantity per store per item</w:t>
            </w:r>
          </w:p>
        </w:tc>
      </w:tr>
      <w:tr>
        <w:tc>
          <w:tcPr>
            <w:tcW w:type="dxa" w:w="230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carts</w:t>
            </w:r>
          </w:p>
        </w:tc>
        <w:tc>
          <w:tcPr>
            <w:tcW w:type="dxa" w:w="777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Server-side shopping carts holding the ten-minute reservation</w:t>
            </w:r>
          </w:p>
        </w:tc>
      </w:tr>
      <w:tr>
        <w:tc>
          <w:tcPr>
            <w:tcW w:type="dxa" w:w="230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allocations</w:t>
            </w:r>
          </w:p>
        </w:tc>
        <w:tc>
          <w:tcPr>
            <w:tcW w:type="dxa" w:w="777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Consumed and extra quantity per user per price-list line</w:t>
            </w:r>
          </w:p>
        </w:tc>
      </w:tr>
      <w:tr>
        <w:tc>
          <w:tcPr>
            <w:tcW w:type="dxa" w:w="230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orders</w:t>
            </w:r>
          </w:p>
        </w:tc>
        <w:tc>
          <w:tcPr>
            <w:tcW w:type="dxa" w:w="777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Orders as a jsonb document keyed by reference</w:t>
            </w:r>
          </w:p>
        </w:tc>
      </w:tr>
      <w:tr>
        <w:tc>
          <w:tcPr>
            <w:tcW w:type="dxa" w:w="230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notifications</w:t>
            </w:r>
          </w:p>
        </w:tc>
        <w:tc>
          <w:tcPr>
            <w:tcW w:type="dxa" w:w="777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Per-user notification feed</w:t>
            </w:r>
          </w:p>
        </w:tc>
      </w:tr>
      <w:tr>
        <w:tc>
          <w:tcPr>
            <w:tcW w:type="dxa" w:w="230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erp_docs</w:t>
            </w:r>
          </w:p>
        </w:tc>
        <w:tc>
          <w:tcPr>
            <w:tcW w:type="dxa" w:w="777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Sales orders, delivery notes, transfers, returns, credit notes, invoices</w:t>
            </w:r>
          </w:p>
        </w:tc>
      </w:tr>
      <w:tr>
        <w:tc>
          <w:tcPr>
            <w:tcW w:type="dxa" w:w="230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erp_log</w:t>
            </w:r>
          </w:p>
        </w:tc>
        <w:tc>
          <w:tcPr>
            <w:tcW w:type="dxa" w:w="777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Event log, including ERP calls that need re-sync</w:t>
            </w:r>
          </w:p>
        </w:tc>
      </w:tr>
      <w:tr>
        <w:tc>
          <w:tcPr>
            <w:tcW w:type="dxa" w:w="230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seqs</w:t>
            </w:r>
          </w:p>
        </w:tc>
        <w:tc>
          <w:tcPr>
            <w:tcW w:type="dxa" w:w="777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Atomic document-number sequences</w:t>
            </w:r>
          </w:p>
        </w:tc>
      </w:tr>
    </w:tbl>
    <w:p>
      <w:pPr>
        <w:spacing w:after="120" w:line="276"/>
      </w:pPr>
      <w:r>
        <w:rPr>
          <w:rFonts w:ascii="Calibri" w:cs="Calibri" w:eastAsia="Calibri" w:hAnsi="Calibri"/>
          <w:color w:val="222222"/>
          <w:sz w:val="21"/>
          <w:szCs w:val="21"/>
        </w:rPr>
        <w:t xml:space="preserve">Three SQL functions provide atomicity that cannot be achieved safely from application code:</w:t>
      </w:r>
    </w:p>
    <w:tbl>
      <w:tblPr>
        <w:tblW w:type="dxa" w:w="10080"/>
        <w:tblBorders>
          <w:top w:val="single" w:color="D6DEE6" w:sz="2"/>
          <w:left w:val="single" w:color="D6DEE6" w:sz="2"/>
          <w:bottom w:val="single" w:color="D6DEE6" w:sz="2"/>
          <w:right w:val="single" w:color="D6DEE6" w:sz="2"/>
          <w:insideH w:val="single" w:color="D6DEE6" w:sz="2"/>
          <w:insideV w:val="single" w:color="D6DEE6" w:sz="2"/>
        </w:tblBorders>
      </w:tblPr>
      <w:tblGrid>
        <w:gridCol w:w="3744"/>
        <w:gridCol w:w="6336"/>
      </w:tblGrid>
      <w:tr>
        <w:trPr>
          <w:tblHeader/>
        </w:trPr>
        <w:tc>
          <w:tcPr>
            <w:tcW w:type="dxa" w:w="3744"/>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Function</w:t>
            </w:r>
          </w:p>
        </w:tc>
        <w:tc>
          <w:tcPr>
            <w:tcW w:type="dxa" w:w="6336"/>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Purpose</w:t>
            </w:r>
          </w:p>
        </w:tc>
      </w:tr>
      <w:tr>
        <w:tc>
          <w:tcPr>
            <w:tcW w:type="dxa" w:w="374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next_seq(key)</w:t>
            </w:r>
          </w:p>
        </w:tc>
        <w:tc>
          <w:tcPr>
            <w:tcW w:type="dxa" w:w="63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Allocates the next document number without a race</w:t>
            </w:r>
          </w:p>
        </w:tc>
      </w:tr>
      <w:tr>
        <w:tc>
          <w:tcPr>
            <w:tcW w:type="dxa" w:w="374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bump_allocation(user, code, consumed, extra)</w:t>
            </w:r>
          </w:p>
        </w:tc>
        <w:tc>
          <w:tcPr>
            <w:tcW w:type="dxa" w:w="63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Adjusts allocation usage atomically</w:t>
            </w:r>
          </w:p>
        </w:tc>
      </w:tr>
      <w:tr>
        <w:tc>
          <w:tcPr>
            <w:tcW w:type="dxa" w:w="374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bump_stock(store, item, delta)</w:t>
            </w:r>
          </w:p>
        </w:tc>
        <w:tc>
          <w:tcPr>
            <w:tcW w:type="dxa" w:w="63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Adjusts stock atomically and raises if it would go negative</w:t>
            </w:r>
          </w:p>
        </w:tc>
      </w:tr>
    </w:tbl>
    <w:p>
      <w:pPr>
        <w:pStyle w:val="Heading2"/>
        <w:spacing w:after="120" w:before="260"/>
      </w:pPr>
      <w:r>
        <w:t xml:space="preserve">3.5 Authentication and authorisation</w:t>
      </w:r>
    </w:p>
    <w:p>
      <w:pPr>
        <w:pStyle w:val="ListParagraph"/>
        <w:numPr>
          <w:ilvl w:val="0"/>
          <w:numId w:val="3"/>
        </w:numPr>
        <w:spacing w:after="80" w:line="276"/>
      </w:pPr>
      <w:r>
        <w:rPr>
          <w:rFonts w:ascii="Calibri" w:cs="Calibri" w:eastAsia="Calibri" w:hAnsi="Calibri"/>
          <w:sz w:val="21"/>
          <w:szCs w:val="21"/>
        </w:rPr>
        <w:t xml:space="preserve">A user signs in through the middleware, which calls Supabase Auth and returns an access token and a refresh token.</w:t>
      </w:r>
    </w:p>
    <w:p>
      <w:pPr>
        <w:pStyle w:val="ListParagraph"/>
        <w:numPr>
          <w:ilvl w:val="0"/>
          <w:numId w:val="3"/>
        </w:numPr>
        <w:spacing w:after="80" w:line="276"/>
      </w:pPr>
      <w:r>
        <w:rPr>
          <w:rFonts w:ascii="Calibri" w:cs="Calibri" w:eastAsia="Calibri" w:hAnsi="Calibri"/>
          <w:sz w:val="21"/>
          <w:szCs w:val="21"/>
        </w:rPr>
        <w:t xml:space="preserve">Every subsequent request carries the access token as a Bearer header.</w:t>
      </w:r>
    </w:p>
    <w:p>
      <w:pPr>
        <w:pStyle w:val="ListParagraph"/>
        <w:numPr>
          <w:ilvl w:val="0"/>
          <w:numId w:val="3"/>
        </w:numPr>
        <w:spacing w:after="80" w:line="276"/>
      </w:pPr>
      <w:r>
        <w:rPr>
          <w:rFonts w:ascii="Calibri" w:cs="Calibri" w:eastAsia="Calibri" w:hAnsi="Calibri"/>
          <w:sz w:val="21"/>
          <w:szCs w:val="21"/>
        </w:rPr>
        <w:t xml:space="preserve">The middleware verifies the token against Supabase Auth and caches the result for 60 seconds to limit round-trips.</w:t>
      </w:r>
    </w:p>
    <w:p>
      <w:pPr>
        <w:pStyle w:val="ListParagraph"/>
        <w:numPr>
          <w:ilvl w:val="0"/>
          <w:numId w:val="3"/>
        </w:numPr>
        <w:spacing w:after="80" w:line="276"/>
      </w:pPr>
      <w:r>
        <w:rPr>
          <w:rFonts w:ascii="Calibri" w:cs="Calibri" w:eastAsia="Calibri" w:hAnsi="Calibri"/>
          <w:sz w:val="21"/>
          <w:szCs w:val="21"/>
        </w:rPr>
        <w:t xml:space="preserve">The user's profile is loaded and the endpoint's required role is checked against the profile's active role.</w:t>
      </w:r>
    </w:p>
    <w:p>
      <w:pPr>
        <w:pStyle w:val="ListParagraph"/>
        <w:numPr>
          <w:ilvl w:val="0"/>
          <w:numId w:val="3"/>
        </w:numPr>
        <w:spacing w:after="80" w:line="276"/>
      </w:pPr>
      <w:r>
        <w:rPr>
          <w:rFonts w:ascii="Calibri" w:cs="Calibri" w:eastAsia="Calibri" w:hAnsi="Calibri"/>
          <w:sz w:val="21"/>
          <w:szCs w:val="21"/>
        </w:rPr>
        <w:t xml:space="preserve">Approver, Store and Admin endpoints additionally require the account to be active.</w:t>
      </w:r>
    </w:p>
    <w:p>
      <w:pPr>
        <w:spacing w:after="120" w:line="276"/>
      </w:pPr>
      <w:r>
        <w:rPr>
          <w:rFonts w:ascii="Calibri" w:cs="Calibri" w:eastAsia="Calibri" w:hAnsi="Calibri"/>
          <w:color w:val="222222"/>
          <w:sz w:val="21"/>
          <w:szCs w:val="21"/>
        </w:rPr>
        <w:t xml:space="preserve">A log-in may hold more than one role. </w:t>
      </w:r>
      <w:r>
        <w:rPr>
          <w:rFonts w:ascii="Consolas" w:cs="Consolas" w:eastAsia="Consolas" w:hAnsi="Consolas"/>
          <w:color w:val="0F2A43"/>
          <w:sz w:val="18"/>
          <w:szCs w:val="18"/>
        </w:rPr>
        <w:t xml:space="preserve">profiles.roles</w:t>
      </w:r>
      <w:r>
        <w:rPr>
          <w:rFonts w:ascii="Calibri" w:cs="Calibri" w:eastAsia="Calibri" w:hAnsi="Calibri"/>
          <w:color w:val="222222"/>
          <w:sz w:val="21"/>
          <w:szCs w:val="21"/>
        </w:rPr>
        <w:t xml:space="preserve"> lists every module the account may use; </w:t>
      </w:r>
      <w:r>
        <w:rPr>
          <w:rFonts w:ascii="Consolas" w:cs="Consolas" w:eastAsia="Consolas" w:hAnsi="Consolas"/>
          <w:color w:val="0F2A43"/>
          <w:sz w:val="18"/>
          <w:szCs w:val="18"/>
        </w:rPr>
        <w:t xml:space="preserve">profiles.role</w:t>
      </w:r>
      <w:r>
        <w:rPr>
          <w:rFonts w:ascii="Calibri" w:cs="Calibri" w:eastAsia="Calibri" w:hAnsi="Calibri"/>
          <w:color w:val="222222"/>
          <w:sz w:val="21"/>
          <w:szCs w:val="21"/>
        </w:rPr>
        <w:t xml:space="preserve"> is the module currently in use. Switching modules updates the active role server-side, so authorisation always follows the switch.</w:t>
      </w:r>
    </w:p>
    <w:p>
      <w:pPr>
        <w:pStyle w:val="Heading2"/>
        <w:spacing w:after="120" w:before="260"/>
      </w:pPr>
      <w:r>
        <w:t xml:space="preserve">3.6 ERP integration</w:t>
      </w:r>
    </w:p>
    <w:p>
      <w:pPr>
        <w:spacing w:after="120" w:line="276"/>
      </w:pPr>
      <w:r>
        <w:rPr>
          <w:rFonts w:ascii="Calibri" w:cs="Calibri" w:eastAsia="Calibri" w:hAnsi="Calibri"/>
          <w:color w:val="222222"/>
          <w:sz w:val="21"/>
          <w:szCs w:val="21"/>
        </w:rPr>
        <w:t xml:space="preserve">Eight operations are posted to the ERP: sales order creation, sales-order planning updates, cancellation, delivery note, stock transfer, return, credit note and invoice.</w:t>
      </w:r>
    </w:p>
    <w:p>
      <w:pPr>
        <w:spacing w:after="120" w:line="276"/>
      </w:pPr>
      <w:r>
        <w:rPr>
          <w:rFonts w:ascii="Calibri" w:cs="Calibri" w:eastAsia="Calibri" w:hAnsi="Calibri"/>
          <w:color w:val="222222"/>
          <w:sz w:val="21"/>
          <w:szCs w:val="21"/>
        </w:rPr>
        <w:t xml:space="preserve">All calls go through a wrapper that retries once and, on a second failure, writes the failure to </w:t>
      </w:r>
      <w:r>
        <w:rPr>
          <w:rFonts w:ascii="Consolas" w:cs="Consolas" w:eastAsia="Consolas" w:hAnsi="Consolas"/>
          <w:color w:val="0F2A43"/>
          <w:sz w:val="18"/>
          <w:szCs w:val="18"/>
        </w:rPr>
        <w:t xml:space="preserve">erp_log</w:t>
      </w:r>
      <w:r>
        <w:rPr>
          <w:rFonts w:ascii="Calibri" w:cs="Calibri" w:eastAsia="Calibri" w:hAnsi="Calibri"/>
          <w:color w:val="222222"/>
          <w:sz w:val="21"/>
          <w:szCs w:val="21"/>
        </w:rPr>
        <w:t xml:space="preserve"> and allows the business transaction to complete. The store can read that log from the Fulfilment screen. This means an ERP outage degrades reporting, not ordering — but it also means failed documents must be re-synchronised manually, so the log needs to be watched.</w:t>
      </w:r>
    </w:p>
    <w:p>
      <w:r>
        <w:br w:type="page"/>
      </w:r>
    </w:p>
    <w:p>
      <w:pPr>
        <w:pStyle w:val="Heading1"/>
        <w:spacing w:after="160" w:before="360"/>
      </w:pPr>
      <w:r>
        <w:t xml:space="preserve">4. API surface and authorisation matrix</w:t>
      </w:r>
    </w:p>
    <w:p>
      <w:pPr>
        <w:spacing w:after="120" w:line="276"/>
      </w:pPr>
      <w:r>
        <w:rPr>
          <w:rFonts w:ascii="Calibri" w:cs="Calibri" w:eastAsia="Calibri" w:hAnsi="Calibri"/>
          <w:color w:val="222222"/>
          <w:sz w:val="21"/>
          <w:szCs w:val="21"/>
        </w:rPr>
        <w:t xml:space="preserve">All endpoints are prefixed /api. Roles are enforced server-side; the table is the authoritative list of who may call what.</w:t>
      </w:r>
    </w:p>
    <w:tbl>
      <w:tblPr>
        <w:tblW w:type="dxa" w:w="10080"/>
        <w:tblBorders>
          <w:top w:val="single" w:color="D6DEE6" w:sz="2"/>
          <w:left w:val="single" w:color="D6DEE6" w:sz="2"/>
          <w:bottom w:val="single" w:color="D6DEE6" w:sz="2"/>
          <w:right w:val="single" w:color="D6DEE6" w:sz="2"/>
          <w:insideH w:val="single" w:color="D6DEE6" w:sz="2"/>
          <w:insideV w:val="single" w:color="D6DEE6" w:sz="2"/>
        </w:tblBorders>
      </w:tblPr>
      <w:tblGrid>
        <w:gridCol w:w="2160"/>
        <w:gridCol w:w="5184"/>
        <w:gridCol w:w="2736"/>
      </w:tblGrid>
      <w:tr>
        <w:trPr>
          <w:tblHeader/>
        </w:trPr>
        <w:tc>
          <w:tcPr>
            <w:tcW w:type="dxa" w:w="2160"/>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Area</w:t>
            </w:r>
          </w:p>
        </w:tc>
        <w:tc>
          <w:tcPr>
            <w:tcW w:type="dxa" w:w="5184"/>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Endpoints</w:t>
            </w:r>
          </w:p>
        </w:tc>
        <w:tc>
          <w:tcPr>
            <w:tcW w:type="dxa" w:w="2736"/>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Required role</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Authentication</w:t>
            </w:r>
          </w:p>
        </w:tc>
        <w:tc>
          <w:tcPr>
            <w:tcW w:type="dxa" w:w="518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POST /auth/signup, /auth/login, /auth/refresh,</w:t>
            </w:r>
          </w:p>
          <w:p>
            <w:pPr>
              <w:spacing w:after="0" w:line="250"/>
            </w:pPr>
            <w:r>
              <w:rPr>
                <w:rFonts w:ascii="Calibri" w:cs="Calibri" w:eastAsia="Calibri" w:hAnsi="Calibri"/>
                <w:b w:val="false"/>
                <w:bCs w:val="false"/>
                <w:color w:val="222222"/>
                <w:sz w:val="19"/>
                <w:szCs w:val="19"/>
              </w:rPr>
              <w:t xml:space="preserve">/auth/employee-lookup</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Public</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Account</w:t>
            </w:r>
          </w:p>
        </w:tc>
        <w:tc>
          <w:tcPr>
            <w:tcW w:type="dxa" w:w="518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DELETE /auth/account, GET /profile,</w:t>
            </w:r>
          </w:p>
          <w:p>
            <w:pPr>
              <w:spacing w:after="0" w:line="250"/>
            </w:pPr>
            <w:r>
              <w:rPr>
                <w:rFonts w:ascii="Calibri" w:cs="Calibri" w:eastAsia="Calibri" w:hAnsi="Calibri"/>
                <w:b w:val="false"/>
                <w:bCs w:val="false"/>
                <w:color w:val="222222"/>
                <w:sz w:val="19"/>
                <w:szCs w:val="19"/>
              </w:rPr>
              <w:t xml:space="preserve">POST /profile/role</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Any signed-in user</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Notifications</w:t>
            </w:r>
          </w:p>
        </w:tc>
        <w:tc>
          <w:tcPr>
            <w:tcW w:type="dxa" w:w="518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GET /notifications, POST /notifications/read</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Any signed-in user</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Shopping</w:t>
            </w:r>
          </w:p>
        </w:tc>
        <w:tc>
          <w:tcPr>
            <w:tcW w:type="dxa" w:w="518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GET /catalog, GET /cart, POST /cart/items,</w:t>
            </w:r>
          </w:p>
          <w:p>
            <w:pPr>
              <w:spacing w:after="0" w:line="250"/>
            </w:pPr>
            <w:r>
              <w:rPr>
                <w:rFonts w:ascii="Calibri" w:cs="Calibri" w:eastAsia="Calibri" w:hAnsi="Calibri"/>
                <w:b w:val="false"/>
                <w:bCs w:val="false"/>
                <w:color w:val="222222"/>
                <w:sz w:val="19"/>
                <w:szCs w:val="19"/>
              </w:rPr>
              <w:t xml:space="preserve">DELETE /cart/items/:id, POST /cart/clear</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employee</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Ordering</w:t>
            </w:r>
          </w:p>
        </w:tc>
        <w:tc>
          <w:tcPr>
            <w:tcW w:type="dxa" w:w="518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POST /orders</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employee</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Orders (read)</w:t>
            </w:r>
          </w:p>
        </w:tc>
        <w:tc>
          <w:tcPr>
            <w:tcW w:type="dxa" w:w="518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GET /orders, GET /orders/:ref,</w:t>
            </w:r>
          </w:p>
          <w:p>
            <w:pPr>
              <w:spacing w:after="0" w:line="250"/>
            </w:pPr>
            <w:r>
              <w:rPr>
                <w:rFonts w:ascii="Calibri" w:cs="Calibri" w:eastAsia="Calibri" w:hAnsi="Calibri"/>
                <w:b w:val="false"/>
                <w:bCs w:val="false"/>
                <w:color w:val="222222"/>
                <w:sz w:val="19"/>
                <w:szCs w:val="19"/>
              </w:rPr>
              <w:t xml:space="preserve">POST /orders/:ref/cancel</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Any signed-in user</w:t>
            </w:r>
          </w:p>
          <w:p>
            <w:pPr>
              <w:spacing w:after="0" w:line="250"/>
            </w:pPr>
            <w:r>
              <w:rPr>
                <w:rFonts w:ascii="Calibri" w:cs="Calibri" w:eastAsia="Calibri" w:hAnsi="Calibri"/>
                <w:b w:val="false"/>
                <w:bCs w:val="false"/>
                <w:color w:val="222222"/>
                <w:sz w:val="19"/>
                <w:szCs w:val="19"/>
              </w:rPr>
              <w:t xml:space="preserve">(scoped to own orders for employees)</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Approval</w:t>
            </w:r>
          </w:p>
        </w:tc>
        <w:tc>
          <w:tcPr>
            <w:tcW w:type="dxa" w:w="518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POST /orders/:ref/approve,</w:t>
            </w:r>
          </w:p>
          <w:p>
            <w:pPr>
              <w:spacing w:after="0" w:line="250"/>
            </w:pPr>
            <w:r>
              <w:rPr>
                <w:rFonts w:ascii="Calibri" w:cs="Calibri" w:eastAsia="Calibri" w:hAnsi="Calibri"/>
                <w:b w:val="false"/>
                <w:bCs w:val="false"/>
                <w:color w:val="222222"/>
                <w:sz w:val="19"/>
                <w:szCs w:val="19"/>
              </w:rPr>
              <w:t xml:space="preserve">POST /orders/:ref/reject</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approver</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Receipt &amp; returns</w:t>
            </w:r>
          </w:p>
        </w:tc>
        <w:tc>
          <w:tcPr>
            <w:tcW w:type="dxa" w:w="518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POST /orders/:ref/deliveries/:dn/receive,</w:t>
            </w:r>
          </w:p>
          <w:p>
            <w:pPr>
              <w:spacing w:after="0" w:line="250"/>
            </w:pPr>
            <w:r>
              <w:rPr>
                <w:rFonts w:ascii="Calibri" w:cs="Calibri" w:eastAsia="Calibri" w:hAnsi="Calibri"/>
                <w:b w:val="false"/>
                <w:bCs w:val="false"/>
                <w:color w:val="222222"/>
                <w:sz w:val="19"/>
                <w:szCs w:val="19"/>
              </w:rPr>
              <w:t xml:space="preserve">POST /orders/:ref/return,</w:t>
            </w:r>
          </w:p>
          <w:p>
            <w:pPr>
              <w:spacing w:after="0" w:line="250"/>
            </w:pPr>
            <w:r>
              <w:rPr>
                <w:rFonts w:ascii="Calibri" w:cs="Calibri" w:eastAsia="Calibri" w:hAnsi="Calibri"/>
                <w:b w:val="false"/>
                <w:bCs w:val="false"/>
                <w:color w:val="222222"/>
                <w:sz w:val="19"/>
                <w:szCs w:val="19"/>
              </w:rPr>
              <w:t xml:space="preserve">DELETE /orders/:ref/returns/:rt</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employee</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Fulfilment</w:t>
            </w:r>
          </w:p>
        </w:tc>
        <w:tc>
          <w:tcPr>
            <w:tcW w:type="dxa" w:w="518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POST /orders/:ref/resave, /orders/resave-all,</w:t>
            </w:r>
          </w:p>
          <w:p>
            <w:pPr>
              <w:spacing w:after="0" w:line="250"/>
            </w:pPr>
            <w:r>
              <w:rPr>
                <w:rFonts w:ascii="Calibri" w:cs="Calibri" w:eastAsia="Calibri" w:hAnsi="Calibri"/>
                <w:b w:val="false"/>
                <w:bCs w:val="false"/>
                <w:color w:val="222222"/>
                <w:sz w:val="19"/>
                <w:szCs w:val="19"/>
              </w:rPr>
              <w:t xml:space="preserve">/orders/:ref/delivery-note,</w:t>
            </w:r>
          </w:p>
          <w:p>
            <w:pPr>
              <w:spacing w:after="0" w:line="250"/>
            </w:pPr>
            <w:r>
              <w:rPr>
                <w:rFonts w:ascii="Calibri" w:cs="Calibri" w:eastAsia="Calibri" w:hAnsi="Calibri"/>
                <w:b w:val="false"/>
                <w:bCs w:val="false"/>
                <w:color w:val="222222"/>
                <w:sz w:val="19"/>
                <w:szCs w:val="19"/>
              </w:rPr>
              <w:t xml:space="preserve">/orders/:ref/returns/:rt/confirm,</w:t>
            </w:r>
          </w:p>
          <w:p>
            <w:pPr>
              <w:spacing w:after="0" w:line="250"/>
            </w:pPr>
            <w:r>
              <w:rPr>
                <w:rFonts w:ascii="Calibri" w:cs="Calibri" w:eastAsia="Calibri" w:hAnsi="Calibri"/>
                <w:b w:val="false"/>
                <w:bCs w:val="false"/>
                <w:color w:val="222222"/>
                <w:sz w:val="19"/>
                <w:szCs w:val="19"/>
              </w:rPr>
              <w:t xml:space="preserve">/invoices/consolidate</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store</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Inventory</w:t>
            </w:r>
          </w:p>
        </w:tc>
        <w:tc>
          <w:tcPr>
            <w:tcW w:type="dxa" w:w="518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GET /admin/inventory,</w:t>
            </w:r>
          </w:p>
          <w:p>
            <w:pPr>
              <w:spacing w:after="0" w:line="250"/>
            </w:pPr>
            <w:r>
              <w:rPr>
                <w:rFonts w:ascii="Calibri" w:cs="Calibri" w:eastAsia="Calibri" w:hAnsi="Calibri"/>
                <w:b w:val="false"/>
                <w:bCs w:val="false"/>
                <w:color w:val="222222"/>
                <w:sz w:val="19"/>
                <w:szCs w:val="19"/>
              </w:rPr>
              <w:t xml:space="preserve">POST /admin/inventory/adjust,</w:t>
            </w:r>
          </w:p>
          <w:p>
            <w:pPr>
              <w:spacing w:after="0" w:line="250"/>
            </w:pPr>
            <w:r>
              <w:rPr>
                <w:rFonts w:ascii="Calibri" w:cs="Calibri" w:eastAsia="Calibri" w:hAnsi="Calibri"/>
                <w:b w:val="false"/>
                <w:bCs w:val="false"/>
                <w:color w:val="222222"/>
                <w:sz w:val="19"/>
                <w:szCs w:val="19"/>
              </w:rPr>
              <w:t xml:space="preserve">POST /admin/inventory/transfer</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store</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ERP console</w:t>
            </w:r>
          </w:p>
        </w:tc>
        <w:tc>
          <w:tcPr>
            <w:tcW w:type="dxa" w:w="518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GET /erp/documents</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store</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User administration</w:t>
            </w:r>
          </w:p>
        </w:tc>
        <w:tc>
          <w:tcPr>
            <w:tcW w:type="dxa" w:w="518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GET/POST /admin/users,</w:t>
            </w:r>
          </w:p>
          <w:p>
            <w:pPr>
              <w:spacing w:after="0" w:line="250"/>
            </w:pPr>
            <w:r>
              <w:rPr>
                <w:rFonts w:ascii="Calibri" w:cs="Calibri" w:eastAsia="Calibri" w:hAnsi="Calibri"/>
                <w:b w:val="false"/>
                <w:bCs w:val="false"/>
                <w:color w:val="222222"/>
                <w:sz w:val="19"/>
                <w:szCs w:val="19"/>
              </w:rPr>
              <w:t xml:space="preserve">PATCH/DELETE /admin/users/:id</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admin</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Master data</w:t>
            </w:r>
          </w:p>
        </w:tc>
        <w:tc>
          <w:tcPr>
            <w:tcW w:type="dxa" w:w="518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GET /masters</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admin, approver, store</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Master maintenance</w:t>
            </w:r>
          </w:p>
        </w:tc>
        <w:tc>
          <w:tcPr>
            <w:tcW w:type="dxa" w:w="518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POST /admin/masters/:kind,</w:t>
            </w:r>
          </w:p>
          <w:p>
            <w:pPr>
              <w:spacing w:after="0" w:line="250"/>
            </w:pPr>
            <w:r>
              <w:rPr>
                <w:rFonts w:ascii="Calibri" w:cs="Calibri" w:eastAsia="Calibri" w:hAnsi="Calibri"/>
                <w:b w:val="false"/>
                <w:bCs w:val="false"/>
                <w:color w:val="222222"/>
                <w:sz w:val="19"/>
                <w:szCs w:val="19"/>
              </w:rPr>
              <w:t xml:space="preserve">DELETE /admin/masters/:kind/:id</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admin</w:t>
            </w:r>
          </w:p>
        </w:tc>
      </w:tr>
      <w:tr>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Health</w:t>
            </w:r>
          </w:p>
        </w:tc>
        <w:tc>
          <w:tcPr>
            <w:tcW w:type="dxa" w:w="518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GET /health</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Public</w:t>
            </w:r>
          </w:p>
        </w:tc>
      </w:tr>
    </w:tbl>
    <w:p>
      <w:r>
        <w:br w:type="page"/>
      </w:r>
    </w:p>
    <w:p>
      <w:pPr>
        <w:pStyle w:val="Heading1"/>
        <w:spacing w:after="160" w:before="360"/>
      </w:pPr>
      <w:r>
        <w:t xml:space="preserve">5. Environments and configuration</w:t>
      </w:r>
    </w:p>
    <w:p>
      <w:pPr>
        <w:pStyle w:val="Heading2"/>
        <w:spacing w:after="120" w:before="260"/>
      </w:pPr>
      <w:r>
        <w:t xml:space="preserve">5.1 Recommended environments</w:t>
      </w:r>
    </w:p>
    <w:tbl>
      <w:tblPr>
        <w:tblW w:type="dxa" w:w="10080"/>
        <w:tblBorders>
          <w:top w:val="single" w:color="D6DEE6" w:sz="2"/>
          <w:left w:val="single" w:color="D6DEE6" w:sz="2"/>
          <w:bottom w:val="single" w:color="D6DEE6" w:sz="2"/>
          <w:right w:val="single" w:color="D6DEE6" w:sz="2"/>
          <w:insideH w:val="single" w:color="D6DEE6" w:sz="2"/>
          <w:insideV w:val="single" w:color="D6DEE6" w:sz="2"/>
        </w:tblBorders>
      </w:tblPr>
      <w:tblGrid>
        <w:gridCol w:w="1872"/>
        <w:gridCol w:w="2304"/>
        <w:gridCol w:w="2736"/>
        <w:gridCol w:w="3168"/>
      </w:tblGrid>
      <w:tr>
        <w:trPr>
          <w:tblHeader/>
        </w:trPr>
        <w:tc>
          <w:tcPr>
            <w:tcW w:type="dxa" w:w="1872"/>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Environment</w:t>
            </w:r>
          </w:p>
        </w:tc>
        <w:tc>
          <w:tcPr>
            <w:tcW w:type="dxa" w:w="2304"/>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Purpose</w:t>
            </w:r>
          </w:p>
        </w:tc>
        <w:tc>
          <w:tcPr>
            <w:tcW w:type="dxa" w:w="2736"/>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Database</w:t>
            </w:r>
          </w:p>
        </w:tc>
        <w:tc>
          <w:tcPr>
            <w:tcW w:type="dxa" w:w="3168"/>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Notes</w:t>
            </w:r>
          </w:p>
        </w:tc>
      </w:tr>
      <w:tr>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Local</w:t>
            </w:r>
          </w:p>
        </w:tc>
        <w:tc>
          <w:tcPr>
            <w:tcW w:type="dxa" w:w="230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Development</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Local JSON adapter</w:t>
            </w:r>
          </w:p>
        </w:tc>
        <w:tc>
          <w:tcPr>
            <w:tcW w:type="dxa" w:w="316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No Supabase keys set; demonstration log-ins</w:t>
            </w:r>
          </w:p>
        </w:tc>
      </w:tr>
      <w:tr>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Staging</w:t>
            </w:r>
          </w:p>
        </w:tc>
        <w:tc>
          <w:tcPr>
            <w:tcW w:type="dxa" w:w="230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Client acceptance</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Separate Supabase project</w:t>
            </w:r>
          </w:p>
        </w:tc>
        <w:tc>
          <w:tcPr>
            <w:tcW w:type="dxa" w:w="316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Mirrors production configuration exactly</w:t>
            </w:r>
          </w:p>
        </w:tc>
      </w:tr>
      <w:tr>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Production</w:t>
            </w:r>
          </w:p>
        </w:tc>
        <w:tc>
          <w:tcPr>
            <w:tcW w:type="dxa" w:w="230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Live use</w:t>
            </w:r>
          </w:p>
        </w:tc>
        <w:tc>
          <w:tcPr>
            <w:tcW w:type="dxa" w:w="273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Production Supabase project</w:t>
            </w:r>
          </w:p>
        </w:tc>
        <w:tc>
          <w:tcPr>
            <w:tcW w:type="dxa" w:w="316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Restricted access, backups enabled</w:t>
            </w:r>
          </w:p>
        </w:tc>
      </w:tr>
    </w:tbl>
    <w:p>
      <w:pPr>
        <w:pBdr>
          <w:left w:val="single" w:color="C0392B" w:sz="18"/>
        </w:pBdr>
        <w:shd w:fill="FDECE1" w:val="clear"/>
        <w:spacing w:after="0" w:before="140" w:line="260"/>
        <w:ind w:left="160" w:right="160"/>
      </w:pPr>
      <w:r>
        <w:rPr>
          <w:rFonts w:ascii="Calibri" w:cs="Calibri" w:eastAsia="Calibri" w:hAnsi="Calibri"/>
          <w:b/>
          <w:bCs/>
          <w:color w:val="0F2A43"/>
          <w:sz w:val="21"/>
          <w:szCs w:val="21"/>
        </w:rPr>
        <w:t xml:space="preserve">Never share one database between staging and production</w:t>
      </w:r>
    </w:p>
    <w:p>
      <w:pPr>
        <w:pBdr>
          <w:left w:val="single" w:color="C0392B" w:sz="18"/>
        </w:pBdr>
        <w:shd w:fill="FDECE1" w:val="clear"/>
        <w:spacing w:after="200" w:before="0" w:line="260"/>
        <w:ind w:left="160" w:right="160"/>
      </w:pPr>
      <w:r>
        <w:rPr>
          <w:rFonts w:ascii="Calibri" w:cs="Calibri" w:eastAsia="Calibri" w:hAnsi="Calibri"/>
          <w:color w:val="333333"/>
          <w:sz w:val="20"/>
          <w:szCs w:val="20"/>
        </w:rPr>
        <w:t xml:space="preserve">The setup script refreshes master data on every run. Pointing staging at the production database would overwrite live master records.</w:t>
      </w:r>
    </w:p>
    <w:p>
      <w:pPr>
        <w:pStyle w:val="Heading2"/>
        <w:spacing w:after="120" w:before="260"/>
      </w:pPr>
      <w:r>
        <w:t xml:space="preserve">5.2 Middleware environment variables</w:t>
      </w:r>
    </w:p>
    <w:tbl>
      <w:tblPr>
        <w:tblW w:type="dxa" w:w="10080"/>
        <w:tblBorders>
          <w:top w:val="single" w:color="D6DEE6" w:sz="2"/>
          <w:left w:val="single" w:color="D6DEE6" w:sz="2"/>
          <w:bottom w:val="single" w:color="D6DEE6" w:sz="2"/>
          <w:right w:val="single" w:color="D6DEE6" w:sz="2"/>
          <w:insideH w:val="single" w:color="D6DEE6" w:sz="2"/>
          <w:insideV w:val="single" w:color="D6DEE6" w:sz="2"/>
        </w:tblBorders>
      </w:tblPr>
      <w:tblGrid>
        <w:gridCol w:w="3168"/>
        <w:gridCol w:w="1872"/>
        <w:gridCol w:w="5040"/>
      </w:tblGrid>
      <w:tr>
        <w:trPr>
          <w:tblHeader/>
        </w:trPr>
        <w:tc>
          <w:tcPr>
            <w:tcW w:type="dxa" w:w="3168"/>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Variable</w:t>
            </w:r>
          </w:p>
        </w:tc>
        <w:tc>
          <w:tcPr>
            <w:tcW w:type="dxa" w:w="1872"/>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Required</w:t>
            </w:r>
          </w:p>
        </w:tc>
        <w:tc>
          <w:tcPr>
            <w:tcW w:type="dxa" w:w="5040"/>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Purpose</w:t>
            </w:r>
          </w:p>
        </w:tc>
      </w:tr>
      <w:tr>
        <w:tc>
          <w:tcPr>
            <w:tcW w:type="dxa" w:w="3168"/>
            <w:shd w:fill="FFFFFF" w:val="clear"/>
            <w:tcMar>
              <w:top w:type="dxa" w:w="70"/>
              <w:left w:type="dxa" w:w="110"/>
              <w:bottom w:type="dxa" w:w="70"/>
              <w:right w:type="dxa" w:w="110"/>
            </w:tcMar>
          </w:tcPr>
          <w:p>
            <w:pPr>
              <w:spacing w:after="0" w:line="250"/>
            </w:pPr>
            <w:r>
              <w:rPr>
                <w:rFonts w:ascii="Consolas" w:cs="Consolas" w:eastAsia="Consolas" w:hAnsi="Consolas"/>
                <w:b w:val="false"/>
                <w:bCs w:val="false"/>
                <w:color w:val="222222"/>
                <w:sz w:val="17"/>
                <w:szCs w:val="17"/>
              </w:rPr>
              <w:t xml:space="preserve">SUPABASE_URL</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Yes (production)</w:t>
            </w:r>
          </w:p>
        </w:tc>
        <w:tc>
          <w:tcPr>
            <w:tcW w:type="dxa" w:w="50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Supabase project URL. If empty the middleware falls back to the local JSON adapter — never acceptable in production.</w:t>
            </w:r>
          </w:p>
        </w:tc>
      </w:tr>
      <w:tr>
        <w:tc>
          <w:tcPr>
            <w:tcW w:type="dxa" w:w="3168"/>
            <w:shd w:fill="FFFFFF" w:val="clear"/>
            <w:tcMar>
              <w:top w:type="dxa" w:w="70"/>
              <w:left w:type="dxa" w:w="110"/>
              <w:bottom w:type="dxa" w:w="70"/>
              <w:right w:type="dxa" w:w="110"/>
            </w:tcMar>
          </w:tcPr>
          <w:p>
            <w:pPr>
              <w:spacing w:after="0" w:line="250"/>
            </w:pPr>
            <w:r>
              <w:rPr>
                <w:rFonts w:ascii="Consolas" w:cs="Consolas" w:eastAsia="Consolas" w:hAnsi="Consolas"/>
                <w:b w:val="false"/>
                <w:bCs w:val="false"/>
                <w:color w:val="222222"/>
                <w:sz w:val="17"/>
                <w:szCs w:val="17"/>
              </w:rPr>
              <w:t xml:space="preserve">SUPABASE_ANON_KEY</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Yes</w:t>
            </w:r>
          </w:p>
        </w:tc>
        <w:tc>
          <w:tcPr>
            <w:tcW w:type="dxa" w:w="50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Used for the token grant and token verification calls.</w:t>
            </w:r>
          </w:p>
        </w:tc>
      </w:tr>
      <w:tr>
        <w:tc>
          <w:tcPr>
            <w:tcW w:type="dxa" w:w="3168"/>
            <w:shd w:fill="FFFFFF" w:val="clear"/>
            <w:tcMar>
              <w:top w:type="dxa" w:w="70"/>
              <w:left w:type="dxa" w:w="110"/>
              <w:bottom w:type="dxa" w:w="70"/>
              <w:right w:type="dxa" w:w="110"/>
            </w:tcMar>
          </w:tcPr>
          <w:p>
            <w:pPr>
              <w:spacing w:after="0" w:line="250"/>
            </w:pPr>
            <w:r>
              <w:rPr>
                <w:rFonts w:ascii="Consolas" w:cs="Consolas" w:eastAsia="Consolas" w:hAnsi="Consolas"/>
                <w:b w:val="false"/>
                <w:bCs w:val="false"/>
                <w:color w:val="222222"/>
                <w:sz w:val="17"/>
                <w:szCs w:val="17"/>
              </w:rPr>
              <w:t xml:space="preserve">SUPABASE_SERVICE_ROLE_KEY</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Yes</w:t>
            </w:r>
          </w:p>
        </w:tc>
        <w:tc>
          <w:tcPr>
            <w:tcW w:type="dxa" w:w="50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Full database access. Server-side only — must never appear in a client bundle, a repository or a log.</w:t>
            </w:r>
          </w:p>
        </w:tc>
      </w:tr>
      <w:tr>
        <w:tc>
          <w:tcPr>
            <w:tcW w:type="dxa" w:w="3168"/>
            <w:shd w:fill="FFFFFF" w:val="clear"/>
            <w:tcMar>
              <w:top w:type="dxa" w:w="70"/>
              <w:left w:type="dxa" w:w="110"/>
              <w:bottom w:type="dxa" w:w="70"/>
              <w:right w:type="dxa" w:w="110"/>
            </w:tcMar>
          </w:tcPr>
          <w:p>
            <w:pPr>
              <w:spacing w:after="0" w:line="250"/>
            </w:pPr>
            <w:r>
              <w:rPr>
                <w:rFonts w:ascii="Consolas" w:cs="Consolas" w:eastAsia="Consolas" w:hAnsi="Consolas"/>
                <w:b w:val="false"/>
                <w:bCs w:val="false"/>
                <w:color w:val="222222"/>
                <w:sz w:val="17"/>
                <w:szCs w:val="17"/>
              </w:rPr>
              <w:t xml:space="preserve">JWT_SECRET</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Yes</w:t>
            </w:r>
          </w:p>
        </w:tc>
        <w:tc>
          <w:tcPr>
            <w:tcW w:type="dxa" w:w="50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Signs local-mode tokens. Defaults to a well-known development string if unset; always set a long random value.</w:t>
            </w:r>
          </w:p>
        </w:tc>
      </w:tr>
      <w:tr>
        <w:tc>
          <w:tcPr>
            <w:tcW w:type="dxa" w:w="3168"/>
            <w:shd w:fill="FFFFFF" w:val="clear"/>
            <w:tcMar>
              <w:top w:type="dxa" w:w="70"/>
              <w:left w:type="dxa" w:w="110"/>
              <w:bottom w:type="dxa" w:w="70"/>
              <w:right w:type="dxa" w:w="110"/>
            </w:tcMar>
          </w:tcPr>
          <w:p>
            <w:pPr>
              <w:spacing w:after="0" w:line="250"/>
            </w:pPr>
            <w:r>
              <w:rPr>
                <w:rFonts w:ascii="Consolas" w:cs="Consolas" w:eastAsia="Consolas" w:hAnsi="Consolas"/>
                <w:b w:val="false"/>
                <w:bCs w:val="false"/>
                <w:color w:val="222222"/>
                <w:sz w:val="17"/>
                <w:szCs w:val="17"/>
              </w:rPr>
              <w:t xml:space="preserve">ADMIN_EMAILS</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Yes</w:t>
            </w:r>
          </w:p>
        </w:tc>
        <w:tc>
          <w:tcPr>
            <w:tcW w:type="dxa" w:w="50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Comma-separated addresses that become active administrators on sign-up. Used once to bootstrap; keep it short.</w:t>
            </w:r>
          </w:p>
        </w:tc>
      </w:tr>
      <w:tr>
        <w:tc>
          <w:tcPr>
            <w:tcW w:type="dxa" w:w="3168"/>
            <w:shd w:fill="FFFFFF" w:val="clear"/>
            <w:tcMar>
              <w:top w:type="dxa" w:w="70"/>
              <w:left w:type="dxa" w:w="110"/>
              <w:bottom w:type="dxa" w:w="70"/>
              <w:right w:type="dxa" w:w="110"/>
            </w:tcMar>
          </w:tcPr>
          <w:p>
            <w:pPr>
              <w:spacing w:after="0" w:line="250"/>
            </w:pPr>
            <w:r>
              <w:rPr>
                <w:rFonts w:ascii="Consolas" w:cs="Consolas" w:eastAsia="Consolas" w:hAnsi="Consolas"/>
                <w:b w:val="false"/>
                <w:bCs w:val="false"/>
                <w:color w:val="222222"/>
                <w:sz w:val="17"/>
                <w:szCs w:val="17"/>
              </w:rPr>
              <w:t xml:space="preserve">ERP_PROVIDER</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Yes</w:t>
            </w:r>
          </w:p>
        </w:tc>
        <w:tc>
          <w:tcPr>
            <w:tcW w:type="dxa" w:w="50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erpnext or focus9-stub</w:t>
            </w:r>
          </w:p>
        </w:tc>
      </w:tr>
      <w:tr>
        <w:tc>
          <w:tcPr>
            <w:tcW w:type="dxa" w:w="3168"/>
            <w:shd w:fill="FFFFFF" w:val="clear"/>
            <w:tcMar>
              <w:top w:type="dxa" w:w="70"/>
              <w:left w:type="dxa" w:w="110"/>
              <w:bottom w:type="dxa" w:w="70"/>
              <w:right w:type="dxa" w:w="110"/>
            </w:tcMar>
          </w:tcPr>
          <w:p>
            <w:pPr>
              <w:spacing w:after="0" w:line="250"/>
            </w:pPr>
            <w:r>
              <w:rPr>
                <w:rFonts w:ascii="Consolas" w:cs="Consolas" w:eastAsia="Consolas" w:hAnsi="Consolas"/>
                <w:b w:val="false"/>
                <w:bCs w:val="false"/>
                <w:color w:val="222222"/>
                <w:sz w:val="17"/>
                <w:szCs w:val="17"/>
              </w:rPr>
              <w:t xml:space="preserve">ERPNEXT_URL</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If ERPNext</w:t>
            </w:r>
          </w:p>
        </w:tc>
        <w:tc>
          <w:tcPr>
            <w:tcW w:type="dxa" w:w="50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Base URL of the ERPNext site</w:t>
            </w:r>
          </w:p>
        </w:tc>
      </w:tr>
      <w:tr>
        <w:tc>
          <w:tcPr>
            <w:tcW w:type="dxa" w:w="3168"/>
            <w:shd w:fill="FFFFFF" w:val="clear"/>
            <w:tcMar>
              <w:top w:type="dxa" w:w="70"/>
              <w:left w:type="dxa" w:w="110"/>
              <w:bottom w:type="dxa" w:w="70"/>
              <w:right w:type="dxa" w:w="110"/>
            </w:tcMar>
          </w:tcPr>
          <w:p>
            <w:pPr>
              <w:spacing w:after="0" w:line="250"/>
            </w:pPr>
            <w:r>
              <w:rPr>
                <w:rFonts w:ascii="Consolas" w:cs="Consolas" w:eastAsia="Consolas" w:hAnsi="Consolas"/>
                <w:b w:val="false"/>
                <w:bCs w:val="false"/>
                <w:color w:val="222222"/>
                <w:sz w:val="17"/>
                <w:szCs w:val="17"/>
              </w:rPr>
              <w:t xml:space="preserve">ERPNEXT_API_KEY</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If ERPNext</w:t>
            </w:r>
          </w:p>
        </w:tc>
        <w:tc>
          <w:tcPr>
            <w:tcW w:type="dxa" w:w="50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API key of the integration user</w:t>
            </w:r>
          </w:p>
        </w:tc>
      </w:tr>
      <w:tr>
        <w:tc>
          <w:tcPr>
            <w:tcW w:type="dxa" w:w="3168"/>
            <w:shd w:fill="FFFFFF" w:val="clear"/>
            <w:tcMar>
              <w:top w:type="dxa" w:w="70"/>
              <w:left w:type="dxa" w:w="110"/>
              <w:bottom w:type="dxa" w:w="70"/>
              <w:right w:type="dxa" w:w="110"/>
            </w:tcMar>
          </w:tcPr>
          <w:p>
            <w:pPr>
              <w:spacing w:after="0" w:line="250"/>
            </w:pPr>
            <w:r>
              <w:rPr>
                <w:rFonts w:ascii="Consolas" w:cs="Consolas" w:eastAsia="Consolas" w:hAnsi="Consolas"/>
                <w:b w:val="false"/>
                <w:bCs w:val="false"/>
                <w:color w:val="222222"/>
                <w:sz w:val="17"/>
                <w:szCs w:val="17"/>
              </w:rPr>
              <w:t xml:space="preserve">ERPNEXT_API_SECRET</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If ERPNext</w:t>
            </w:r>
          </w:p>
        </w:tc>
        <w:tc>
          <w:tcPr>
            <w:tcW w:type="dxa" w:w="50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API secret of the integration user</w:t>
            </w:r>
          </w:p>
        </w:tc>
      </w:tr>
      <w:tr>
        <w:tc>
          <w:tcPr>
            <w:tcW w:type="dxa" w:w="3168"/>
            <w:shd w:fill="FFFFFF" w:val="clear"/>
            <w:tcMar>
              <w:top w:type="dxa" w:w="70"/>
              <w:left w:type="dxa" w:w="110"/>
              <w:bottom w:type="dxa" w:w="70"/>
              <w:right w:type="dxa" w:w="110"/>
            </w:tcMar>
          </w:tcPr>
          <w:p>
            <w:pPr>
              <w:spacing w:after="0" w:line="250"/>
            </w:pPr>
            <w:r>
              <w:rPr>
                <w:rFonts w:ascii="Consolas" w:cs="Consolas" w:eastAsia="Consolas" w:hAnsi="Consolas"/>
                <w:b w:val="false"/>
                <w:bCs w:val="false"/>
                <w:color w:val="222222"/>
                <w:sz w:val="17"/>
                <w:szCs w:val="17"/>
              </w:rPr>
              <w:t xml:space="preserve">PORT</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No</w:t>
            </w:r>
          </w:p>
        </w:tc>
        <w:tc>
          <w:tcPr>
            <w:tcW w:type="dxa" w:w="50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Defaults to 4000. Ignored on serverless hosting.</w:t>
            </w:r>
          </w:p>
        </w:tc>
      </w:tr>
    </w:tbl>
    <w:p>
      <w:pPr>
        <w:pStyle w:val="Heading2"/>
        <w:spacing w:after="120" w:before="260"/>
      </w:pPr>
      <w:r>
        <w:t xml:space="preserve">5.3 Web portal environment variables</w:t>
      </w:r>
    </w:p>
    <w:tbl>
      <w:tblPr>
        <w:tblW w:type="dxa" w:w="10080"/>
        <w:tblBorders>
          <w:top w:val="single" w:color="D6DEE6" w:sz="2"/>
          <w:left w:val="single" w:color="D6DEE6" w:sz="2"/>
          <w:bottom w:val="single" w:color="D6DEE6" w:sz="2"/>
          <w:right w:val="single" w:color="D6DEE6" w:sz="2"/>
          <w:insideH w:val="single" w:color="D6DEE6" w:sz="2"/>
          <w:insideV w:val="single" w:color="D6DEE6" w:sz="2"/>
        </w:tblBorders>
      </w:tblPr>
      <w:tblGrid>
        <w:gridCol w:w="3168"/>
        <w:gridCol w:w="1872"/>
        <w:gridCol w:w="5040"/>
      </w:tblGrid>
      <w:tr>
        <w:trPr>
          <w:tblHeader/>
        </w:trPr>
        <w:tc>
          <w:tcPr>
            <w:tcW w:type="dxa" w:w="3168"/>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Variable</w:t>
            </w:r>
          </w:p>
        </w:tc>
        <w:tc>
          <w:tcPr>
            <w:tcW w:type="dxa" w:w="1872"/>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Required</w:t>
            </w:r>
          </w:p>
        </w:tc>
        <w:tc>
          <w:tcPr>
            <w:tcW w:type="dxa" w:w="5040"/>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Purpose</w:t>
            </w:r>
          </w:p>
        </w:tc>
      </w:tr>
      <w:tr>
        <w:tc>
          <w:tcPr>
            <w:tcW w:type="dxa" w:w="3168"/>
            <w:shd w:fill="FFFFFF" w:val="clear"/>
            <w:tcMar>
              <w:top w:type="dxa" w:w="70"/>
              <w:left w:type="dxa" w:w="110"/>
              <w:bottom w:type="dxa" w:w="70"/>
              <w:right w:type="dxa" w:w="110"/>
            </w:tcMar>
          </w:tcPr>
          <w:p>
            <w:pPr>
              <w:spacing w:after="0" w:line="250"/>
            </w:pPr>
            <w:r>
              <w:rPr>
                <w:rFonts w:ascii="Consolas" w:cs="Consolas" w:eastAsia="Consolas" w:hAnsi="Consolas"/>
                <w:b w:val="false"/>
                <w:bCs w:val="false"/>
                <w:color w:val="222222"/>
                <w:sz w:val="17"/>
                <w:szCs w:val="17"/>
              </w:rPr>
              <w:t xml:space="preserve">VITE_API_URL</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Yes</w:t>
            </w:r>
          </w:p>
        </w:tc>
        <w:tc>
          <w:tcPr>
            <w:tcW w:type="dxa" w:w="50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Public HTTPS address of the middleware. Read at build time and baked into the bundle — changing it requires a rebuild, not just a restart.</w:t>
            </w:r>
          </w:p>
        </w:tc>
      </w:tr>
    </w:tbl>
    <w:p>
      <w:pPr>
        <w:pStyle w:val="Heading2"/>
        <w:spacing w:after="120" w:before="260"/>
      </w:pPr>
      <w:r>
        <w:t xml:space="preserve">5.4 Mobile configuration</w:t>
      </w:r>
    </w:p>
    <w:p>
      <w:pPr>
        <w:spacing w:after="120" w:line="276"/>
      </w:pPr>
      <w:r>
        <w:rPr>
          <w:rFonts w:ascii="Calibri" w:cs="Calibri" w:eastAsia="Calibri" w:hAnsi="Calibri"/>
          <w:color w:val="222222"/>
          <w:sz w:val="21"/>
          <w:szCs w:val="21"/>
        </w:rPr>
        <w:t xml:space="preserve">The API address lives in </w:t>
      </w:r>
      <w:r>
        <w:rPr>
          <w:rFonts w:ascii="Consolas" w:cs="Consolas" w:eastAsia="Consolas" w:hAnsi="Consolas"/>
          <w:color w:val="0F2A43"/>
          <w:sz w:val="18"/>
          <w:szCs w:val="18"/>
        </w:rPr>
        <w:t xml:space="preserve">mobile/src/config.js</w:t>
      </w:r>
      <w:r>
        <w:rPr>
          <w:rFonts w:ascii="Calibri" w:cs="Calibri" w:eastAsia="Calibri" w:hAnsi="Calibri"/>
          <w:color w:val="222222"/>
          <w:sz w:val="21"/>
          <w:szCs w:val="21"/>
        </w:rPr>
        <w:t xml:space="preserve">. For release builds it must be the public HTTPS middleware address. Prefer moving it to an Expo build-time configuration value so that development, staging and production builds do not require a source edit.</w:t>
      </w:r>
    </w:p>
    <w:p>
      <w:r>
        <w:br w:type="page"/>
      </w:r>
    </w:p>
    <w:p>
      <w:pPr>
        <w:pStyle w:val="Heading1"/>
        <w:spacing w:after="160" w:before="360"/>
      </w:pPr>
      <w:r>
        <w:t xml:space="preserve">6. Deployment</w:t>
      </w:r>
    </w:p>
    <w:p>
      <w:pPr>
        <w:pStyle w:val="Heading2"/>
        <w:spacing w:after="120" w:before="260"/>
      </w:pPr>
      <w:r>
        <w:t xml:space="preserve">6.1 Database — first and every subsequent release</w:t>
      </w:r>
    </w:p>
    <w:p>
      <w:pPr>
        <w:spacing w:after="120" w:line="276"/>
      </w:pPr>
      <w:r>
        <w:rPr>
          <w:rFonts w:ascii="Calibri" w:cs="Calibri" w:eastAsia="Calibri" w:hAnsi="Calibri"/>
          <w:color w:val="222222"/>
          <w:sz w:val="21"/>
          <w:szCs w:val="21"/>
        </w:rPr>
        <w:t xml:space="preserve">The entire schema and master data set is delivered as one idempotent script, </w:t>
      </w:r>
      <w:r>
        <w:rPr>
          <w:rFonts w:ascii="Consolas" w:cs="Consolas" w:eastAsia="Consolas" w:hAnsi="Consolas"/>
          <w:color w:val="0F2A43"/>
          <w:sz w:val="18"/>
          <w:szCs w:val="18"/>
        </w:rPr>
        <w:t xml:space="preserve">middleware/supabase/setup-all-v3.sql</w:t>
      </w:r>
      <w:r>
        <w:rPr>
          <w:rFonts w:ascii="Calibri" w:cs="Calibri" w:eastAsia="Calibri" w:hAnsi="Calibri"/>
          <w:color w:val="222222"/>
          <w:sz w:val="21"/>
          <w:szCs w:val="21"/>
        </w:rPr>
        <w:t xml:space="preserve">. It is generated from the parts in </w:t>
      </w:r>
      <w:r>
        <w:rPr>
          <w:rFonts w:ascii="Consolas" w:cs="Consolas" w:eastAsia="Consolas" w:hAnsi="Consolas"/>
          <w:color w:val="0F2A43"/>
          <w:sz w:val="18"/>
          <w:szCs w:val="18"/>
        </w:rPr>
        <w:t xml:space="preserve">middleware/supabase/parts/</w:t>
      </w:r>
      <w:r>
        <w:rPr>
          <w:rFonts w:ascii="Calibri" w:cs="Calibri" w:eastAsia="Calibri" w:hAnsi="Calibri"/>
          <w:color w:val="222222"/>
          <w:sz w:val="21"/>
          <w:szCs w:val="21"/>
        </w:rPr>
        <w:t xml:space="preserve"> and must not be edited by hand.</w:t>
      </w:r>
    </w:p>
    <w:p>
      <w:pPr>
        <w:pStyle w:val="ListParagraph"/>
        <w:numPr>
          <w:ilvl w:val="0"/>
          <w:numId w:val="4"/>
        </w:numPr>
        <w:spacing w:after="80" w:line="276"/>
      </w:pPr>
      <w:r>
        <w:rPr>
          <w:rFonts w:ascii="Calibri" w:cs="Calibri" w:eastAsia="Calibri" w:hAnsi="Calibri"/>
          <w:sz w:val="21"/>
          <w:szCs w:val="21"/>
        </w:rPr>
        <w:t xml:space="preserve">Take a database backup (see section 9).</w:t>
      </w:r>
    </w:p>
    <w:p>
      <w:pPr>
        <w:pStyle w:val="ListParagraph"/>
        <w:numPr>
          <w:ilvl w:val="0"/>
          <w:numId w:val="4"/>
        </w:numPr>
        <w:spacing w:after="80" w:line="276"/>
      </w:pPr>
      <w:r>
        <w:rPr>
          <w:rFonts w:ascii="Calibri" w:cs="Calibri" w:eastAsia="Calibri" w:hAnsi="Calibri"/>
          <w:sz w:val="21"/>
          <w:szCs w:val="21"/>
        </w:rPr>
        <w:t xml:space="preserve">Open the Supabase dashboard → SQL Editor.</w:t>
      </w:r>
    </w:p>
    <w:p>
      <w:pPr>
        <w:pStyle w:val="ListParagraph"/>
        <w:numPr>
          <w:ilvl w:val="0"/>
          <w:numId w:val="4"/>
        </w:numPr>
        <w:spacing w:after="80" w:line="276"/>
      </w:pPr>
      <w:r>
        <w:rPr>
          <w:rFonts w:ascii="Calibri" w:cs="Calibri" w:eastAsia="Calibri" w:hAnsi="Calibri"/>
          <w:sz w:val="21"/>
          <w:szCs w:val="21"/>
        </w:rPr>
        <w:t xml:space="preserve">Paste the whole file and run it.</w:t>
      </w:r>
    </w:p>
    <w:p>
      <w:pPr>
        <w:pStyle w:val="ListParagraph"/>
        <w:numPr>
          <w:ilvl w:val="0"/>
          <w:numId w:val="4"/>
        </w:numPr>
        <w:spacing w:after="80" w:line="276"/>
      </w:pPr>
      <w:r>
        <w:rPr>
          <w:rFonts w:ascii="Calibri" w:cs="Calibri" w:eastAsia="Calibri" w:hAnsi="Calibri"/>
          <w:sz w:val="21"/>
          <w:szCs w:val="21"/>
        </w:rPr>
        <w:t xml:space="preserve">Expect a batch of “already exists, skipping” notices — these are normal.</w:t>
      </w:r>
    </w:p>
    <w:p>
      <w:pPr>
        <w:pStyle w:val="ListParagraph"/>
        <w:numPr>
          <w:ilvl w:val="0"/>
          <w:numId w:val="4"/>
        </w:numPr>
        <w:spacing w:after="80" w:line="276"/>
      </w:pPr>
      <w:r>
        <w:rPr>
          <w:rFonts w:ascii="Calibri" w:cs="Calibri" w:eastAsia="Calibri" w:hAnsi="Calibri"/>
          <w:sz w:val="21"/>
          <w:szCs w:val="21"/>
        </w:rPr>
        <w:t xml:space="preserve">Verify: the masters table returns the expected row counts per kind, and the profiles table has the new columns.</w:t>
      </w:r>
    </w:p>
    <w:p>
      <w:pPr>
        <w:spacing w:after="120" w:line="276"/>
      </w:pPr>
      <w:r>
        <w:rPr>
          <w:rFonts w:ascii="Calibri" w:cs="Calibri" w:eastAsia="Calibri" w:hAnsi="Calibri"/>
          <w:color w:val="222222"/>
          <w:sz w:val="21"/>
          <w:szCs w:val="21"/>
        </w:rPr>
        <w:t xml:space="preserve">What a re-run does and does not do:</w:t>
      </w:r>
    </w:p>
    <w:tbl>
      <w:tblPr>
        <w:tblW w:type="dxa" w:w="10080"/>
        <w:tblBorders>
          <w:top w:val="single" w:color="D6DEE6" w:sz="2"/>
          <w:left w:val="single" w:color="D6DEE6" w:sz="2"/>
          <w:bottom w:val="single" w:color="D6DEE6" w:sz="2"/>
          <w:right w:val="single" w:color="D6DEE6" w:sz="2"/>
          <w:insideH w:val="single" w:color="D6DEE6" w:sz="2"/>
          <w:insideV w:val="single" w:color="D6DEE6" w:sz="2"/>
        </w:tblBorders>
      </w:tblPr>
      <w:tblGrid>
        <w:gridCol w:w="5040"/>
        <w:gridCol w:w="5040"/>
      </w:tblGrid>
      <w:tr>
        <w:trPr>
          <w:tblHeader/>
        </w:trPr>
        <w:tc>
          <w:tcPr>
            <w:tcW w:type="dxa" w:w="5040"/>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Kept</w:t>
            </w:r>
          </w:p>
        </w:tc>
        <w:tc>
          <w:tcPr>
            <w:tcW w:type="dxa" w:w="5040"/>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Refreshed</w:t>
            </w:r>
          </w:p>
        </w:tc>
      </w:tr>
      <w:tr>
        <w:tc>
          <w:tcPr>
            <w:tcW w:type="dxa" w:w="50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User accounts and their role, price-list and store assignments</w:t>
            </w:r>
          </w:p>
          <w:p>
            <w:pPr>
              <w:spacing w:after="0" w:line="250"/>
            </w:pPr>
            <w:r>
              <w:rPr>
                <w:rFonts w:ascii="Calibri" w:cs="Calibri" w:eastAsia="Calibri" w:hAnsi="Calibri"/>
                <w:b w:val="false"/>
                <w:bCs w:val="false"/>
                <w:color w:val="222222"/>
                <w:sz w:val="19"/>
                <w:szCs w:val="19"/>
              </w:rPr>
              <w:t xml:space="preserve">Orders and their history</w:t>
            </w:r>
          </w:p>
          <w:p>
            <w:pPr>
              <w:spacing w:after="0" w:line="250"/>
            </w:pPr>
            <w:r>
              <w:rPr>
                <w:rFonts w:ascii="Calibri" w:cs="Calibri" w:eastAsia="Calibri" w:hAnsi="Calibri"/>
                <w:b w:val="false"/>
                <w:bCs w:val="false"/>
                <w:color w:val="222222"/>
                <w:sz w:val="19"/>
                <w:szCs w:val="19"/>
              </w:rPr>
              <w:t xml:space="preserve">Allocation usage (used quantity)</w:t>
            </w:r>
          </w:p>
          <w:p>
            <w:pPr>
              <w:spacing w:after="0" w:line="250"/>
            </w:pPr>
            <w:r>
              <w:rPr>
                <w:rFonts w:ascii="Calibri" w:cs="Calibri" w:eastAsia="Calibri" w:hAnsi="Calibri"/>
                <w:b w:val="false"/>
                <w:bCs w:val="false"/>
                <w:color w:val="222222"/>
                <w:sz w:val="19"/>
                <w:szCs w:val="19"/>
              </w:rPr>
              <w:t xml:space="preserve">ERP documents and the event log</w:t>
            </w:r>
          </w:p>
          <w:p>
            <w:pPr>
              <w:spacing w:after="0" w:line="250"/>
            </w:pPr>
            <w:r>
              <w:rPr>
                <w:rFonts w:ascii="Calibri" w:cs="Calibri" w:eastAsia="Calibri" w:hAnsi="Calibri"/>
                <w:b w:val="false"/>
                <w:bCs w:val="false"/>
                <w:color w:val="222222"/>
                <w:sz w:val="19"/>
                <w:szCs w:val="19"/>
              </w:rPr>
              <w:t xml:space="preserve">Live inventory quantities</w:t>
            </w:r>
          </w:p>
          <w:p>
            <w:pPr>
              <w:spacing w:after="0" w:line="250"/>
            </w:pPr>
            <w:r>
              <w:rPr>
                <w:rFonts w:ascii="Calibri" w:cs="Calibri" w:eastAsia="Calibri" w:hAnsi="Calibri"/>
                <w:b w:val="false"/>
                <w:bCs w:val="false"/>
                <w:color w:val="222222"/>
                <w:sz w:val="19"/>
                <w:szCs w:val="19"/>
              </w:rPr>
              <w:t xml:space="preserve">Document number sequences</w:t>
            </w:r>
          </w:p>
        </w:tc>
        <w:tc>
          <w:tcPr>
            <w:tcW w:type="dxa" w:w="50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Master data: items, price lists, stores, departments,</w:t>
            </w:r>
          </w:p>
          <w:p>
            <w:pPr>
              <w:spacing w:after="0" w:line="250"/>
            </w:pPr>
            <w:r>
              <w:rPr>
                <w:rFonts w:ascii="Calibri" w:cs="Calibri" w:eastAsia="Calibri" w:hAnsi="Calibri"/>
                <w:b w:val="false"/>
                <w:bCs w:val="false"/>
                <w:color w:val="222222"/>
                <w:sz w:val="19"/>
                <w:szCs w:val="19"/>
              </w:rPr>
              <w:t xml:space="preserve">locations, divisions, customers, contracts, employees, UOM</w:t>
            </w:r>
          </w:p>
        </w:tc>
      </w:tr>
    </w:tbl>
    <w:p>
      <w:pPr>
        <w:spacing w:after="120" w:line="276"/>
      </w:pPr>
      <w:r>
        <w:rPr>
          <w:rFonts w:ascii="Calibri" w:cs="Calibri" w:eastAsia="Calibri" w:hAnsi="Calibri"/>
          <w:color w:val="222222"/>
          <w:sz w:val="21"/>
          <w:szCs w:val="21"/>
        </w:rPr>
        <w:t xml:space="preserve">To regenerate the script after changing master data: </w:t>
      </w:r>
      <w:r>
        <w:rPr>
          <w:rFonts w:ascii="Consolas" w:cs="Consolas" w:eastAsia="Consolas" w:hAnsi="Consolas"/>
          <w:color w:val="0F2A43"/>
          <w:sz w:val="18"/>
          <w:szCs w:val="18"/>
        </w:rPr>
        <w:t xml:space="preserve">node tools/build-seed-sql.js</w:t>
      </w:r>
      <w:r>
        <w:rPr>
          <w:rFonts w:ascii="Calibri" w:cs="Calibri" w:eastAsia="Calibri" w:hAnsi="Calibri"/>
          <w:color w:val="222222"/>
          <w:sz w:val="21"/>
          <w:szCs w:val="21"/>
        </w:rPr>
        <w:t xml:space="preserve"> then </w:t>
      </w:r>
      <w:r>
        <w:rPr>
          <w:rFonts w:ascii="Consolas" w:cs="Consolas" w:eastAsia="Consolas" w:hAnsi="Consolas"/>
          <w:color w:val="0F2A43"/>
          <w:sz w:val="18"/>
          <w:szCs w:val="18"/>
        </w:rPr>
        <w:t xml:space="preserve">python3 tools/build-setup-sql.py</w:t>
      </w:r>
      <w:r>
        <w:rPr>
          <w:rFonts w:ascii="Calibri" w:cs="Calibri" w:eastAsia="Calibri" w:hAnsi="Calibri"/>
          <w:color w:val="222222"/>
          <w:sz w:val="21"/>
          <w:szCs w:val="21"/>
        </w:rPr>
        <w:t xml:space="preserve">.</w:t>
      </w:r>
    </w:p>
    <w:p>
      <w:pPr>
        <w:pStyle w:val="Heading2"/>
        <w:spacing w:after="120" w:before="260"/>
      </w:pPr>
      <w:r>
        <w:t xml:space="preserve">6.2 Middleware</w:t>
      </w:r>
    </w:p>
    <w:p>
      <w:pPr>
        <w:pStyle w:val="Heading3"/>
        <w:spacing w:after="100" w:before="200"/>
      </w:pPr>
      <w:r>
        <w:t xml:space="preserve">Option A — serverless (current arrangement)</w:t>
      </w:r>
    </w:p>
    <w:p>
      <w:pPr>
        <w:spacing w:after="120" w:line="276"/>
      </w:pPr>
      <w:r>
        <w:rPr>
          <w:rFonts w:ascii="Calibri" w:cs="Calibri" w:eastAsia="Calibri" w:hAnsi="Calibri"/>
          <w:color w:val="222222"/>
          <w:sz w:val="21"/>
          <w:szCs w:val="21"/>
        </w:rPr>
        <w:t xml:space="preserve">The middleware is deployed to Vercel as a serverless function; </w:t>
      </w:r>
      <w:r>
        <w:rPr>
          <w:rFonts w:ascii="Consolas" w:cs="Consolas" w:eastAsia="Consolas" w:hAnsi="Consolas"/>
          <w:color w:val="0F2A43"/>
          <w:sz w:val="18"/>
          <w:szCs w:val="18"/>
        </w:rPr>
        <w:t xml:space="preserve">api/index.js</w:t>
      </w:r>
      <w:r>
        <w:rPr>
          <w:rFonts w:ascii="Calibri" w:cs="Calibri" w:eastAsia="Calibri" w:hAnsi="Calibri"/>
          <w:color w:val="222222"/>
          <w:sz w:val="21"/>
          <w:szCs w:val="21"/>
        </w:rPr>
        <w:t xml:space="preserve"> wraps the Express application. The project root directory is set to </w:t>
      </w:r>
      <w:r>
        <w:rPr>
          <w:rFonts w:ascii="Consolas" w:cs="Consolas" w:eastAsia="Consolas" w:hAnsi="Consolas"/>
          <w:color w:val="0F2A43"/>
          <w:sz w:val="18"/>
          <w:szCs w:val="18"/>
        </w:rPr>
        <w:t xml:space="preserve">middleware</w:t>
      </w:r>
      <w:r>
        <w:rPr>
          <w:rFonts w:ascii="Calibri" w:cs="Calibri" w:eastAsia="Calibri" w:hAnsi="Calibri"/>
          <w:color w:val="222222"/>
          <w:sz w:val="21"/>
          <w:szCs w:val="21"/>
        </w:rPr>
        <w:t xml:space="preserve">. Environment variables are configured in the Vercel project settings.</w:t>
      </w:r>
    </w:p>
    <w:p>
      <w:pPr>
        <w:pBdr>
          <w:left w:val="single" w:color="C0392B" w:sz="18"/>
        </w:pBdr>
        <w:shd w:fill="FDECE1" w:val="clear"/>
        <w:spacing w:after="0" w:before="140" w:line="260"/>
        <w:ind w:left="160" w:right="160"/>
      </w:pPr>
      <w:r>
        <w:rPr>
          <w:rFonts w:ascii="Calibri" w:cs="Calibri" w:eastAsia="Calibri" w:hAnsi="Calibri"/>
          <w:b/>
          <w:bCs/>
          <w:color w:val="0F2A43"/>
          <w:sz w:val="21"/>
          <w:szCs w:val="21"/>
        </w:rPr>
        <w:t xml:space="preserve">Serverless changes the behaviour of time-based rules</w:t>
      </w:r>
    </w:p>
    <w:p>
      <w:pPr>
        <w:pBdr>
          <w:left w:val="single" w:color="C0392B" w:sz="18"/>
        </w:pBdr>
        <w:shd w:fill="FDECE1" w:val="clear"/>
        <w:spacing w:after="200" w:before="0" w:line="260"/>
        <w:ind w:left="160" w:right="160"/>
      </w:pPr>
      <w:r>
        <w:rPr>
          <w:rFonts w:ascii="Calibri" w:cs="Calibri" w:eastAsia="Calibri" w:hAnsi="Calibri"/>
          <w:color w:val="333333"/>
          <w:sz w:val="20"/>
          <w:szCs w:val="20"/>
        </w:rPr>
        <w:t xml:space="preserve">The periodic sweep that expires ten-minute carts and auto-cancels three-day approvals runs on an interval only when the server runs as a long-lived process. On serverless it runs opportunistically on incoming requests, so on a quiet system a cart may hold stock, and an approval may sit past its deadline, until the next request arrives. See section 12, item 1.</w:t>
      </w:r>
    </w:p>
    <w:p>
      <w:pPr>
        <w:pStyle w:val="Heading3"/>
        <w:spacing w:after="100" w:before="200"/>
      </w:pPr>
      <w:r>
        <w:t xml:space="preserve">Option B — persistent host (recommended for production)</w:t>
      </w:r>
    </w:p>
    <w:p>
      <w:pPr>
        <w:spacing w:after="120" w:line="276"/>
      </w:pPr>
      <w:r>
        <w:rPr>
          <w:rFonts w:ascii="Calibri" w:cs="Calibri" w:eastAsia="Calibri" w:hAnsi="Calibri"/>
          <w:color w:val="222222"/>
          <w:sz w:val="21"/>
          <w:szCs w:val="21"/>
        </w:rPr>
        <w:t xml:space="preserve">Running the middleware as a normal Node process on Render, Railway, a container platform or a virtual machine restores the interval sweep and removes cold starts. The process is started with </w:t>
      </w:r>
      <w:r>
        <w:rPr>
          <w:rFonts w:ascii="Consolas" w:cs="Consolas" w:eastAsia="Consolas" w:hAnsi="Consolas"/>
          <w:color w:val="0F2A43"/>
          <w:sz w:val="18"/>
          <w:szCs w:val="18"/>
        </w:rPr>
        <w:t xml:space="preserve">npm start</w:t>
      </w:r>
      <w:r>
        <w:rPr>
          <w:rFonts w:ascii="Calibri" w:cs="Calibri" w:eastAsia="Calibri" w:hAnsi="Calibri"/>
          <w:color w:val="222222"/>
          <w:sz w:val="21"/>
          <w:szCs w:val="21"/>
        </w:rPr>
        <w:t xml:space="preserve">, listens on </w:t>
      </w:r>
      <w:r>
        <w:rPr>
          <w:rFonts w:ascii="Consolas" w:cs="Consolas" w:eastAsia="Consolas" w:hAnsi="Consolas"/>
          <w:color w:val="0F2A43"/>
          <w:sz w:val="18"/>
          <w:szCs w:val="18"/>
        </w:rPr>
        <w:t xml:space="preserve">PORT</w:t>
      </w:r>
      <w:r>
        <w:rPr>
          <w:rFonts w:ascii="Calibri" w:cs="Calibri" w:eastAsia="Calibri" w:hAnsi="Calibri"/>
          <w:color w:val="222222"/>
          <w:sz w:val="21"/>
          <w:szCs w:val="21"/>
        </w:rPr>
        <w:t xml:space="preserve">, and should sit behind a TLS-terminating reverse proxy. Two or more instances can run behind a load balancer without further work, because the application holds no session state.</w:t>
      </w:r>
    </w:p>
    <w:p>
      <w:pPr>
        <w:pStyle w:val="Heading2"/>
        <w:spacing w:after="120" w:before="260"/>
      </w:pPr>
      <w:r>
        <w:t xml:space="preserve">6.3 Web portal</w:t>
      </w:r>
    </w:p>
    <w:p>
      <w:pPr>
        <w:pBdr>
          <w:top w:val="single" w:color="D6DEE6" w:sz="4"/>
        </w:pBdr>
        <w:shd w:fill="F2F5F9" w:val="clear"/>
        <w:spacing w:after="0" w:line="240"/>
        <w:ind w:left="200" w:right="200"/>
      </w:pPr>
      <w:r>
        <w:rPr>
          <w:rFonts w:ascii="Consolas" w:cs="Consolas" w:eastAsia="Consolas" w:hAnsi="Consolas"/>
          <w:color w:val="0F2A43"/>
          <w:sz w:val="17"/>
          <w:szCs w:val="17"/>
        </w:rPr>
        <w:t xml:space="preserve">cd web</w:t>
      </w:r>
    </w:p>
    <w:p>
      <w:pPr>
        <w:shd w:fill="F2F5F9" w:val="clear"/>
        <w:spacing w:after="0" w:line="240"/>
        <w:ind w:left="200" w:right="200"/>
      </w:pPr>
      <w:r>
        <w:rPr>
          <w:rFonts w:ascii="Consolas" w:cs="Consolas" w:eastAsia="Consolas" w:hAnsi="Consolas"/>
          <w:color w:val="0F2A43"/>
          <w:sz w:val="17"/>
          <w:szCs w:val="17"/>
        </w:rPr>
        <w:t xml:space="preserve">npm ci</w:t>
      </w:r>
    </w:p>
    <w:p>
      <w:pPr>
        <w:shd w:fill="F2F5F9" w:val="clear"/>
        <w:spacing w:after="0" w:line="240"/>
        <w:ind w:left="200" w:right="200"/>
      </w:pPr>
      <w:r>
        <w:rPr>
          <w:rFonts w:ascii="Consolas" w:cs="Consolas" w:eastAsia="Consolas" w:hAnsi="Consolas"/>
          <w:color w:val="0F2A43"/>
          <w:sz w:val="17"/>
          <w:szCs w:val="17"/>
        </w:rPr>
        <w:t xml:space="preserve">VITE_API_URL=https://&lt;middleware-host&gt; npm run build</w:t>
      </w:r>
    </w:p>
    <w:p>
      <w:pPr>
        <w:shd w:fill="F2F5F9" w:val="clear"/>
        <w:spacing w:after="160" w:line="240"/>
        <w:ind w:left="200" w:right="200"/>
      </w:pPr>
      <w:r>
        <w:rPr>
          <w:rFonts w:ascii="Consolas" w:cs="Consolas" w:eastAsia="Consolas" w:hAnsi="Consolas"/>
          <w:color w:val="0F2A43"/>
          <w:sz w:val="17"/>
          <w:szCs w:val="17"/>
        </w:rPr>
        <w:t xml:space="preserve"># deploy the contents of dist/ to any static host or CDN</w:t>
      </w:r>
    </w:p>
    <w:p>
      <w:pPr>
        <w:pStyle w:val="ListParagraph"/>
        <w:numPr>
          <w:ilvl w:val="0"/>
          <w:numId w:val="2"/>
        </w:numPr>
        <w:spacing w:after="80" w:line="276"/>
      </w:pPr>
      <w:r>
        <w:rPr>
          <w:rFonts w:ascii="Calibri" w:cs="Calibri" w:eastAsia="Calibri" w:hAnsi="Calibri"/>
          <w:sz w:val="21"/>
          <w:szCs w:val="21"/>
        </w:rPr>
        <w:t xml:space="preserve">Configure the host to rewrite all unknown paths to /index.html for client-side routing.</w:t>
      </w:r>
    </w:p>
    <w:p>
      <w:pPr>
        <w:pStyle w:val="ListParagraph"/>
        <w:numPr>
          <w:ilvl w:val="0"/>
          <w:numId w:val="2"/>
        </w:numPr>
        <w:spacing w:after="80" w:line="276"/>
      </w:pPr>
      <w:r>
        <w:rPr>
          <w:rFonts w:ascii="Calibri" w:cs="Calibri" w:eastAsia="Calibri" w:hAnsi="Calibri"/>
          <w:sz w:val="21"/>
          <w:szCs w:val="21"/>
        </w:rPr>
        <w:t xml:space="preserve">Serve over HTTPS with HSTS enabled.</w:t>
      </w:r>
    </w:p>
    <w:p>
      <w:pPr>
        <w:pStyle w:val="ListParagraph"/>
        <w:numPr>
          <w:ilvl w:val="0"/>
          <w:numId w:val="2"/>
        </w:numPr>
        <w:spacing w:after="80" w:line="276"/>
      </w:pPr>
      <w:r>
        <w:rPr>
          <w:rFonts w:ascii="Calibri" w:cs="Calibri" w:eastAsia="Calibri" w:hAnsi="Calibri"/>
          <w:sz w:val="21"/>
          <w:szCs w:val="21"/>
        </w:rPr>
        <w:t xml:space="preserve">Hashed asset filenames allow long cache lifetimes; index.html should not be cached.</w:t>
      </w:r>
    </w:p>
    <w:p>
      <w:pPr>
        <w:pStyle w:val="Heading2"/>
        <w:spacing w:after="120" w:before="260"/>
      </w:pPr>
      <w:r>
        <w:t xml:space="preserve">6.4 Mobile application</w:t>
      </w:r>
    </w:p>
    <w:p>
      <w:pPr>
        <w:pStyle w:val="ListParagraph"/>
        <w:numPr>
          <w:ilvl w:val="0"/>
          <w:numId w:val="5"/>
        </w:numPr>
        <w:spacing w:after="80" w:line="276"/>
      </w:pPr>
      <w:r>
        <w:rPr>
          <w:rFonts w:ascii="Calibri" w:cs="Calibri" w:eastAsia="Calibri" w:hAnsi="Calibri"/>
          <w:sz w:val="21"/>
          <w:szCs w:val="21"/>
        </w:rPr>
        <w:t xml:space="preserve">Set the public HTTPS middleware address in the mobile configuration.</w:t>
      </w:r>
    </w:p>
    <w:p>
      <w:pPr>
        <w:pStyle w:val="ListParagraph"/>
        <w:numPr>
          <w:ilvl w:val="0"/>
          <w:numId w:val="5"/>
        </w:numPr>
        <w:spacing w:after="80" w:line="276"/>
      </w:pPr>
      <w:r>
        <w:rPr>
          <w:rFonts w:ascii="Calibri" w:cs="Calibri" w:eastAsia="Calibri" w:hAnsi="Calibri"/>
          <w:sz w:val="21"/>
          <w:szCs w:val="21"/>
        </w:rPr>
        <w:t xml:space="preserve">Confirm the application identifier, version and build number.</w:t>
      </w:r>
    </w:p>
    <w:p>
      <w:pPr>
        <w:pStyle w:val="ListParagraph"/>
        <w:numPr>
          <w:ilvl w:val="0"/>
          <w:numId w:val="5"/>
        </w:numPr>
        <w:spacing w:after="80" w:line="276"/>
      </w:pPr>
      <w:r>
        <w:rPr>
          <w:rFonts w:ascii="Calibri" w:cs="Calibri" w:eastAsia="Calibri" w:hAnsi="Calibri"/>
          <w:sz w:val="21"/>
          <w:szCs w:val="21"/>
        </w:rPr>
        <w:t xml:space="preserve">Provide the launcher icon and splash assets.</w:t>
      </w:r>
    </w:p>
    <w:p>
      <w:pPr>
        <w:pStyle w:val="ListParagraph"/>
        <w:numPr>
          <w:ilvl w:val="0"/>
          <w:numId w:val="5"/>
        </w:numPr>
        <w:spacing w:after="80" w:line="276"/>
      </w:pPr>
      <w:r>
        <w:rPr>
          <w:rFonts w:ascii="Calibri" w:cs="Calibri" w:eastAsia="Calibri" w:hAnsi="Calibri"/>
          <w:sz w:val="21"/>
          <w:szCs w:val="21"/>
        </w:rPr>
        <w:t xml:space="preserve">Build with EAS: eas build --platform android --profile production (and ios where required).</w:t>
      </w:r>
    </w:p>
    <w:p>
      <w:pPr>
        <w:pStyle w:val="ListParagraph"/>
        <w:numPr>
          <w:ilvl w:val="0"/>
          <w:numId w:val="5"/>
        </w:numPr>
        <w:spacing w:after="80" w:line="276"/>
      </w:pPr>
      <w:r>
        <w:rPr>
          <w:rFonts w:ascii="Calibri" w:cs="Calibri" w:eastAsia="Calibri" w:hAnsi="Calibri"/>
          <w:sz w:val="21"/>
          <w:szCs w:val="21"/>
        </w:rPr>
        <w:t xml:space="preserve">Upload the resulting .aab to the Google Play Console.</w:t>
      </w:r>
    </w:p>
    <w:p>
      <w:pPr>
        <w:pStyle w:val="ListParagraph"/>
        <w:numPr>
          <w:ilvl w:val="0"/>
          <w:numId w:val="5"/>
        </w:numPr>
        <w:spacing w:after="80" w:line="276"/>
      </w:pPr>
      <w:r>
        <w:rPr>
          <w:rFonts w:ascii="Calibri" w:cs="Calibri" w:eastAsia="Calibri" w:hAnsi="Calibri"/>
          <w:sz w:val="21"/>
          <w:szCs w:val="21"/>
        </w:rPr>
        <w:t xml:space="preserve">Complete the Data safety declaration: name, e-mail address and telephone number are collected for account management.</w:t>
      </w:r>
    </w:p>
    <w:p>
      <w:pPr>
        <w:pStyle w:val="ListParagraph"/>
        <w:numPr>
          <w:ilvl w:val="0"/>
          <w:numId w:val="5"/>
        </w:numPr>
        <w:spacing w:after="80" w:line="276"/>
      </w:pPr>
      <w:r>
        <w:rPr>
          <w:rFonts w:ascii="Calibri" w:cs="Calibri" w:eastAsia="Calibri" w:hAnsi="Calibri"/>
          <w:sz w:val="21"/>
          <w:szCs w:val="21"/>
        </w:rPr>
        <w:t xml:space="preserve">Declare in-app account deletion — it is implemented on the Profile screen — and supply a web deletion URL; the deployed portal's profile page satisfies this.</w:t>
      </w:r>
    </w:p>
    <w:p>
      <w:pPr>
        <w:pStyle w:val="ListParagraph"/>
        <w:numPr>
          <w:ilvl w:val="0"/>
          <w:numId w:val="5"/>
        </w:numPr>
        <w:spacing w:after="80" w:line="276"/>
      </w:pPr>
      <w:r>
        <w:rPr>
          <w:rFonts w:ascii="Calibri" w:cs="Calibri" w:eastAsia="Calibri" w:hAnsi="Calibri"/>
          <w:sz w:val="21"/>
          <w:szCs w:val="21"/>
        </w:rPr>
        <w:t xml:space="preserve">Release to internal testing, then to production.</w:t>
      </w:r>
    </w:p>
    <w:p>
      <w:pPr>
        <w:pBdr>
          <w:left w:val="single" w:color="C25610" w:sz="18"/>
        </w:pBdr>
        <w:shd w:fill="FFF4E8" w:val="clear"/>
        <w:spacing w:after="0" w:before="140" w:line="260"/>
        <w:ind w:left="160" w:right="160"/>
      </w:pPr>
      <w:r>
        <w:rPr>
          <w:rFonts w:ascii="Calibri" w:cs="Calibri" w:eastAsia="Calibri" w:hAnsi="Calibri"/>
          <w:b/>
          <w:bCs/>
          <w:color w:val="0F2A43"/>
          <w:sz w:val="21"/>
          <w:szCs w:val="21"/>
        </w:rPr>
        <w:t xml:space="preserve">Google Play target API level</w:t>
      </w:r>
    </w:p>
    <w:p>
      <w:pPr>
        <w:pBdr>
          <w:left w:val="single" w:color="C25610" w:sz="18"/>
        </w:pBdr>
        <w:shd w:fill="FFF4E8" w:val="clear"/>
        <w:spacing w:after="200" w:before="0" w:line="260"/>
        <w:ind w:left="160" w:right="160"/>
      </w:pPr>
      <w:r>
        <w:rPr>
          <w:rFonts w:ascii="Calibri" w:cs="Calibri" w:eastAsia="Calibri" w:hAnsi="Calibri"/>
          <w:color w:val="333333"/>
          <w:sz w:val="20"/>
          <w:szCs w:val="20"/>
        </w:rPr>
        <w:t xml:space="preserve">Google Play enforces a minimum target API level for new and updated applications, and the threshold moves every year. Confirm the current requirement in the Play Console before building, and keep the Expo SDK current so that the target level can be raised without a migration.</w:t>
      </w:r>
    </w:p>
    <w:p>
      <w:r>
        <w:br w:type="page"/>
      </w:r>
    </w:p>
    <w:p>
      <w:pPr>
        <w:pStyle w:val="Heading1"/>
        <w:spacing w:after="160" w:before="360"/>
      </w:pPr>
      <w:r>
        <w:t xml:space="preserve">7. Security</w:t>
      </w:r>
    </w:p>
    <w:p>
      <w:pPr>
        <w:pStyle w:val="Heading2"/>
        <w:spacing w:after="120" w:before="260"/>
      </w:pPr>
      <w:r>
        <w:t xml:space="preserve">7.1 In place today</w:t>
      </w:r>
    </w:p>
    <w:p>
      <w:pPr>
        <w:pStyle w:val="ListParagraph"/>
        <w:numPr>
          <w:ilvl w:val="0"/>
          <w:numId w:val="2"/>
        </w:numPr>
        <w:spacing w:after="80" w:line="276"/>
      </w:pPr>
      <w:r>
        <w:rPr>
          <w:rFonts w:ascii="Calibri" w:cs="Calibri" w:eastAsia="Calibri" w:hAnsi="Calibri"/>
          <w:sz w:val="21"/>
          <w:szCs w:val="21"/>
        </w:rPr>
        <w:t xml:space="preserve">Passwords are never stored by the application — Supabase Auth holds them.</w:t>
      </w:r>
    </w:p>
    <w:p>
      <w:pPr>
        <w:pStyle w:val="ListParagraph"/>
        <w:numPr>
          <w:ilvl w:val="0"/>
          <w:numId w:val="2"/>
        </w:numPr>
        <w:spacing w:after="80" w:line="276"/>
      </w:pPr>
      <w:r>
        <w:rPr>
          <w:rFonts w:ascii="Calibri" w:cs="Calibri" w:eastAsia="Calibri" w:hAnsi="Calibri"/>
          <w:sz w:val="21"/>
          <w:szCs w:val="21"/>
        </w:rPr>
        <w:t xml:space="preserve">The service-role key stays on the server; no client bundle contains a database credential.</w:t>
      </w:r>
    </w:p>
    <w:p>
      <w:pPr>
        <w:pStyle w:val="ListParagraph"/>
        <w:numPr>
          <w:ilvl w:val="0"/>
          <w:numId w:val="2"/>
        </w:numPr>
        <w:spacing w:after="80" w:line="276"/>
      </w:pPr>
      <w:r>
        <w:rPr>
          <w:rFonts w:ascii="Calibri" w:cs="Calibri" w:eastAsia="Calibri" w:hAnsi="Calibri"/>
          <w:sz w:val="21"/>
          <w:szCs w:val="21"/>
        </w:rPr>
        <w:t xml:space="preserve">Row Level Security is enabled on all ten tables with no policies, so a direct connection using an anon or authenticated key is denied.</w:t>
      </w:r>
    </w:p>
    <w:p>
      <w:pPr>
        <w:pStyle w:val="ListParagraph"/>
        <w:numPr>
          <w:ilvl w:val="0"/>
          <w:numId w:val="2"/>
        </w:numPr>
        <w:spacing w:after="80" w:line="276"/>
      </w:pPr>
      <w:r>
        <w:rPr>
          <w:rFonts w:ascii="Calibri" w:cs="Calibri" w:eastAsia="Calibri" w:hAnsi="Calibri"/>
          <w:sz w:val="21"/>
          <w:szCs w:val="21"/>
        </w:rPr>
        <w:t xml:space="preserve">Every endpoint is role-gated server-side, and module separation is enforced by the API rather than by hiding menu entries.</w:t>
      </w:r>
    </w:p>
    <w:p>
      <w:pPr>
        <w:pStyle w:val="ListParagraph"/>
        <w:numPr>
          <w:ilvl w:val="0"/>
          <w:numId w:val="2"/>
        </w:numPr>
        <w:spacing w:after="80" w:line="276"/>
      </w:pPr>
      <w:r>
        <w:rPr>
          <w:rFonts w:ascii="Calibri" w:cs="Calibri" w:eastAsia="Calibri" w:hAnsi="Calibri"/>
          <w:sz w:val="21"/>
          <w:szCs w:val="21"/>
        </w:rPr>
        <w:t xml:space="preserve">Administrator accounts are protected: they cannot be edited, deactivated or deleted through the user administration API.</w:t>
      </w:r>
    </w:p>
    <w:p>
      <w:pPr>
        <w:pStyle w:val="ListParagraph"/>
        <w:numPr>
          <w:ilvl w:val="0"/>
          <w:numId w:val="2"/>
        </w:numPr>
        <w:spacing w:after="80" w:line="276"/>
      </w:pPr>
      <w:r>
        <w:rPr>
          <w:rFonts w:ascii="Calibri" w:cs="Calibri" w:eastAsia="Calibri" w:hAnsi="Calibri"/>
          <w:sz w:val="21"/>
          <w:szCs w:val="21"/>
        </w:rPr>
        <w:t xml:space="preserve">Employees can delete their own account and personal data; orders are retained as business records with the name snapshotted.</w:t>
      </w:r>
    </w:p>
    <w:p>
      <w:pPr>
        <w:pStyle w:val="Heading2"/>
        <w:spacing w:after="120" w:before="260"/>
      </w:pPr>
      <w:r>
        <w:t xml:space="preserve">7.2 Hardening actions</w:t>
      </w:r>
    </w:p>
    <w:tbl>
      <w:tblPr>
        <w:tblW w:type="dxa" w:w="10080"/>
        <w:tblBorders>
          <w:top w:val="single" w:color="D6DEE6" w:sz="2"/>
          <w:left w:val="single" w:color="D6DEE6" w:sz="2"/>
          <w:bottom w:val="single" w:color="D6DEE6" w:sz="2"/>
          <w:right w:val="single" w:color="D6DEE6" w:sz="2"/>
          <w:insideH w:val="single" w:color="D6DEE6" w:sz="2"/>
          <w:insideV w:val="single" w:color="D6DEE6" w:sz="2"/>
        </w:tblBorders>
      </w:tblPr>
      <w:tblGrid>
        <w:gridCol w:w="4320"/>
        <w:gridCol w:w="3888"/>
        <w:gridCol w:w="1872"/>
      </w:tblGrid>
      <w:tr>
        <w:trPr>
          <w:tblHeader/>
        </w:trPr>
        <w:tc>
          <w:tcPr>
            <w:tcW w:type="dxa" w:w="4320"/>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Action</w:t>
            </w:r>
          </w:p>
        </w:tc>
        <w:tc>
          <w:tcPr>
            <w:tcW w:type="dxa" w:w="3888"/>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Why</w:t>
            </w:r>
          </w:p>
        </w:tc>
        <w:tc>
          <w:tcPr>
            <w:tcW w:type="dxa" w:w="1872"/>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Priority</w:t>
            </w:r>
          </w:p>
        </w:tc>
      </w:tr>
      <w:tr>
        <w:tc>
          <w:tcPr>
            <w:tcW w:type="dxa" w:w="432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Set a long random JWT_SECRET in every environment</w:t>
            </w:r>
          </w:p>
        </w:tc>
        <w:tc>
          <w:tcPr>
            <w:tcW w:type="dxa" w:w="388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The code falls back to a well-known development value if the variable is absent</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High</w:t>
            </w:r>
          </w:p>
        </w:tc>
      </w:tr>
      <w:tr>
        <w:tc>
          <w:tcPr>
            <w:tcW w:type="dxa" w:w="432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Restrict CORS to the known web origins</w:t>
            </w:r>
          </w:p>
        </w:tc>
        <w:tc>
          <w:tcPr>
            <w:tcW w:type="dxa" w:w="388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The API currently accepts requests from any origin</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High</w:t>
            </w:r>
          </w:p>
        </w:tc>
      </w:tr>
      <w:tr>
        <w:tc>
          <w:tcPr>
            <w:tcW w:type="dxa" w:w="432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Add request rate limiting on the authentication routes</w:t>
            </w:r>
          </w:p>
        </w:tc>
        <w:tc>
          <w:tcPr>
            <w:tcW w:type="dxa" w:w="388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There is no protection against credential stuffing or brute force</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High</w:t>
            </w:r>
          </w:p>
        </w:tc>
      </w:tr>
      <w:tr>
        <w:tc>
          <w:tcPr>
            <w:tcW w:type="dxa" w:w="432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Re-enable Supabase e-mail confirmation</w:t>
            </w:r>
          </w:p>
        </w:tc>
        <w:tc>
          <w:tcPr>
            <w:tcW w:type="dxa" w:w="388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Confirmation was disabled to smooth the first roll-out</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Medium</w:t>
            </w:r>
          </w:p>
        </w:tc>
      </w:tr>
      <w:tr>
        <w:tc>
          <w:tcPr>
            <w:tcW w:type="dxa" w:w="432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Rotate the Supabase service-role and ERP API keys on a schedule</w:t>
            </w:r>
          </w:p>
        </w:tc>
        <w:tc>
          <w:tcPr>
            <w:tcW w:type="dxa" w:w="388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Limits the window of exposure if a key leaks</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Medium</w:t>
            </w:r>
          </w:p>
        </w:tc>
      </w:tr>
      <w:tr>
        <w:tc>
          <w:tcPr>
            <w:tcW w:type="dxa" w:w="432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Enforce HTTPS and HSTS on both hosts</w:t>
            </w:r>
          </w:p>
        </w:tc>
        <w:tc>
          <w:tcPr>
            <w:tcW w:type="dxa" w:w="388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Prevents downgrade and protects tokens in transit</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High</w:t>
            </w:r>
          </w:p>
        </w:tc>
      </w:tr>
      <w:tr>
        <w:tc>
          <w:tcPr>
            <w:tcW w:type="dxa" w:w="432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Add security headers to the web host (CSP, X-Frame-Options, Referrer-Policy)</w:t>
            </w:r>
          </w:p>
        </w:tc>
        <w:tc>
          <w:tcPr>
            <w:tcW w:type="dxa" w:w="388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Standard browser hardening for a single-page application</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Medium</w:t>
            </w:r>
          </w:p>
        </w:tc>
      </w:tr>
      <w:tr>
        <w:tc>
          <w:tcPr>
            <w:tcW w:type="dxa" w:w="432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Review who holds administrator accounts, and keep ADMIN_EMAILS minimal</w:t>
            </w:r>
          </w:p>
        </w:tc>
        <w:tc>
          <w:tcPr>
            <w:tcW w:type="dxa" w:w="388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Any address in that list becomes an active administrator on sign-up</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High</w:t>
            </w:r>
          </w:p>
        </w:tc>
      </w:tr>
      <w:tr>
        <w:tc>
          <w:tcPr>
            <w:tcW w:type="dxa" w:w="432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Enable audit logging and alerting on the Supabase project</w:t>
            </w:r>
          </w:p>
        </w:tc>
        <w:tc>
          <w:tcPr>
            <w:tcW w:type="dxa" w:w="388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Detects unexpected direct database access</w:t>
            </w:r>
          </w:p>
        </w:tc>
        <w:tc>
          <w:tcPr>
            <w:tcW w:type="dxa" w:w="187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Medium</w:t>
            </w:r>
          </w:p>
        </w:tc>
      </w:tr>
    </w:tbl>
    <w:p>
      <w:pPr>
        <w:pStyle w:val="Heading1"/>
        <w:spacing w:after="160" w:before="360"/>
      </w:pPr>
      <w:r>
        <w:t xml:space="preserve">8. Performance and scaling</w:t>
      </w:r>
    </w:p>
    <w:p>
      <w:pPr>
        <w:pStyle w:val="ListParagraph"/>
        <w:numPr>
          <w:ilvl w:val="0"/>
          <w:numId w:val="2"/>
        </w:numPr>
        <w:spacing w:after="80" w:line="276"/>
      </w:pPr>
      <w:r>
        <w:rPr>
          <w:rFonts w:ascii="Calibri" w:cs="Calibri" w:eastAsia="Calibri" w:hAnsi="Calibri"/>
          <w:b/>
          <w:bCs/>
          <w:color w:val="222222"/>
          <w:sz w:val="21"/>
          <w:szCs w:val="21"/>
        </w:rPr>
        <w:t xml:space="preserve">Stateless middleware.</w:t>
      </w:r>
      <w:r>
        <w:rPr>
          <w:rFonts w:ascii="Calibri" w:cs="Calibri" w:eastAsia="Calibri" w:hAnsi="Calibri"/>
          <w:color w:val="222222"/>
          <w:sz w:val="21"/>
          <w:szCs w:val="21"/>
        </w:rPr>
        <w:t xml:space="preserve"> Instances can be added behind a load balancer with no session affinity.</w:t>
      </w:r>
    </w:p>
    <w:p>
      <w:pPr>
        <w:pStyle w:val="ListParagraph"/>
        <w:numPr>
          <w:ilvl w:val="0"/>
          <w:numId w:val="2"/>
        </w:numPr>
        <w:spacing w:after="80" w:line="276"/>
      </w:pPr>
      <w:r>
        <w:rPr>
          <w:rFonts w:ascii="Calibri" w:cs="Calibri" w:eastAsia="Calibri" w:hAnsi="Calibri"/>
          <w:b/>
          <w:bCs/>
          <w:color w:val="222222"/>
          <w:sz w:val="21"/>
          <w:szCs w:val="21"/>
        </w:rPr>
        <w:t xml:space="preserve">Token verification.</w:t>
      </w:r>
      <w:r>
        <w:rPr>
          <w:rFonts w:ascii="Calibri" w:cs="Calibri" w:eastAsia="Calibri" w:hAnsi="Calibri"/>
          <w:color w:val="222222"/>
          <w:sz w:val="21"/>
          <w:szCs w:val="21"/>
        </w:rPr>
        <w:t xml:space="preserve"> Each request verifies the access token against Supabase Auth, cached for 60 seconds per token. Under heavy load this cache is what keeps the call volume reasonable; consider raising it or verifying the JWT signature locally if latency becomes a concern.</w:t>
      </w:r>
    </w:p>
    <w:p>
      <w:pPr>
        <w:pStyle w:val="ListParagraph"/>
        <w:numPr>
          <w:ilvl w:val="0"/>
          <w:numId w:val="2"/>
        </w:numPr>
        <w:spacing w:after="80" w:line="276"/>
      </w:pPr>
      <w:r>
        <w:rPr>
          <w:rFonts w:ascii="Calibri" w:cs="Calibri" w:eastAsia="Calibri" w:hAnsi="Calibri"/>
          <w:b/>
          <w:bCs/>
          <w:color w:val="222222"/>
          <w:sz w:val="21"/>
          <w:szCs w:val="21"/>
        </w:rPr>
        <w:t xml:space="preserve">Catalogue payload.</w:t>
      </w:r>
      <w:r>
        <w:rPr>
          <w:rFonts w:ascii="Calibri" w:cs="Calibri" w:eastAsia="Calibri" w:hAnsi="Calibri"/>
          <w:color w:val="222222"/>
          <w:sz w:val="21"/>
          <w:szCs w:val="21"/>
        </w:rPr>
        <w:t xml:space="preserve"> Product photographs are embedded as data URIs and returned with the catalogue. This removes the need for image hosting but makes the catalogue response large. If the item count grows substantially, move the photographs to object storage or a CDN and return URLs.</w:t>
      </w:r>
    </w:p>
    <w:p>
      <w:pPr>
        <w:pStyle w:val="ListParagraph"/>
        <w:numPr>
          <w:ilvl w:val="0"/>
          <w:numId w:val="2"/>
        </w:numPr>
        <w:spacing w:after="80" w:line="276"/>
      </w:pPr>
      <w:r>
        <w:rPr>
          <w:rFonts w:ascii="Calibri" w:cs="Calibri" w:eastAsia="Calibri" w:hAnsi="Calibri"/>
          <w:b/>
          <w:bCs/>
          <w:color w:val="222222"/>
          <w:sz w:val="21"/>
          <w:szCs w:val="21"/>
        </w:rPr>
        <w:t xml:space="preserve">Atomic hot paths.</w:t>
      </w:r>
      <w:r>
        <w:rPr>
          <w:rFonts w:ascii="Calibri" w:cs="Calibri" w:eastAsia="Calibri" w:hAnsi="Calibri"/>
          <w:color w:val="222222"/>
          <w:sz w:val="21"/>
          <w:szCs w:val="21"/>
        </w:rPr>
        <w:t xml:space="preserve"> Stock and allocation updates use database functions, so concurrent orders for the last unit of stock resolve correctly rather than over-committing.</w:t>
      </w:r>
    </w:p>
    <w:p>
      <w:pPr>
        <w:pStyle w:val="ListParagraph"/>
        <w:numPr>
          <w:ilvl w:val="0"/>
          <w:numId w:val="2"/>
        </w:numPr>
        <w:spacing w:after="80" w:line="276"/>
      </w:pPr>
      <w:r>
        <w:rPr>
          <w:rFonts w:ascii="Calibri" w:cs="Calibri" w:eastAsia="Calibri" w:hAnsi="Calibri"/>
          <w:b/>
          <w:bCs/>
          <w:color w:val="222222"/>
          <w:sz w:val="21"/>
          <w:szCs w:val="21"/>
        </w:rPr>
        <w:t xml:space="preserve">Orders as documents.</w:t>
      </w:r>
      <w:r>
        <w:rPr>
          <w:rFonts w:ascii="Calibri" w:cs="Calibri" w:eastAsia="Calibri" w:hAnsi="Calibri"/>
          <w:color w:val="222222"/>
          <w:sz w:val="21"/>
          <w:szCs w:val="21"/>
        </w:rPr>
        <w:t xml:space="preserve"> Each order is one jsonb row. This keeps reads simple; if order volume grows into the hundreds of thousands, add indexes on the status and employee columns and consider extracting order lines into their own table for reporting.</w:t>
      </w:r>
    </w:p>
    <w:p>
      <w:pPr>
        <w:pStyle w:val="ListParagraph"/>
        <w:numPr>
          <w:ilvl w:val="0"/>
          <w:numId w:val="2"/>
        </w:numPr>
        <w:spacing w:after="80" w:line="276"/>
      </w:pPr>
      <w:r>
        <w:rPr>
          <w:rFonts w:ascii="Calibri" w:cs="Calibri" w:eastAsia="Calibri" w:hAnsi="Calibri"/>
          <w:b/>
          <w:bCs/>
          <w:color w:val="222222"/>
          <w:sz w:val="21"/>
          <w:szCs w:val="21"/>
        </w:rPr>
        <w:t xml:space="preserve">Cold starts.</w:t>
      </w:r>
      <w:r>
        <w:rPr>
          <w:rFonts w:ascii="Calibri" w:cs="Calibri" w:eastAsia="Calibri" w:hAnsi="Calibri"/>
          <w:color w:val="222222"/>
          <w:sz w:val="21"/>
          <w:szCs w:val="21"/>
        </w:rPr>
        <w:t xml:space="preserve"> On serverless hosting the first request after an idle period pays an initialisation cost. A persistent host removes this.</w:t>
      </w:r>
    </w:p>
    <w:p>
      <w:pPr>
        <w:pStyle w:val="Heading1"/>
        <w:spacing w:after="160" w:before="360"/>
      </w:pPr>
      <w:r>
        <w:t xml:space="preserve">9. Backup, recovery and retention</w:t>
      </w:r>
    </w:p>
    <w:p>
      <w:pPr>
        <w:pStyle w:val="ListParagraph"/>
        <w:numPr>
          <w:ilvl w:val="0"/>
          <w:numId w:val="2"/>
        </w:numPr>
        <w:spacing w:after="80" w:line="276"/>
      </w:pPr>
      <w:r>
        <w:rPr>
          <w:rFonts w:ascii="Calibri" w:cs="Calibri" w:eastAsia="Calibri" w:hAnsi="Calibri"/>
          <w:sz w:val="21"/>
          <w:szCs w:val="21"/>
        </w:rPr>
        <w:t xml:space="preserve">Supabase takes automatic daily backups on paid plans. Confirm the retention period matches the client's requirement and that point-in-time recovery is enabled if needed.</w:t>
      </w:r>
    </w:p>
    <w:p>
      <w:pPr>
        <w:pStyle w:val="ListParagraph"/>
        <w:numPr>
          <w:ilvl w:val="0"/>
          <w:numId w:val="2"/>
        </w:numPr>
        <w:spacing w:after="80" w:line="276"/>
      </w:pPr>
      <w:r>
        <w:rPr>
          <w:rFonts w:ascii="Calibri" w:cs="Calibri" w:eastAsia="Calibri" w:hAnsi="Calibri"/>
          <w:sz w:val="21"/>
          <w:szCs w:val="21"/>
        </w:rPr>
        <w:t xml:space="preserve">Take a manual backup immediately before running the setup script or any release that changes the schema.</w:t>
      </w:r>
    </w:p>
    <w:p>
      <w:pPr>
        <w:pStyle w:val="ListParagraph"/>
        <w:numPr>
          <w:ilvl w:val="0"/>
          <w:numId w:val="2"/>
        </w:numPr>
        <w:spacing w:after="80" w:line="276"/>
      </w:pPr>
      <w:r>
        <w:rPr>
          <w:rFonts w:ascii="Calibri" w:cs="Calibri" w:eastAsia="Calibri" w:hAnsi="Calibri"/>
          <w:sz w:val="21"/>
          <w:szCs w:val="21"/>
        </w:rPr>
        <w:t xml:space="preserve">Test a restore into a scratch project at least once before go-live — an untested backup is not a backup.</w:t>
      </w:r>
    </w:p>
    <w:p>
      <w:pPr>
        <w:pStyle w:val="ListParagraph"/>
        <w:numPr>
          <w:ilvl w:val="0"/>
          <w:numId w:val="2"/>
        </w:numPr>
        <w:spacing w:after="80" w:line="276"/>
      </w:pPr>
      <w:r>
        <w:rPr>
          <w:rFonts w:ascii="Calibri" w:cs="Calibri" w:eastAsia="Calibri" w:hAnsi="Calibri"/>
          <w:sz w:val="21"/>
          <w:szCs w:val="21"/>
        </w:rPr>
        <w:t xml:space="preserve">The middleware and web portal hold no durable state; recovery is a redeploy from the repository.</w:t>
      </w:r>
    </w:p>
    <w:p>
      <w:pPr>
        <w:pStyle w:val="ListParagraph"/>
        <w:numPr>
          <w:ilvl w:val="0"/>
          <w:numId w:val="2"/>
        </w:numPr>
        <w:spacing w:after="80" w:line="276"/>
      </w:pPr>
      <w:r>
        <w:rPr>
          <w:rFonts w:ascii="Calibri" w:cs="Calibri" w:eastAsia="Calibri" w:hAnsi="Calibri"/>
          <w:sz w:val="21"/>
          <w:szCs w:val="21"/>
        </w:rPr>
        <w:t xml:space="preserve">Personal data lives in profiles and in the employees master. Account deletion removes the profile, its allocations, carts and notifications, and the Supabase Auth user; orders are retained with the employee name snapshotted for business record-keeping.</w:t>
      </w:r>
    </w:p>
    <w:p>
      <w:pPr>
        <w:pStyle w:val="Heading1"/>
        <w:spacing w:after="160" w:before="360"/>
      </w:pPr>
      <w:r>
        <w:t xml:space="preserve">10. Monitoring and operations</w:t>
      </w:r>
    </w:p>
    <w:tbl>
      <w:tblPr>
        <w:tblW w:type="dxa" w:w="10080"/>
        <w:tblBorders>
          <w:top w:val="single" w:color="D6DEE6" w:sz="2"/>
          <w:left w:val="single" w:color="D6DEE6" w:sz="2"/>
          <w:bottom w:val="single" w:color="D6DEE6" w:sz="2"/>
          <w:right w:val="single" w:color="D6DEE6" w:sz="2"/>
          <w:insideH w:val="single" w:color="D6DEE6" w:sz="2"/>
          <w:insideV w:val="single" w:color="D6DEE6" w:sz="2"/>
        </w:tblBorders>
      </w:tblPr>
      <w:tblGrid>
        <w:gridCol w:w="3024"/>
        <w:gridCol w:w="3024"/>
        <w:gridCol w:w="4032"/>
      </w:tblGrid>
      <w:tr>
        <w:trPr>
          <w:tblHeader/>
        </w:trPr>
        <w:tc>
          <w:tcPr>
            <w:tcW w:type="dxa" w:w="3024"/>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What to watch</w:t>
            </w:r>
          </w:p>
        </w:tc>
        <w:tc>
          <w:tcPr>
            <w:tcW w:type="dxa" w:w="3024"/>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Where</w:t>
            </w:r>
          </w:p>
        </w:tc>
        <w:tc>
          <w:tcPr>
            <w:tcW w:type="dxa" w:w="4032"/>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Why it matters</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GET /api/health</w:t>
            </w:r>
          </w:p>
        </w:tc>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Middleware</w:t>
            </w:r>
          </w:p>
        </w:tc>
        <w:tc>
          <w:tcPr>
            <w:tcW w:type="dxa" w:w="403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Reports storage mode, auth mode and ERP provider. Should report supabase and the intended ERP provider — if it reports local, the environment is misconfigured.</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ERP event log</w:t>
            </w:r>
          </w:p>
        </w:tc>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Store Module → Fulfilment → API / Event Log</w:t>
            </w:r>
          </w:p>
        </w:tc>
        <w:tc>
          <w:tcPr>
            <w:tcW w:type="dxa" w:w="403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Any ERP call that failed twice is recorded here and needs manual re-sync</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Error rate and latency</w:t>
            </w:r>
          </w:p>
        </w:tc>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Host platform metrics</w:t>
            </w:r>
          </w:p>
        </w:tc>
        <w:tc>
          <w:tcPr>
            <w:tcW w:type="dxa" w:w="403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Rising 5xx usually indicates a database or ERP problem</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Database size and connections</w:t>
            </w:r>
          </w:p>
        </w:tc>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Supabase dashboard</w:t>
            </w:r>
          </w:p>
        </w:tc>
        <w:tc>
          <w:tcPr>
            <w:tcW w:type="dxa" w:w="403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Connection exhaustion is the usual first ceiling</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Authentication failures</w:t>
            </w:r>
          </w:p>
        </w:tc>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Supabase Auth logs</w:t>
            </w:r>
          </w:p>
        </w:tc>
        <w:tc>
          <w:tcPr>
            <w:tcW w:type="dxa" w:w="403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Spikes suggest credential attacks</w:t>
            </w:r>
          </w:p>
        </w:tc>
      </w:tr>
      <w:tr>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Orders stuck awaiting approval past the deadline</w:t>
            </w:r>
          </w:p>
        </w:tc>
        <w:tc>
          <w:tcPr>
            <w:tcW w:type="dxa" w:w="302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All Orders</w:t>
            </w:r>
          </w:p>
        </w:tc>
        <w:tc>
          <w:tcPr>
            <w:tcW w:type="dxa" w:w="403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Symptom of the sweep problem described in section 12</w:t>
            </w:r>
          </w:p>
        </w:tc>
      </w:tr>
    </w:tbl>
    <w:p>
      <w:r>
        <w:br w:type="page"/>
      </w:r>
    </w:p>
    <w:p>
      <w:pPr>
        <w:pStyle w:val="Heading1"/>
        <w:spacing w:after="160" w:before="360"/>
      </w:pPr>
      <w:r>
        <w:t xml:space="preserve">11. Release process</w:t>
      </w:r>
    </w:p>
    <w:p>
      <w:pPr>
        <w:pStyle w:val="ListParagraph"/>
        <w:numPr>
          <w:ilvl w:val="0"/>
          <w:numId w:val="6"/>
        </w:numPr>
        <w:spacing w:after="80" w:line="276"/>
      </w:pPr>
      <w:r>
        <w:rPr>
          <w:rFonts w:ascii="Calibri" w:cs="Calibri" w:eastAsia="Calibri" w:hAnsi="Calibri"/>
          <w:sz w:val="21"/>
          <w:szCs w:val="21"/>
        </w:rPr>
        <w:t xml:space="preserve">Merge to the main branch; work is committed with a description of the behaviour that changed.</w:t>
      </w:r>
    </w:p>
    <w:p>
      <w:pPr>
        <w:pStyle w:val="ListParagraph"/>
        <w:numPr>
          <w:ilvl w:val="0"/>
          <w:numId w:val="6"/>
        </w:numPr>
        <w:spacing w:after="80" w:line="276"/>
      </w:pPr>
      <w:r>
        <w:rPr>
          <w:rFonts w:ascii="Calibri" w:cs="Calibri" w:eastAsia="Calibri" w:hAnsi="Calibri"/>
          <w:sz w:val="21"/>
          <w:szCs w:val="21"/>
        </w:rPr>
        <w:t xml:space="preserve">Back up the production database.</w:t>
      </w:r>
    </w:p>
    <w:p>
      <w:pPr>
        <w:pStyle w:val="ListParagraph"/>
        <w:numPr>
          <w:ilvl w:val="0"/>
          <w:numId w:val="6"/>
        </w:numPr>
        <w:spacing w:after="80" w:line="276"/>
      </w:pPr>
      <w:r>
        <w:rPr>
          <w:rFonts w:ascii="Calibri" w:cs="Calibri" w:eastAsia="Calibri" w:hAnsi="Calibri"/>
          <w:sz w:val="21"/>
          <w:szCs w:val="21"/>
        </w:rPr>
        <w:t xml:space="preserve">Run middleware/supabase/setup-all-v3.sql in Supabase if the release changes the schema or master data.</w:t>
      </w:r>
    </w:p>
    <w:p>
      <w:pPr>
        <w:pStyle w:val="ListParagraph"/>
        <w:numPr>
          <w:ilvl w:val="0"/>
          <w:numId w:val="6"/>
        </w:numPr>
        <w:spacing w:after="80" w:line="276"/>
      </w:pPr>
      <w:r>
        <w:rPr>
          <w:rFonts w:ascii="Calibri" w:cs="Calibri" w:eastAsia="Calibri" w:hAnsi="Calibri"/>
          <w:sz w:val="21"/>
          <w:szCs w:val="21"/>
        </w:rPr>
        <w:t xml:space="preserve">Deploy the middleware and confirm GET /api/health reports the expected storage, auth and ERP modes.</w:t>
      </w:r>
    </w:p>
    <w:p>
      <w:pPr>
        <w:pStyle w:val="ListParagraph"/>
        <w:numPr>
          <w:ilvl w:val="0"/>
          <w:numId w:val="6"/>
        </w:numPr>
        <w:spacing w:after="80" w:line="276"/>
      </w:pPr>
      <w:r>
        <w:rPr>
          <w:rFonts w:ascii="Calibri" w:cs="Calibri" w:eastAsia="Calibri" w:hAnsi="Calibri"/>
          <w:sz w:val="21"/>
          <w:szCs w:val="21"/>
        </w:rPr>
        <w:t xml:space="preserve">Rebuild and deploy the web portal with the correct VITE_API_URL.</w:t>
      </w:r>
    </w:p>
    <w:p>
      <w:pPr>
        <w:pStyle w:val="ListParagraph"/>
        <w:numPr>
          <w:ilvl w:val="0"/>
          <w:numId w:val="6"/>
        </w:numPr>
        <w:spacing w:after="80" w:line="276"/>
      </w:pPr>
      <w:r>
        <w:rPr>
          <w:rFonts w:ascii="Calibri" w:cs="Calibri" w:eastAsia="Calibri" w:hAnsi="Calibri"/>
          <w:sz w:val="21"/>
          <w:szCs w:val="21"/>
        </w:rPr>
        <w:t xml:space="preserve">Smoke-test the critical path: sign in, shop, place an order, approve it, raise a delivery note, acknowledge receipt.</w:t>
      </w:r>
    </w:p>
    <w:p>
      <w:pPr>
        <w:pStyle w:val="ListParagraph"/>
        <w:numPr>
          <w:ilvl w:val="0"/>
          <w:numId w:val="6"/>
        </w:numPr>
        <w:spacing w:after="80" w:line="276"/>
      </w:pPr>
      <w:r>
        <w:rPr>
          <w:rFonts w:ascii="Calibri" w:cs="Calibri" w:eastAsia="Calibri" w:hAnsi="Calibri"/>
          <w:sz w:val="21"/>
          <w:szCs w:val="21"/>
        </w:rPr>
        <w:t xml:space="preserve">If the mobile application changed, build and submit through EAS and the store consoles.</w:t>
      </w:r>
    </w:p>
    <w:p>
      <w:pPr>
        <w:pBdr>
          <w:left w:val="single" w:color="C25610" w:sz="18"/>
        </w:pBdr>
        <w:shd w:fill="FFF4E8" w:val="clear"/>
        <w:spacing w:after="0" w:before="140" w:line="260"/>
        <w:ind w:left="160" w:right="160"/>
      </w:pPr>
      <w:r>
        <w:rPr>
          <w:rFonts w:ascii="Calibri" w:cs="Calibri" w:eastAsia="Calibri" w:hAnsi="Calibri"/>
          <w:b/>
          <w:bCs/>
          <w:color w:val="0F2A43"/>
          <w:sz w:val="21"/>
          <w:szCs w:val="21"/>
        </w:rPr>
        <w:t xml:space="preserve">Order matters</w:t>
      </w:r>
    </w:p>
    <w:p>
      <w:pPr>
        <w:pBdr>
          <w:left w:val="single" w:color="C25610" w:sz="18"/>
        </w:pBdr>
        <w:shd w:fill="FFF4E8" w:val="clear"/>
        <w:spacing w:after="200" w:before="0" w:line="260"/>
        <w:ind w:left="160" w:right="160"/>
      </w:pPr>
      <w:r>
        <w:rPr>
          <w:rFonts w:ascii="Calibri" w:cs="Calibri" w:eastAsia="Calibri" w:hAnsi="Calibri"/>
          <w:color w:val="333333"/>
          <w:sz w:val="20"/>
          <w:szCs w:val="20"/>
        </w:rPr>
        <w:t xml:space="preserve">Deploy the database change before the middleware that depends on it, and the middleware before the web build that calls it. The reverse order produces errors that look like application faults.</w:t>
      </w:r>
    </w:p>
    <w:p>
      <w:pPr>
        <w:pStyle w:val="Heading1"/>
        <w:spacing w:after="160" w:before="360"/>
      </w:pPr>
      <w:r>
        <w:t xml:space="preserve">12. Production-readiness actions</w:t>
      </w:r>
    </w:p>
    <w:p>
      <w:pPr>
        <w:spacing w:after="120" w:line="276"/>
      </w:pPr>
      <w:r>
        <w:rPr>
          <w:rFonts w:ascii="Calibri" w:cs="Calibri" w:eastAsia="Calibri" w:hAnsi="Calibri"/>
          <w:color w:val="222222"/>
          <w:sz w:val="21"/>
          <w:szCs w:val="21"/>
        </w:rPr>
        <w:t xml:space="preserve">These are the known gaps between the current state and a production-grade deployment. The first two change behaviour and should be treated as blocking.</w:t>
      </w:r>
    </w:p>
    <w:tbl>
      <w:tblPr>
        <w:tblW w:type="dxa" w:w="10080"/>
        <w:tblBorders>
          <w:top w:val="single" w:color="D6DEE6" w:sz="2"/>
          <w:left w:val="single" w:color="D6DEE6" w:sz="2"/>
          <w:bottom w:val="single" w:color="D6DEE6" w:sz="2"/>
          <w:right w:val="single" w:color="D6DEE6" w:sz="2"/>
          <w:insideH w:val="single" w:color="D6DEE6" w:sz="2"/>
          <w:insideV w:val="single" w:color="D6DEE6" w:sz="2"/>
        </w:tblBorders>
      </w:tblPr>
      <w:tblGrid>
        <w:gridCol w:w="432"/>
        <w:gridCol w:w="2160"/>
        <w:gridCol w:w="1080"/>
        <w:gridCol w:w="3168"/>
        <w:gridCol w:w="3240"/>
      </w:tblGrid>
      <w:tr>
        <w:trPr>
          <w:tblHeader/>
        </w:trPr>
        <w:tc>
          <w:tcPr>
            <w:tcW w:type="dxa" w:w="432"/>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t>
            </w:r>
          </w:p>
        </w:tc>
        <w:tc>
          <w:tcPr>
            <w:tcW w:type="dxa" w:w="2160"/>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Gap</w:t>
            </w:r>
          </w:p>
        </w:tc>
        <w:tc>
          <w:tcPr>
            <w:tcW w:type="dxa" w:w="1080"/>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Severity</w:t>
            </w:r>
          </w:p>
        </w:tc>
        <w:tc>
          <w:tcPr>
            <w:tcW w:type="dxa" w:w="3168"/>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Detail</w:t>
            </w:r>
          </w:p>
        </w:tc>
        <w:tc>
          <w:tcPr>
            <w:tcW w:type="dxa" w:w="3240"/>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Recommended action</w:t>
            </w:r>
          </w:p>
        </w:tc>
      </w:tr>
      <w:tr>
        <w:tc>
          <w:tcPr>
            <w:tcW w:type="dxa" w:w="43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1</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Background sweep does not run reliably on serverless hosting</w:t>
            </w:r>
          </w:p>
        </w:tc>
        <w:tc>
          <w:tcPr>
            <w:tcW w:type="dxa" w:w="108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Blocking</w:t>
            </w:r>
          </w:p>
        </w:tc>
        <w:tc>
          <w:tcPr>
            <w:tcW w:type="dxa" w:w="316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The interval that expires ten-minute carts and auto-cancels three-day approvals only starts when the middleware runs as a long-lived process. On Vercel it runs opportunistically on incoming requests.</w:t>
            </w:r>
          </w:p>
        </w:tc>
        <w:tc>
          <w:tcPr>
            <w:tcW w:type="dxa" w:w="32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Either move the middleware to a persistent host, or add a scheduled job (for example Vercel Cron) that calls a sweep endpoint every minute.</w:t>
            </w:r>
          </w:p>
        </w:tc>
      </w:tr>
      <w:tr>
        <w:tc>
          <w:tcPr>
            <w:tcW w:type="dxa" w:w="43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2</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Mobile application points at a private LAN address over HTTP</w:t>
            </w:r>
          </w:p>
        </w:tc>
        <w:tc>
          <w:tcPr>
            <w:tcW w:type="dxa" w:w="108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Blocking</w:t>
            </w:r>
          </w:p>
        </w:tc>
        <w:tc>
          <w:tcPr>
            <w:tcW w:type="dxa" w:w="316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mobile/src/config.js contains a development address. Android blocks cleartext HTTP, so a store build would not reach the server.</w:t>
            </w:r>
          </w:p>
        </w:tc>
        <w:tc>
          <w:tcPr>
            <w:tcW w:type="dxa" w:w="32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Set the public HTTPS middleware address, ideally through an Expo build-time configuration value rather than a source edit.</w:t>
            </w:r>
          </w:p>
        </w:tc>
      </w:tr>
      <w:tr>
        <w:tc>
          <w:tcPr>
            <w:tcW w:type="dxa" w:w="43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3</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No rate limiting</w:t>
            </w:r>
          </w:p>
        </w:tc>
        <w:tc>
          <w:tcPr>
            <w:tcW w:type="dxa" w:w="108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High</w:t>
            </w:r>
          </w:p>
        </w:tc>
        <w:tc>
          <w:tcPr>
            <w:tcW w:type="dxa" w:w="316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The authentication endpoints accept unlimited attempts.</w:t>
            </w:r>
          </w:p>
        </w:tc>
        <w:tc>
          <w:tcPr>
            <w:tcW w:type="dxa" w:w="32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Add express-rate-limit, tightest on sign-in, sign-up and the employee lookup endpoint.</w:t>
            </w:r>
          </w:p>
        </w:tc>
      </w:tr>
      <w:tr>
        <w:tc>
          <w:tcPr>
            <w:tcW w:type="dxa" w:w="43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4</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CORS accepts any origin</w:t>
            </w:r>
          </w:p>
        </w:tc>
        <w:tc>
          <w:tcPr>
            <w:tcW w:type="dxa" w:w="108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High</w:t>
            </w:r>
          </w:p>
        </w:tc>
        <w:tc>
          <w:tcPr>
            <w:tcW w:type="dxa" w:w="316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The API is callable from any web page.</w:t>
            </w:r>
          </w:p>
        </w:tc>
        <w:tc>
          <w:tcPr>
            <w:tcW w:type="dxa" w:w="32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Restrict the CORS origin list to the deployed portal addresses.</w:t>
            </w:r>
          </w:p>
        </w:tc>
      </w:tr>
      <w:tr>
        <w:tc>
          <w:tcPr>
            <w:tcW w:type="dxa" w:w="43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5</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Supabase e-mail confirmation disabled</w:t>
            </w:r>
          </w:p>
        </w:tc>
        <w:tc>
          <w:tcPr>
            <w:tcW w:type="dxa" w:w="108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Medium</w:t>
            </w:r>
          </w:p>
        </w:tc>
        <w:tc>
          <w:tcPr>
            <w:tcW w:type="dxa" w:w="316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Turned off so the first roll-out was smooth. Addresses are currently unverified.</w:t>
            </w:r>
          </w:p>
        </w:tc>
        <w:tc>
          <w:tcPr>
            <w:tcW w:type="dxa" w:w="32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Re-enable it; both clients already handle the confirmation flow.</w:t>
            </w:r>
          </w:p>
        </w:tc>
      </w:tr>
      <w:tr>
        <w:tc>
          <w:tcPr>
            <w:tcW w:type="dxa" w:w="43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6</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Focus 9 adapter is a stub</w:t>
            </w:r>
          </w:p>
        </w:tc>
        <w:tc>
          <w:tcPr>
            <w:tcW w:type="dxa" w:w="108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Medium</w:t>
            </w:r>
          </w:p>
        </w:tc>
        <w:tc>
          <w:tcPr>
            <w:tcW w:type="dxa" w:w="316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The interface and call sites are complete; the HTTP calls are marked with integration points.</w:t>
            </w:r>
          </w:p>
        </w:tc>
        <w:tc>
          <w:tcPr>
            <w:tcW w:type="dxa" w:w="32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Implement against the Focus Softnet API when it is published, then switch ERP_PROVIDER.</w:t>
            </w:r>
          </w:p>
        </w:tc>
      </w:tr>
      <w:tr>
        <w:tc>
          <w:tcPr>
            <w:tcW w:type="dxa" w:w="43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7</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No automated test suite</w:t>
            </w:r>
          </w:p>
        </w:tc>
        <w:tc>
          <w:tcPr>
            <w:tcW w:type="dxa" w:w="108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Medium</w:t>
            </w:r>
          </w:p>
        </w:tc>
        <w:tc>
          <w:tcPr>
            <w:tcW w:type="dxa" w:w="316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Regressions are caught by manual testing only.</w:t>
            </w:r>
          </w:p>
        </w:tc>
        <w:tc>
          <w:tcPr>
            <w:tcW w:type="dxa" w:w="32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Add API-level tests for the allocation, reservation, approval-window and return-window rules — these carry the most business risk.</w:t>
            </w:r>
          </w:p>
        </w:tc>
      </w:tr>
      <w:tr>
        <w:tc>
          <w:tcPr>
            <w:tcW w:type="dxa" w:w="43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8</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Legacy unique constraint surfaces a raw database error</w:t>
            </w:r>
          </w:p>
        </w:tc>
        <w:tc>
          <w:tcPr>
            <w:tcW w:type="dxa" w:w="108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Low</w:t>
            </w:r>
          </w:p>
        </w:tc>
        <w:tc>
          <w:tcPr>
            <w:tcW w:type="dxa" w:w="316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profiles_emp_id_key, inherited from the first schema, correctly prevents two accounts sharing an Employee ID but reports the failure in PostgreSQL's wording.</w:t>
            </w:r>
          </w:p>
        </w:tc>
        <w:tc>
          <w:tcPr>
            <w:tcW w:type="dxa" w:w="32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Add a check in the middleware that returns a readable message naming the account that already holds the ID.</w:t>
            </w:r>
          </w:p>
        </w:tc>
      </w:tr>
      <w:tr>
        <w:tc>
          <w:tcPr>
            <w:tcW w:type="dxa" w:w="43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9</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An employee log-in can be created bypassing the Employee Master</w:t>
            </w:r>
          </w:p>
        </w:tc>
        <w:tc>
          <w:tcPr>
            <w:tcW w:type="dxa" w:w="108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Low</w:t>
            </w:r>
          </w:p>
        </w:tc>
        <w:tc>
          <w:tcPr>
            <w:tcW w:type="dxa" w:w="316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The administrator's New log-in form can create an Employee account without a master record, producing a generated identifier.</w:t>
            </w:r>
          </w:p>
        </w:tc>
        <w:tc>
          <w:tcPr>
            <w:tcW w:type="dxa" w:w="32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Either require an Employee Master record for that option or remove the Employee option from that form.</w:t>
            </w:r>
          </w:p>
        </w:tc>
      </w:tr>
      <w:tr>
        <w:tc>
          <w:tcPr>
            <w:tcW w:type="dxa" w:w="43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10</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Product photographs are embedded in the API response</w:t>
            </w:r>
          </w:p>
        </w:tc>
        <w:tc>
          <w:tcPr>
            <w:tcW w:type="dxa" w:w="108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Low</w:t>
            </w:r>
          </w:p>
        </w:tc>
        <w:tc>
          <w:tcPr>
            <w:tcW w:type="dxa" w:w="316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Keeps deployment simple but makes the catalogue payload large.</w:t>
            </w:r>
          </w:p>
        </w:tc>
        <w:tc>
          <w:tcPr>
            <w:tcW w:type="dxa" w:w="32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Move to object storage with a CDN if the catalogue grows significantly.</w:t>
            </w:r>
          </w:p>
        </w:tc>
      </w:tr>
      <w:tr>
        <w:tc>
          <w:tcPr>
            <w:tcW w:type="dxa" w:w="432"/>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11</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No push notifications</w:t>
            </w:r>
          </w:p>
        </w:tc>
        <w:tc>
          <w:tcPr>
            <w:tcW w:type="dxa" w:w="108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Low</w:t>
            </w:r>
          </w:p>
        </w:tc>
        <w:tc>
          <w:tcPr>
            <w:tcW w:type="dxa" w:w="3168"/>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The applications poll for notifications every 30 seconds while open.</w:t>
            </w:r>
          </w:p>
        </w:tc>
        <w:tc>
          <w:tcPr>
            <w:tcW w:type="dxa" w:w="324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Add Expo push notifications for approval and delivery events.</w:t>
            </w:r>
          </w:p>
        </w:tc>
      </w:tr>
    </w:tbl>
    <w:p>
      <w:r>
        <w:br w:type="page"/>
      </w:r>
    </w:p>
    <w:p>
      <w:pPr>
        <w:pStyle w:val="Heading1"/>
        <w:spacing w:after="160" w:before="360"/>
      </w:pPr>
      <w:r>
        <w:t xml:space="preserve">13. Appendix — go-live checklist</w:t>
      </w:r>
    </w:p>
    <w:tbl>
      <w:tblPr>
        <w:tblW w:type="dxa" w:w="10080"/>
        <w:tblBorders>
          <w:top w:val="single" w:color="D6DEE6" w:sz="2"/>
          <w:left w:val="single" w:color="D6DEE6" w:sz="2"/>
          <w:bottom w:val="single" w:color="D6DEE6" w:sz="2"/>
          <w:right w:val="single" w:color="D6DEE6" w:sz="2"/>
          <w:insideH w:val="single" w:color="D6DEE6" w:sz="2"/>
          <w:insideV w:val="single" w:color="D6DEE6" w:sz="2"/>
        </w:tblBorders>
      </w:tblPr>
      <w:tblGrid>
        <w:gridCol w:w="8064"/>
        <w:gridCol w:w="2016"/>
      </w:tblGrid>
      <w:tr>
        <w:trPr>
          <w:tblHeader/>
        </w:trPr>
        <w:tc>
          <w:tcPr>
            <w:tcW w:type="dxa" w:w="8064"/>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Step</w:t>
            </w:r>
          </w:p>
        </w:tc>
        <w:tc>
          <w:tcPr>
            <w:tcW w:type="dxa" w:w="2016"/>
            <w:shd w:fill="0F2A43"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Done</w:t>
            </w:r>
          </w:p>
        </w:tc>
      </w:tr>
      <w:tr>
        <w:tc>
          <w:tcPr>
            <w:tcW w:type="dxa" w:w="806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Production Supabase project created; backups and retention confirmed</w:t>
            </w:r>
          </w:p>
        </w:tc>
        <w:tc>
          <w:tcPr>
            <w:tcW w:type="dxa" w:w="20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
            </w:r>
          </w:p>
        </w:tc>
      </w:tr>
      <w:tr>
        <w:tc>
          <w:tcPr>
            <w:tcW w:type="dxa" w:w="806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setup-all-v3.sql run; master data verified</w:t>
            </w:r>
          </w:p>
        </w:tc>
        <w:tc>
          <w:tcPr>
            <w:tcW w:type="dxa" w:w="20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
            </w:r>
          </w:p>
        </w:tc>
      </w:tr>
      <w:tr>
        <w:tc>
          <w:tcPr>
            <w:tcW w:type="dxa" w:w="806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Supabase e-mail confirmation enabled</w:t>
            </w:r>
          </w:p>
        </w:tc>
        <w:tc>
          <w:tcPr>
            <w:tcW w:type="dxa" w:w="20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
            </w:r>
          </w:p>
        </w:tc>
      </w:tr>
      <w:tr>
        <w:tc>
          <w:tcPr>
            <w:tcW w:type="dxa" w:w="806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Middleware deployed on a persistent host, or a scheduled sweep configured</w:t>
            </w:r>
          </w:p>
        </w:tc>
        <w:tc>
          <w:tcPr>
            <w:tcW w:type="dxa" w:w="20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
            </w:r>
          </w:p>
        </w:tc>
      </w:tr>
      <w:tr>
        <w:tc>
          <w:tcPr>
            <w:tcW w:type="dxa" w:w="806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All middleware environment variables set, including a strong JWT_SECRET</w:t>
            </w:r>
          </w:p>
        </w:tc>
        <w:tc>
          <w:tcPr>
            <w:tcW w:type="dxa" w:w="20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
            </w:r>
          </w:p>
        </w:tc>
      </w:tr>
      <w:tr>
        <w:tc>
          <w:tcPr>
            <w:tcW w:type="dxa" w:w="806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ADMIN_EMAILS reviewed and reduced to the intended administrators</w:t>
            </w:r>
          </w:p>
        </w:tc>
        <w:tc>
          <w:tcPr>
            <w:tcW w:type="dxa" w:w="20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
            </w:r>
          </w:p>
        </w:tc>
      </w:tr>
      <w:tr>
        <w:tc>
          <w:tcPr>
            <w:tcW w:type="dxa" w:w="806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CORS restricted to the portal origins</w:t>
            </w:r>
          </w:p>
        </w:tc>
        <w:tc>
          <w:tcPr>
            <w:tcW w:type="dxa" w:w="20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
            </w:r>
          </w:p>
        </w:tc>
      </w:tr>
      <w:tr>
        <w:tc>
          <w:tcPr>
            <w:tcW w:type="dxa" w:w="806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Rate limiting enabled on the authentication routes</w:t>
            </w:r>
          </w:p>
        </w:tc>
        <w:tc>
          <w:tcPr>
            <w:tcW w:type="dxa" w:w="20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
            </w:r>
          </w:p>
        </w:tc>
      </w:tr>
      <w:tr>
        <w:tc>
          <w:tcPr>
            <w:tcW w:type="dxa" w:w="806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Web portal built with the production VITE_API_URL and deployed over HTTPS</w:t>
            </w:r>
          </w:p>
        </w:tc>
        <w:tc>
          <w:tcPr>
            <w:tcW w:type="dxa" w:w="20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
            </w:r>
          </w:p>
        </w:tc>
      </w:tr>
      <w:tr>
        <w:tc>
          <w:tcPr>
            <w:tcW w:type="dxa" w:w="806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Single-page-application rewrite rule configured on the web host</w:t>
            </w:r>
          </w:p>
        </w:tc>
        <w:tc>
          <w:tcPr>
            <w:tcW w:type="dxa" w:w="20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
            </w:r>
          </w:p>
        </w:tc>
      </w:tr>
      <w:tr>
        <w:tc>
          <w:tcPr>
            <w:tcW w:type="dxa" w:w="806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Mobile configuration pointed at the public HTTPS address</w:t>
            </w:r>
          </w:p>
        </w:tc>
        <w:tc>
          <w:tcPr>
            <w:tcW w:type="dxa" w:w="20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
            </w:r>
          </w:p>
        </w:tc>
      </w:tr>
      <w:tr>
        <w:tc>
          <w:tcPr>
            <w:tcW w:type="dxa" w:w="806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Android build produced, Data safety form completed, account deletion declared</w:t>
            </w:r>
          </w:p>
        </w:tc>
        <w:tc>
          <w:tcPr>
            <w:tcW w:type="dxa" w:w="20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
            </w:r>
          </w:p>
        </w:tc>
      </w:tr>
      <w:tr>
        <w:tc>
          <w:tcPr>
            <w:tcW w:type="dxa" w:w="806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ERP credentials configured and a test document verified end to end</w:t>
            </w:r>
          </w:p>
        </w:tc>
        <w:tc>
          <w:tcPr>
            <w:tcW w:type="dxa" w:w="20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
            </w:r>
          </w:p>
        </w:tc>
      </w:tr>
      <w:tr>
        <w:tc>
          <w:tcPr>
            <w:tcW w:type="dxa" w:w="806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Employee Master loaded with the real EGA employee list</w:t>
            </w:r>
          </w:p>
        </w:tc>
        <w:tc>
          <w:tcPr>
            <w:tcW w:type="dxa" w:w="20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
            </w:r>
          </w:p>
        </w:tc>
      </w:tr>
      <w:tr>
        <w:tc>
          <w:tcPr>
            <w:tcW w:type="dxa" w:w="806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Price lists, allocations and validity dates confirmed with EGA</w:t>
            </w:r>
          </w:p>
        </w:tc>
        <w:tc>
          <w:tcPr>
            <w:tcW w:type="dxa" w:w="20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
            </w:r>
          </w:p>
        </w:tc>
      </w:tr>
      <w:tr>
        <w:tc>
          <w:tcPr>
            <w:tcW w:type="dxa" w:w="806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Store and administrator log-ins created</w:t>
            </w:r>
          </w:p>
        </w:tc>
        <w:tc>
          <w:tcPr>
            <w:tcW w:type="dxa" w:w="20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
            </w:r>
          </w:p>
        </w:tc>
      </w:tr>
      <w:tr>
        <w:tc>
          <w:tcPr>
            <w:tcW w:type="dxa" w:w="806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Critical path smoke-tested in production</w:t>
            </w:r>
          </w:p>
        </w:tc>
        <w:tc>
          <w:tcPr>
            <w:tcW w:type="dxa" w:w="20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
            </w:r>
          </w:p>
        </w:tc>
      </w:tr>
      <w:tr>
        <w:tc>
          <w:tcPr>
            <w:tcW w:type="dxa" w:w="806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Monitoring and alerting configured; ERP event log ownership agreed</w:t>
            </w:r>
          </w:p>
        </w:tc>
        <w:tc>
          <w:tcPr>
            <w:tcW w:type="dxa" w:w="20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
            </w:r>
          </w:p>
        </w:tc>
      </w:tr>
      <w:tr>
        <w:tc>
          <w:tcPr>
            <w:tcW w:type="dxa" w:w="8064"/>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Backup restore tested into a scratch project</w:t>
            </w:r>
          </w:p>
        </w:tc>
        <w:tc>
          <w:tcPr>
            <w:tcW w:type="dxa" w:w="2016"/>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222222"/>
                <w:sz w:val="19"/>
                <w:szCs w:val="19"/>
              </w:rPr>
              <w:t xml:space="preserve"/>
            </w:r>
          </w:p>
        </w:tc>
      </w:tr>
    </w:tbl>
    <w:sectPr>
      <w:headerReference w:type="default" r:id="rId7"/>
      <w:footerReference w:type="default" r:id="rId8"/>
      <w:pgSz w:w="11906" w:h="16838" w:orient="portrait"/>
      <w:pgMar w:top="12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7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E6" w:sz="4" w:space="4"/>
      </w:pBdr>
      <w:spacing w:after="120"/>
      <w:jc w:val="right"/>
    </w:pPr>
    <w:r>
      <w:rPr>
        <w:rFonts w:ascii="Calibri" w:cs="Calibri" w:eastAsia="Calibri" w:hAnsi="Calibri"/>
        <w:color w:val="5B6B7B"/>
        <w:sz w:val="16"/>
        <w:szCs w:val="16"/>
      </w:rPr>
      <w:t xml:space="preserve">PPE Ordering Platform · Production Architecture &amp;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780" w:hanging="24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DEE6" w:sz="6" w:space="6"/>
      </w:pBdr>
      <w:spacing w:after="160" w:before="360"/>
    </w:pPr>
    <w:rPr>
      <w:rFonts w:ascii="Cambria" w:cs="Cambria" w:eastAsia="Cambria" w:hAnsi="Cambria"/>
      <w:b/>
      <w:bCs/>
      <w:color w:val="0F2A43"/>
      <w:sz w:val="32"/>
      <w:szCs w:val="32"/>
    </w:rPr>
  </w:style>
  <w:style w:type="paragraph" w:styleId="Heading2">
    <w:name w:val="Heading 2"/>
    <w:basedOn w:val="Normal"/>
    <w:next w:val="Normal"/>
    <w:qFormat/>
    <w:pPr>
      <w:spacing w:after="120" w:before="260"/>
    </w:pPr>
    <w:rPr>
      <w:rFonts w:ascii="Cambria" w:cs="Cambria" w:eastAsia="Cambria" w:hAnsi="Cambria"/>
      <w:b/>
      <w:bCs/>
      <w:color w:val="0F2A43"/>
      <w:sz w:val="25"/>
      <w:szCs w:val="25"/>
    </w:rPr>
  </w:style>
  <w:style w:type="paragraph" w:styleId="Heading3">
    <w:name w:val="Heading 3"/>
    <w:basedOn w:val="Normal"/>
    <w:next w:val="Normal"/>
    <w:qFormat/>
    <w:pPr>
      <w:spacing w:after="100" w:before="200"/>
    </w:pPr>
    <w:rPr>
      <w:rFonts w:ascii="Calibri" w:cs="Calibri" w:eastAsia="Calibri" w:hAnsi="Calibri"/>
      <w:b/>
      <w:bCs/>
      <w:color w:val="C2561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1b1a2c9df2fcfd823881e6763892e26de5558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PPE Ordering Platform — Production Architecture &amp; Deployment Guide</dc:title>
  <dc:creator>Prosafe Systems</dc:creator>
  <dc:description>Technical hand-over document</dc:description>
  <cp:lastModifiedBy>Un-named</cp:lastModifiedBy>
  <cp:revision>1</cp:revision>
  <dcterms:created xsi:type="dcterms:W3CDTF">2026-09-09T17:42:27.810Z</dcterms:created>
  <dcterms:modified xsi:type="dcterms:W3CDTF">2026-09-09T17:42:27.811Z</dcterms:modified>
</cp:coreProperties>
</file>

<file path=docProps/custom.xml><?xml version="1.0" encoding="utf-8"?>
<Properties xmlns="http://schemas.openxmlformats.org/officeDocument/2006/custom-properties" xmlns:vt="http://schemas.openxmlformats.org/officeDocument/2006/docPropsVTypes"/>
</file>