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The Impact of Digital Technology on Education: Revolutionizing Learning in the Modern Era</w:t>
      </w:r>
    </w:p>
    <w:p>
      <w:pPr>
        <w:spacing w:before="0" w:after="280"/>
      </w:pPr>
      <w:r>
        <w:rPr>
          <w:rFonts w:ascii="Calibri" w:hAnsi="Calibri"/>
          <w:i/>
          <w:color w:val="4682B4"/>
          <w:sz w:val="26"/>
        </w:rPr>
        <w:t>Week 1 Task: In-Depth Research Blog Post</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pPr>
              <w:spacing w:after="40" w:before="40"/>
            </w:pPr>
            <w:r>
              <w:rPr>
                <w:b/>
                <w:color w:val="333333"/>
                <w:sz w:val="21"/>
              </w:rPr>
              <w:t>Author:</w:t>
            </w:r>
          </w:p>
        </w:tc>
        <w:tc>
          <w:tcPr>
            <w:tcW w:type="dxa" w:w="4680"/>
            <w:shd w:fill="F0F4F8"/>
            <w:tcMar>
              <w:top w:w="80" w:type="dxa"/>
              <w:bottom w:w="80" w:type="dxa"/>
              <w:left w:w="120" w:type="dxa"/>
              <w:right w:w="120" w:type="dxa"/>
            </w:tcMar>
          </w:tcPr>
          <w:p>
            <w:pPr>
              <w:spacing w:after="40" w:before="40"/>
            </w:pPr>
            <w:r>
              <w:rPr>
                <w:b w:val="0"/>
                <w:color w:val="333333"/>
                <w:sz w:val="21"/>
              </w:rPr>
              <w:t>Sachin Vishwakarma</w:t>
            </w:r>
          </w:p>
        </w:tc>
      </w:tr>
      <w:tr>
        <w:tc>
          <w:tcPr>
            <w:tcW w:type="dxa" w:w="4680"/>
            <w:shd w:fill="F0F4F8"/>
            <w:tcMar>
              <w:top w:w="80" w:type="dxa"/>
              <w:bottom w:w="80" w:type="dxa"/>
              <w:left w:w="120" w:type="dxa"/>
              <w:right w:w="120" w:type="dxa"/>
            </w:tcMar>
          </w:tcPr>
          <w:p>
            <w:pPr>
              <w:spacing w:after="40" w:before="40"/>
            </w:pPr>
            <w:r>
              <w:rPr>
                <w:b/>
                <w:color w:val="333333"/>
                <w:sz w:val="21"/>
              </w:rPr>
              <w:t>Topic:</w:t>
            </w:r>
          </w:p>
        </w:tc>
        <w:tc>
          <w:tcPr>
            <w:tcW w:type="dxa" w:w="4680"/>
            <w:shd w:fill="F0F4F8"/>
            <w:tcMar>
              <w:top w:w="80" w:type="dxa"/>
              <w:bottom w:w="80" w:type="dxa"/>
              <w:left w:w="120" w:type="dxa"/>
              <w:right w:w="120" w:type="dxa"/>
            </w:tcMar>
          </w:tcPr>
          <w:p>
            <w:pPr>
              <w:spacing w:after="40" w:before="40"/>
            </w:pPr>
            <w:r>
              <w:rPr>
                <w:b w:val="0"/>
                <w:color w:val="333333"/>
                <w:sz w:val="21"/>
              </w:rPr>
              <w:t>The Impact of Digital Technology on Education</w:t>
            </w:r>
          </w:p>
        </w:tc>
      </w:tr>
    </w:tbl>
    <w:p>
      <w:pPr>
        <w:spacing w:after="200"/>
      </w:pPr>
    </w:p>
    <w:p>
      <w:pPr>
        <w:keepNext/>
        <w:spacing w:before="320" w:after="120"/>
      </w:pPr>
      <w:r>
        <w:rPr>
          <w:rFonts w:ascii="Calibri" w:hAnsi="Calibri"/>
          <w:b/>
          <w:color w:val="1B365D"/>
          <w:sz w:val="30"/>
        </w:rPr>
        <w:t>1. Introduction: The Digital Metamorphosis of Education</w:t>
      </w:r>
    </w:p>
    <w:p>
      <w:pPr>
        <w:spacing w:before="0" w:after="120" w:line="276" w:lineRule="auto"/>
      </w:pPr>
      <w:r>
        <w:rPr>
          <w:color w:val="333333"/>
        </w:rPr>
        <w:t>In the span of just two decades, the global educational landscape has undergone a profound structural metamorphosis. The traditional classroom—historically anchored by physical blackboards, standardized textbooks, and rigid fixed schedules—has transformed into a dynamic, hyper-connected, and digital-first learning ecosystem. Digital technology is no longer merely an auxiliary tool or a secondary supplement to pedagogy; it has become the primary infrastructure driving how knowledge is created, distributed, consumed, and assessed across the world.</w:t>
      </w:r>
    </w:p>
    <w:p>
      <w:pPr>
        <w:spacing w:before="0" w:after="120" w:line="276" w:lineRule="auto"/>
      </w:pPr>
      <w:r>
        <w:rPr>
          <w:color w:val="333333"/>
        </w:rPr>
        <w:t>According to research published by UNESCO, the integration of digital tools in education expanded exponentially during the global transition toward remote and hybrid learning environments. This shift fundamentally redefined accessibility, enabling millions of learners worldwide to access high-quality academic resources regardless of geographical barriers. However, as digital technology continues to penetrate classrooms, lecture halls, and online platforms, educators, policymakers, and technologists must critically evaluate its multi-faceted impact. This blog post explores how technology is revolutionizing learning, examines the emergence of Artificial Intelligence and EdTech tools, analyzes key challenges like the digital divide, and outlines strategic recommendations for shaping an equitable, future-ready educational system.</w:t>
      </w:r>
    </w:p>
    <w:p>
      <w:pPr>
        <w:keepNext/>
        <w:spacing w:before="320" w:after="120"/>
      </w:pPr>
      <w:r>
        <w:rPr>
          <w:rFonts w:ascii="Calibri" w:hAnsi="Calibri"/>
          <w:b/>
          <w:color w:val="1B365D"/>
          <w:sz w:val="30"/>
        </w:rPr>
        <w:t>2. Core Pillars of Digital Transformation in Learning</w:t>
      </w:r>
    </w:p>
    <w:p>
      <w:pPr>
        <w:spacing w:before="0" w:after="120" w:line="276" w:lineRule="auto"/>
      </w:pPr>
      <w:r>
        <w:rPr>
          <w:color w:val="333333"/>
        </w:rPr>
        <w:t>The integration of technology into modern education rests upon three key functional pillars: universal accessibility, personalization through data analytics, and interactive collaboration.</w:t>
      </w:r>
    </w:p>
    <w:p>
      <w:pPr>
        <w:keepNext/>
        <w:spacing w:before="240" w:after="80"/>
      </w:pPr>
      <w:r>
        <w:rPr>
          <w:rFonts w:ascii="Calibri" w:hAnsi="Calibri"/>
          <w:b/>
          <w:color w:val="4682B4"/>
          <w:sz w:val="25"/>
        </w:rPr>
        <w:t>2.1 Universal Accessibility and Democratization of Knowledge</w:t>
      </w:r>
    </w:p>
    <w:p>
      <w:pPr>
        <w:spacing w:before="0" w:after="120" w:line="276" w:lineRule="auto"/>
      </w:pPr>
      <w:r>
        <w:rPr>
          <w:color w:val="333333"/>
        </w:rPr>
        <w:t>One of the most remarkable achievements of digital technology is the democratization of high-quality education. Open Educational Resources (OER) and Massive Open Online Courses (MOOCs) hosted on platforms like Coursera, edX, and SWAYAM have broken down traditional institutional barriers. Students living in remote rural villages can now enroll in courses designed by world-renowned university professors, bridging the historical quality gap that previously separated privileged urban institutions from underserved regions.</w:t>
      </w:r>
    </w:p>
    <w:p>
      <w:pPr>
        <w:keepNext/>
        <w:spacing w:before="240" w:after="80"/>
      </w:pPr>
      <w:r>
        <w:rPr>
          <w:rFonts w:ascii="Calibri" w:hAnsi="Calibri"/>
          <w:b/>
          <w:color w:val="4682B4"/>
          <w:sz w:val="25"/>
        </w:rPr>
        <w:t>2.2 Adaptive Learning and Personalized Education</w:t>
      </w:r>
    </w:p>
    <w:p>
      <w:pPr>
        <w:spacing w:before="0" w:after="120" w:line="276" w:lineRule="auto"/>
      </w:pPr>
      <w:r>
        <w:rPr>
          <w:color w:val="333333"/>
        </w:rPr>
        <w:t>In a conventional classroom, educators face the challenge of teaching to the average speed of thirty or forty students simultaneously. Digital technology resolves this limitation through adaptive learning algorithms. Machine learning algorithms analyze student interaction data, tracking where a learner struggles, where they excel, and how quickly they process complex concepts. Platforms then automatically adjust the difficulty level, content delivery format, and practice problems in real time, ensuring that every student receives a customized learning pathway tailored to their individual cognitive pace.</w:t>
      </w:r>
    </w:p>
    <w:p>
      <w:pPr>
        <w:keepNext/>
        <w:spacing w:before="240" w:after="80"/>
      </w:pPr>
      <w:r>
        <w:rPr>
          <w:rFonts w:ascii="Calibri" w:hAnsi="Calibri"/>
          <w:b/>
          <w:color w:val="4682B4"/>
          <w:sz w:val="25"/>
        </w:rPr>
        <w:t>2.3 Gamification and Interactive Engagement</w:t>
      </w:r>
    </w:p>
    <w:p>
      <w:pPr>
        <w:spacing w:before="0" w:after="120" w:line="276" w:lineRule="auto"/>
      </w:pPr>
      <w:r>
        <w:rPr>
          <w:color w:val="333333"/>
        </w:rPr>
        <w:t>Modern educational software incorporates gamification elements—such as leaderboards, achievement badges, instant feedback loops, and interactive simulations—to boost student engagement and retentive capacity. Research from the World Economic Forum emphasizes that interactive, gamified learning environments significantly improve critical thinking, problem-solving abilities, and long-term retention rates compared to passive lecture formats.</w:t>
      </w:r>
    </w:p>
    <w:p>
      <w:pPr>
        <w:keepNext/>
        <w:spacing w:before="320" w:after="120"/>
      </w:pPr>
      <w:r>
        <w:rPr>
          <w:rFonts w:ascii="Calibri" w:hAnsi="Calibri"/>
          <w:b/>
          <w:color w:val="1B365D"/>
          <w:sz w:val="30"/>
        </w:rPr>
        <w:t>3. Key Technological Innovations Reshaping Classrooms</w:t>
      </w:r>
    </w:p>
    <w:p>
      <w:pPr>
        <w:spacing w:before="0" w:after="120" w:line="276" w:lineRule="auto"/>
      </w:pPr>
      <w:r>
        <w:rPr>
          <w:color w:val="333333"/>
        </w:rPr>
        <w:t>Several groundbreaking technologies are actively transforming the modern teaching and learning experience:</w:t>
      </w:r>
    </w:p>
    <w:p>
      <w:pPr>
        <w:pStyle w:val="ListBullet"/>
        <w:spacing w:before="0" w:after="80"/>
      </w:pPr>
      <w:r>
        <w:rPr>
          <w:b/>
          <w:color w:val="333333"/>
        </w:rPr>
        <w:t>Artificial Intelligence (AI) &amp; Automated Tutoring:</w:t>
      </w:r>
      <w:r>
        <w:rPr>
          <w:color w:val="333333"/>
        </w:rPr>
        <w:t xml:space="preserve"> Large Language Models (LLMs) and generative AI systems function as 24/7 personal tutors. AI tools assist students by breaking down complex mathematical equations, explaining scientific theories in simplified language, and providing immediate feedback on writing assignments. For educators, AI automates administrative tasks like grading and lesson planning, freeing up valuable time for direct student mentorship.</w:t>
      </w:r>
    </w:p>
    <w:p>
      <w:pPr>
        <w:pStyle w:val="ListBullet"/>
        <w:spacing w:before="0" w:after="80"/>
      </w:pPr>
      <w:r>
        <w:rPr>
          <w:b/>
          <w:color w:val="333333"/>
        </w:rPr>
        <w:t>Virtual &amp; Augmented Reality (VR/AR):</w:t>
      </w:r>
      <w:r>
        <w:rPr>
          <w:color w:val="333333"/>
        </w:rPr>
        <w:t xml:space="preserve"> Immersive technology brings abstract theoretical concepts to life. Medical students can perform virtual anatomical dissections, engineering students can inspect intricate 3D machine prototypes, and history students can virtually explore ancient historical monuments—all within a safe, controlled digital environment.</w:t>
      </w:r>
    </w:p>
    <w:p>
      <w:pPr>
        <w:pStyle w:val="ListBullet"/>
        <w:spacing w:before="0" w:after="80"/>
      </w:pPr>
      <w:r>
        <w:rPr>
          <w:b/>
          <w:color w:val="333333"/>
        </w:rPr>
        <w:t>Cloud Infrastructure &amp; Collaborative Platforms:</w:t>
      </w:r>
      <w:r>
        <w:rPr>
          <w:color w:val="333333"/>
        </w:rPr>
        <w:t xml:space="preserve"> Cloud computing enables asynchronous and synchronous collaboration across continents. Tools like Google Workspace, Microsoft Teams, and cloud repositories allow students to co-author documents, build shared codebases, and participate in peer review processes seamlessly from any device.</w:t>
      </w:r>
    </w:p>
    <w:p>
      <w:pPr>
        <w:keepNext/>
        <w:spacing w:before="320" w:after="120"/>
      </w:pPr>
      <w:r>
        <w:rPr>
          <w:rFonts w:ascii="Calibri" w:hAnsi="Calibri"/>
          <w:b/>
          <w:color w:val="1B365D"/>
          <w:sz w:val="30"/>
        </w:rPr>
        <w:t>4. Critical Challenges: The Digital Divide and Systemic Risks</w:t>
      </w:r>
    </w:p>
    <w:p>
      <w:pPr>
        <w:spacing w:before="0" w:after="120" w:line="276" w:lineRule="auto"/>
      </w:pPr>
      <w:r>
        <w:rPr>
          <w:color w:val="333333"/>
        </w:rPr>
        <w:t>While the benefits of digital technology in education are vast, rapid digitization also presents significant socioeconomic and pedagogical challenges that must be addressed.</w:t>
      </w:r>
    </w:p>
    <w:tbl>
      <w:tblPr>
        <w:tblW w:type="auto" w:w="0"/>
        <w:jc w:val="center"/>
        <w:tblLayout w:type="fixed"/>
        <w:tblLook w:firstColumn="1" w:firstRow="1" w:lastColumn="0" w:lastRow="0" w:noHBand="0" w:noVBand="1" w:val="04A0"/>
      </w:tblPr>
      <w:tblGrid>
        <w:gridCol w:w="4680"/>
        <w:gridCol w:w="4680"/>
      </w:tblGrid>
      <w:tr>
        <w:tc>
          <w:tcPr>
            <w:tcW w:type="dxa" w:w="3600"/>
            <w:shd w:fill="1B365D"/>
            <w:tcMar>
              <w:top w:w="100" w:type="dxa"/>
              <w:bottom w:w="100" w:type="dxa"/>
              <w:left w:w="100" w:type="dxa"/>
              <w:right w:w="100" w:type="dxa"/>
            </w:tcMar>
          </w:tcPr>
          <w:p>
            <w:pPr>
              <w:spacing w:before="80" w:after="80"/>
            </w:pPr>
            <w:r>
              <w:rPr>
                <w:b/>
                <w:color w:val="FFFFFF"/>
                <w:sz w:val="19"/>
              </w:rPr>
              <w:t>Key Challenge</w:t>
            </w:r>
          </w:p>
        </w:tc>
        <w:tc>
          <w:tcPr>
            <w:tcW w:type="dxa" w:w="5760"/>
            <w:shd w:fill="1B365D"/>
            <w:tcMar>
              <w:top w:w="100" w:type="dxa"/>
              <w:bottom w:w="100" w:type="dxa"/>
              <w:left w:w="100" w:type="dxa"/>
              <w:right w:w="100" w:type="dxa"/>
            </w:tcMar>
          </w:tcPr>
          <w:p>
            <w:pPr>
              <w:spacing w:before="80" w:after="80"/>
            </w:pPr>
            <w:r>
              <w:rPr>
                <w:b/>
                <w:color w:val="FFFFFF"/>
                <w:sz w:val="19"/>
              </w:rPr>
              <w:t>Impact on Students &amp; Educational Systems</w:t>
            </w:r>
          </w:p>
        </w:tc>
      </w:tr>
      <w:tr>
        <w:tc>
          <w:tcPr>
            <w:tcW w:type="dxa" w:w="3600"/>
            <w:shd w:fill="F9FAFC"/>
            <w:tcMar>
              <w:top w:w="80" w:type="dxa"/>
              <w:bottom w:w="80" w:type="dxa"/>
              <w:left w:w="100" w:type="dxa"/>
              <w:right w:w="100" w:type="dxa"/>
            </w:tcMar>
          </w:tcPr>
          <w:p>
            <w:pPr>
              <w:spacing w:before="60" w:after="60"/>
            </w:pPr>
            <w:r>
              <w:rPr>
                <w:b/>
                <w:color w:val="1B365D"/>
                <w:sz w:val="19"/>
              </w:rPr>
              <w:t>The Digital Divide</w:t>
            </w:r>
          </w:p>
        </w:tc>
        <w:tc>
          <w:tcPr>
            <w:tcW w:type="dxa" w:w="5760"/>
            <w:shd w:fill="F9FAFC"/>
            <w:tcMar>
              <w:top w:w="80" w:type="dxa"/>
              <w:bottom w:w="80" w:type="dxa"/>
              <w:left w:w="100" w:type="dxa"/>
              <w:right w:w="100" w:type="dxa"/>
            </w:tcMar>
          </w:tcPr>
          <w:p>
            <w:pPr>
              <w:spacing w:before="60" w:after="60"/>
            </w:pPr>
            <w:r>
              <w:rPr>
                <w:color w:val="333333"/>
                <w:sz w:val="19"/>
              </w:rPr>
              <w:t>Unequal access to high-speed internet and modern hardware exacerbates educational inequality between affluent urban households and low-income or rural communities.</w:t>
            </w:r>
          </w:p>
        </w:tc>
      </w:tr>
      <w:tr>
        <w:tc>
          <w:tcPr>
            <w:tcW w:type="dxa" w:w="3600"/>
            <w:shd w:fill="FFFFFF"/>
            <w:tcMar>
              <w:top w:w="80" w:type="dxa"/>
              <w:bottom w:w="80" w:type="dxa"/>
              <w:left w:w="100" w:type="dxa"/>
              <w:right w:w="100" w:type="dxa"/>
            </w:tcMar>
          </w:tcPr>
          <w:p>
            <w:pPr>
              <w:spacing w:before="60" w:after="60"/>
            </w:pPr>
            <w:r>
              <w:rPr>
                <w:b/>
                <w:color w:val="1B365D"/>
                <w:sz w:val="19"/>
              </w:rPr>
              <w:t>Cognitive Overload &amp; Screen Fatigue</w:t>
            </w:r>
          </w:p>
        </w:tc>
        <w:tc>
          <w:tcPr>
            <w:tcW w:type="dxa" w:w="5760"/>
            <w:shd w:fill="FFFFFF"/>
            <w:tcMar>
              <w:top w:w="80" w:type="dxa"/>
              <w:bottom w:w="80" w:type="dxa"/>
              <w:left w:w="100" w:type="dxa"/>
              <w:right w:w="100" w:type="dxa"/>
            </w:tcMar>
          </w:tcPr>
          <w:p>
            <w:pPr>
              <w:spacing w:before="60" w:after="60"/>
            </w:pPr>
            <w:r>
              <w:rPr>
                <w:color w:val="333333"/>
                <w:sz w:val="19"/>
              </w:rPr>
              <w:t>Continuous exposure to digital screens leads to shortened attention spans, reduced deep reading comprehension, and physical fatigue among young learners.</w:t>
            </w:r>
          </w:p>
        </w:tc>
      </w:tr>
      <w:tr>
        <w:tc>
          <w:tcPr>
            <w:tcW w:type="dxa" w:w="3600"/>
            <w:shd w:fill="F9FAFC"/>
            <w:tcMar>
              <w:top w:w="80" w:type="dxa"/>
              <w:bottom w:w="80" w:type="dxa"/>
              <w:left w:w="100" w:type="dxa"/>
              <w:right w:w="100" w:type="dxa"/>
            </w:tcMar>
          </w:tcPr>
          <w:p>
            <w:pPr>
              <w:spacing w:before="60" w:after="60"/>
            </w:pPr>
            <w:r>
              <w:rPr>
                <w:b/>
                <w:color w:val="1B365D"/>
                <w:sz w:val="19"/>
              </w:rPr>
              <w:t>Data Privacy &amp; Security Risks</w:t>
            </w:r>
          </w:p>
        </w:tc>
        <w:tc>
          <w:tcPr>
            <w:tcW w:type="dxa" w:w="5760"/>
            <w:shd w:fill="F9FAFC"/>
            <w:tcMar>
              <w:top w:w="80" w:type="dxa"/>
              <w:bottom w:w="80" w:type="dxa"/>
              <w:left w:w="100" w:type="dxa"/>
              <w:right w:w="100" w:type="dxa"/>
            </w:tcMar>
          </w:tcPr>
          <w:p>
            <w:pPr>
              <w:spacing w:before="60" w:after="60"/>
            </w:pPr>
            <w:r>
              <w:rPr>
                <w:color w:val="333333"/>
                <w:sz w:val="19"/>
              </w:rPr>
              <w:t>Educational technology applications collect vast amounts of student personal data, raising concerns regarding data commercialization, tracking, and cybersecurity vulnerabilities.</w:t>
            </w:r>
          </w:p>
        </w:tc>
      </w:tr>
      <w:tr>
        <w:tc>
          <w:tcPr>
            <w:tcW w:type="dxa" w:w="3600"/>
            <w:shd w:fill="FFFFFF"/>
            <w:tcMar>
              <w:top w:w="80" w:type="dxa"/>
              <w:bottom w:w="80" w:type="dxa"/>
              <w:left w:w="100" w:type="dxa"/>
              <w:right w:w="100" w:type="dxa"/>
            </w:tcMar>
          </w:tcPr>
          <w:p>
            <w:pPr>
              <w:spacing w:before="60" w:after="60"/>
            </w:pPr>
            <w:r>
              <w:rPr>
                <w:b/>
                <w:color w:val="1B365D"/>
                <w:sz w:val="19"/>
              </w:rPr>
              <w:t>Over-Reliance &amp; Loss of Critical Thinking</w:t>
            </w:r>
          </w:p>
        </w:tc>
        <w:tc>
          <w:tcPr>
            <w:tcW w:type="dxa" w:w="5760"/>
            <w:shd w:fill="FFFFFF"/>
            <w:tcMar>
              <w:top w:w="80" w:type="dxa"/>
              <w:bottom w:w="80" w:type="dxa"/>
              <w:left w:w="100" w:type="dxa"/>
              <w:right w:w="100" w:type="dxa"/>
            </w:tcMar>
          </w:tcPr>
          <w:p>
            <w:pPr>
              <w:spacing w:before="60" w:after="60"/>
            </w:pPr>
            <w:r>
              <w:rPr>
                <w:color w:val="333333"/>
                <w:sz w:val="19"/>
              </w:rPr>
              <w:t>Unregulated reliance on AI tools for homework generation risks diminishing fundamental problem-solving skills, originality, and analytical reasoning.</w:t>
            </w:r>
          </w:p>
        </w:tc>
      </w:tr>
    </w:tbl>
    <w:p>
      <w:pPr>
        <w:keepNext/>
        <w:spacing w:before="320" w:after="120"/>
      </w:pPr>
      <w:r>
        <w:rPr>
          <w:rFonts w:ascii="Calibri" w:hAnsi="Calibri"/>
          <w:b/>
          <w:color w:val="1B365D"/>
          <w:sz w:val="30"/>
        </w:rPr>
        <w:t>5. Strategic Roadmap: Building a Balanced, Tech-Enabled Future</w:t>
      </w:r>
    </w:p>
    <w:p>
      <w:pPr>
        <w:spacing w:before="0" w:after="120" w:line="276" w:lineRule="auto"/>
      </w:pPr>
      <w:r>
        <w:rPr>
          <w:color w:val="333333"/>
        </w:rPr>
        <w:t>To maximize the positive impact of digital technology while mitigating its inherent risks, educational institutions and policy planners must implement a balanced, strategic roadmap:</w:t>
      </w:r>
    </w:p>
    <w:p>
      <w:pPr>
        <w:pStyle w:val="ListBullet"/>
        <w:spacing w:before="0" w:after="80"/>
      </w:pPr>
      <w:r>
        <w:rPr>
          <w:b/>
          <w:color w:val="333333"/>
        </w:rPr>
        <w:t>1. Comprehensive Educator Training:</w:t>
      </w:r>
      <w:r>
        <w:rPr>
          <w:color w:val="333333"/>
        </w:rPr>
        <w:t xml:space="preserve"> Technology must serve as a force multiplier for teachers rather than a replacement. Schools must invest in comprehensive continuous professional development (CPD) programs to empower educators with modern digital pedagogical skills.</w:t>
      </w:r>
    </w:p>
    <w:p>
      <w:pPr>
        <w:pStyle w:val="ListBullet"/>
        <w:spacing w:before="0" w:after="80"/>
      </w:pPr>
      <w:r>
        <w:rPr>
          <w:b/>
          <w:color w:val="333333"/>
        </w:rPr>
        <w:t>2. Public Infrastructure Investment:</w:t>
      </w:r>
      <w:r>
        <w:rPr>
          <w:color w:val="333333"/>
        </w:rPr>
        <w:t xml:space="preserve"> Governments and private telecommunication sectors must collaborate to treat high-speed broadband internet and basic computing devices as essential public utilities for students.</w:t>
      </w:r>
    </w:p>
    <w:p>
      <w:pPr>
        <w:pStyle w:val="ListBullet"/>
        <w:spacing w:before="0" w:after="80"/>
      </w:pPr>
      <w:r>
        <w:rPr>
          <w:b/>
          <w:color w:val="333333"/>
        </w:rPr>
        <w:t>3. Balanced Blended Learning Models:</w:t>
      </w:r>
      <w:r>
        <w:rPr>
          <w:color w:val="333333"/>
        </w:rPr>
        <w:t xml:space="preserve"> Adopt a blended learning approach that combines interactive digital software with physical hands-on activities, face-to-face peer discussions, and offline critical thinking exercises.</w:t>
      </w:r>
    </w:p>
    <w:p>
      <w:pPr>
        <w:pStyle w:val="ListBullet"/>
        <w:spacing w:before="0" w:after="80"/>
      </w:pPr>
      <w:r>
        <w:rPr>
          <w:b/>
          <w:color w:val="333333"/>
        </w:rPr>
        <w:t>4. Robust Ethical Frameworks:</w:t>
      </w:r>
      <w:r>
        <w:rPr>
          <w:color w:val="333333"/>
        </w:rPr>
        <w:t xml:space="preserve"> Establish clear ethical guidelines regarding AI usage, academic integrity, and strict compliance with global data protection laws (such as GDPR and local privacy standards).</w:t>
      </w:r>
    </w:p>
    <w:p>
      <w:pPr>
        <w:keepNext/>
        <w:spacing w:before="320" w:after="120"/>
      </w:pPr>
      <w:r>
        <w:rPr>
          <w:rFonts w:ascii="Calibri" w:hAnsi="Calibri"/>
          <w:b/>
          <w:color w:val="1B365D"/>
          <w:sz w:val="30"/>
        </w:rPr>
        <w:t>6. Conclusion</w:t>
      </w:r>
    </w:p>
    <w:p>
      <w:pPr>
        <w:spacing w:before="0" w:after="120" w:line="276" w:lineRule="auto"/>
      </w:pPr>
      <w:r>
        <w:rPr>
          <w:color w:val="333333"/>
        </w:rPr>
        <w:t>Digital technology has irrevocably altered the trajectory of global education. When deployed thoughtfully and ethically, it possesses the power to unlock unprecedented levels of human potential, democratize access to learning, and prepare future generations for a rapidly evolving, knowledge-driven global economy. The future of education lies not in choosing between traditional human pedagogy and technology, but in harmonizing both to build an inclusive, empowering, and highly effective learning environment.</w:t>
      </w:r>
    </w:p>
    <w:p>
      <w:pPr>
        <w:keepNext/>
        <w:spacing w:before="320" w:after="120"/>
      </w:pPr>
      <w:r>
        <w:rPr>
          <w:rFonts w:ascii="Calibri" w:hAnsi="Calibri"/>
          <w:b/>
          <w:color w:val="1B365D"/>
          <w:sz w:val="30"/>
        </w:rPr>
        <w:t>7. References &amp; Reliable Sources</w:t>
      </w:r>
    </w:p>
    <w:p>
      <w:pPr>
        <w:pStyle w:val="ListBullet"/>
        <w:spacing w:before="0" w:after="80"/>
      </w:pPr>
      <w:r>
        <w:rPr>
          <w:b/>
          <w:color w:val="333333"/>
        </w:rPr>
        <w:t>1. UNESCO (2023).</w:t>
      </w:r>
      <w:r>
        <w:rPr>
          <w:color w:val="333333"/>
        </w:rPr>
        <w:t xml:space="preserve"> Global Education Monitoring Report: Technology in Education – A Tool on Whose Terms? Paris: UNESCO.</w:t>
      </w:r>
    </w:p>
    <w:p>
      <w:pPr>
        <w:pStyle w:val="ListBullet"/>
        <w:spacing w:before="0" w:after="80"/>
      </w:pPr>
      <w:r>
        <w:rPr>
          <w:b/>
          <w:color w:val="333333"/>
        </w:rPr>
        <w:t>2. World Economic Forum (2023).</w:t>
      </w:r>
      <w:r>
        <w:rPr>
          <w:color w:val="333333"/>
        </w:rPr>
        <w:t xml:space="preserve"> The Future of Jobs Report &amp; Catalyst for Education: Transforming Learning with Technology. Geneva: World Economic Forum.</w:t>
      </w:r>
    </w:p>
    <w:p>
      <w:pPr>
        <w:pStyle w:val="ListBullet"/>
        <w:spacing w:before="0" w:after="80"/>
      </w:pPr>
      <w:r>
        <w:rPr>
          <w:b/>
          <w:color w:val="333333"/>
        </w:rPr>
        <w:t>3. U.S. Department of Education (2022).</w:t>
      </w:r>
      <w:r>
        <w:rPr>
          <w:color w:val="333333"/>
        </w:rPr>
        <w:t xml:space="preserve"> Reimagining the Role of Technology in Education: National Education Technology Plan. Washington, D.C.: U.S. Department of Education.</w:t>
      </w:r>
    </w:p>
    <w:p>
      <w:pPr>
        <w:pStyle w:val="ListBullet"/>
        <w:spacing w:before="0" w:after="80"/>
      </w:pPr>
      <w:r>
        <w:rPr>
          <w:b/>
          <w:color w:val="333333"/>
        </w:rPr>
        <w:t>4. OECD (2023).</w:t>
      </w:r>
      <w:r>
        <w:rPr>
          <w:color w:val="333333"/>
        </w:rPr>
        <w:t xml:space="preserve"> Artificial Intelligence and the Future of Teaching and Learning: Insights and Recommendations. Office of Educational Technology.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