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Understanding SAP FICO: Core Concepts, Module Integration, &amp; Strategic Value</w:t>
      </w:r>
    </w:p>
    <w:p>
      <w:pPr>
        <w:spacing w:before="0" w:after="320"/>
      </w:pPr>
      <w:r>
        <w:rPr>
          <w:rFonts w:ascii="Calibri" w:hAnsi="Calibri"/>
          <w:i/>
          <w:color w:val="4682B4"/>
          <w:sz w:val="26"/>
        </w:rPr>
        <w:t>Week 1 Task: Comprehensive Research Report on SAP Financial Accounting &amp; Controlling</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before="40"/>
            </w:pPr>
            <w:r>
              <w:rPr>
                <w:b/>
                <w:color w:val="333333"/>
                <w:sz w:val="21"/>
              </w:rPr>
              <w:t>Author:</w:t>
            </w:r>
          </w:p>
        </w:tc>
        <w:tc>
          <w:tcPr>
            <w:tcW w:type="dxa" w:w="4680"/>
            <w:shd w:fill="F0F4F8"/>
            <w:tcMar>
              <w:top w:w="80" w:type="dxa"/>
              <w:bottom w:w="80" w:type="dxa"/>
              <w:left w:w="120" w:type="dxa"/>
              <w:right w:w="120" w:type="dxa"/>
            </w:tcMar>
          </w:tcPr>
          <w:p>
            <w:pPr>
              <w:spacing w:after="40" w:before="40"/>
            </w:pPr>
            <w:r>
              <w:rPr>
                <w:b w:val="0"/>
                <w:color w:val="333333"/>
                <w:sz w:val="21"/>
              </w:rPr>
              <w:t>Sachin Vishwakarma</w:t>
            </w:r>
          </w:p>
        </w:tc>
      </w:tr>
      <w:tr>
        <w:tc>
          <w:tcPr>
            <w:tcW w:type="dxa" w:w="4680"/>
            <w:shd w:fill="F0F4F8"/>
            <w:tcMar>
              <w:top w:w="80" w:type="dxa"/>
              <w:bottom w:w="80" w:type="dxa"/>
              <w:left w:w="120" w:type="dxa"/>
              <w:right w:w="120" w:type="dxa"/>
            </w:tcMar>
          </w:tcPr>
          <w:p>
            <w:pPr>
              <w:spacing w:after="40" w:before="40"/>
            </w:pPr>
            <w:r>
              <w:rPr>
                <w:b/>
                <w:color w:val="333333"/>
                <w:sz w:val="21"/>
              </w:rPr>
              <w:t>Topic:</w:t>
            </w:r>
          </w:p>
        </w:tc>
        <w:tc>
          <w:tcPr>
            <w:tcW w:type="dxa" w:w="4680"/>
            <w:shd w:fill="F0F4F8"/>
            <w:tcMar>
              <w:top w:w="80" w:type="dxa"/>
              <w:bottom w:w="80" w:type="dxa"/>
              <w:left w:w="120" w:type="dxa"/>
              <w:right w:w="120" w:type="dxa"/>
            </w:tcMar>
          </w:tcPr>
          <w:p>
            <w:pPr>
              <w:spacing w:after="40" w:before="40"/>
            </w:pPr>
            <w:r>
              <w:rPr>
                <w:b w:val="0"/>
                <w:color w:val="333333"/>
                <w:sz w:val="21"/>
              </w:rPr>
              <w:t>SAP FICO (Financial Accounting &amp; Controlling)</w:t>
            </w:r>
          </w:p>
        </w:tc>
      </w:tr>
    </w:tbl>
    <w:p>
      <w:pPr>
        <w:spacing w:after="200"/>
      </w:pPr>
    </w:p>
    <w:p>
      <w:pPr>
        <w:keepNext/>
        <w:spacing w:before="320" w:after="120"/>
      </w:pPr>
      <w:r>
        <w:rPr>
          <w:rFonts w:ascii="Calibri" w:hAnsi="Calibri"/>
          <w:b/>
          <w:color w:val="1B365D"/>
          <w:sz w:val="28"/>
        </w:rPr>
        <w:t>1. Executive Summary &amp; Introduction to SAP FICO</w:t>
      </w:r>
    </w:p>
    <w:p>
      <w:pPr>
        <w:spacing w:after="120"/>
      </w:pPr>
      <w:r>
        <w:t>SAP FICO is one of the most vital core functional modules within the SAP Enterprise Resource Planning (ERP) ecosystem. The acronym 'FICO' combines two distinct yet seamlessly integrated functional domains: SAP FI (Financial Accounting) and SAP CO (Controlling). Together, these modules provide organizations with a comprehensive financial management framework that fulfills both external regulatory financial reporting requirements and internal managerial decision-making needs.</w:t>
      </w:r>
    </w:p>
    <w:p>
      <w:pPr>
        <w:pStyle w:val="ListBullet"/>
        <w:spacing w:before="0" w:after="80"/>
      </w:pPr>
      <w:r>
        <w:rPr>
          <w:b/>
          <w:color w:val="333333"/>
        </w:rPr>
        <w:t>SAP FI (Financial Accounting):</w:t>
      </w:r>
      <w:r>
        <w:rPr>
          <w:color w:val="333333"/>
        </w:rPr>
        <w:t xml:space="preserve"> Focused on external financial reporting. It records all financial transactions occurring within an enterprise in real-time, ensuring strict compliance with regulatory standards such as GAAP (Generally Accepted Accounting Principles) and IFRS (International Financial Reporting Standards). It enables the generation of mandatory balance sheets, profit and loss statements, and cash flow reports for shareholders, tax authorities, and auditors.</w:t>
      </w:r>
    </w:p>
    <w:p>
      <w:pPr>
        <w:pStyle w:val="ListBullet"/>
        <w:spacing w:before="0" w:after="80"/>
      </w:pPr>
      <w:r>
        <w:rPr>
          <w:b/>
          <w:color w:val="333333"/>
        </w:rPr>
        <w:t>SAP CO (Controlling):</w:t>
      </w:r>
      <w:r>
        <w:rPr>
          <w:color w:val="333333"/>
        </w:rPr>
        <w:t xml:space="preserve"> Focused on internal managerial accounting. It provides organizational leadership and managers with operational data to analyze profitability, monitor cost centers, establish budgets, and evaluate product margins. Unlike FI, CO is designed purely for internal evaluation and strategic operational planning.</w:t>
      </w:r>
    </w:p>
    <w:p>
      <w:pPr>
        <w:keepNext/>
        <w:spacing w:before="320" w:after="120"/>
      </w:pPr>
      <w:r>
        <w:rPr>
          <w:rFonts w:ascii="Calibri" w:hAnsi="Calibri"/>
          <w:b/>
          <w:color w:val="1B365D"/>
          <w:sz w:val="28"/>
        </w:rPr>
        <w:t>2. Core Functionalities &amp; Key Sub-Modules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B365D"/>
            <w:tcMar>
              <w:top w:w="100" w:type="dxa"/>
              <w:bottom w:w="100" w:type="dxa"/>
              <w:left w:w="100" w:type="dxa"/>
              <w:right w:w="100" w:type="dxa"/>
            </w:tcMar>
          </w:tcPr>
          <w:p>
            <w:pPr>
              <w:spacing w:before="80" w:after="80"/>
            </w:pPr>
            <w:r>
              <w:rPr>
                <w:b/>
                <w:color w:val="FFFFFF"/>
                <w:sz w:val="19"/>
              </w:rPr>
              <w:t>Domain</w:t>
            </w:r>
          </w:p>
        </w:tc>
        <w:tc>
          <w:tcPr>
            <w:tcW w:type="dxa" w:w="2592"/>
            <w:shd w:fill="1B365D"/>
            <w:tcMar>
              <w:top w:w="100" w:type="dxa"/>
              <w:bottom w:w="100" w:type="dxa"/>
              <w:left w:w="100" w:type="dxa"/>
              <w:right w:w="100" w:type="dxa"/>
            </w:tcMar>
          </w:tcPr>
          <w:p>
            <w:pPr>
              <w:spacing w:before="80" w:after="80"/>
            </w:pPr>
            <w:r>
              <w:rPr>
                <w:b/>
                <w:color w:val="FFFFFF"/>
                <w:sz w:val="19"/>
              </w:rPr>
              <w:t>Sub-Module</w:t>
            </w:r>
          </w:p>
        </w:tc>
        <w:tc>
          <w:tcPr>
            <w:tcW w:type="dxa" w:w="5040"/>
            <w:shd w:fill="1B365D"/>
            <w:tcMar>
              <w:top w:w="100" w:type="dxa"/>
              <w:bottom w:w="100" w:type="dxa"/>
              <w:left w:w="100" w:type="dxa"/>
              <w:right w:w="100" w:type="dxa"/>
            </w:tcMar>
          </w:tcPr>
          <w:p>
            <w:pPr>
              <w:spacing w:before="80" w:after="80"/>
            </w:pPr>
            <w:r>
              <w:rPr>
                <w:b/>
                <w:color w:val="FFFFFF"/>
                <w:sz w:val="19"/>
              </w:rPr>
              <w:t>Core Functionality &amp; Business Purpose</w:t>
            </w:r>
          </w:p>
        </w:tc>
      </w:tr>
      <w:tr>
        <w:tc>
          <w:tcPr>
            <w:tcW w:type="dxa" w:w="1728"/>
            <w:shd w:fill="F9FAFC"/>
            <w:tcMar>
              <w:top w:w="80" w:type="dxa"/>
              <w:bottom w:w="80" w:type="dxa"/>
              <w:left w:w="100" w:type="dxa"/>
              <w:right w:w="100" w:type="dxa"/>
            </w:tcMar>
          </w:tcPr>
          <w:p>
            <w:pPr>
              <w:spacing w:before="60" w:after="60"/>
            </w:pPr>
            <w:r>
              <w:rPr>
                <w:b/>
                <w:color w:val="1B365D"/>
                <w:sz w:val="19"/>
              </w:rPr>
              <w:t>SAP FI</w:t>
            </w:r>
          </w:p>
        </w:tc>
        <w:tc>
          <w:tcPr>
            <w:tcW w:type="dxa" w:w="2592"/>
            <w:shd w:fill="F9FAFC"/>
            <w:tcMar>
              <w:top w:w="80" w:type="dxa"/>
              <w:bottom w:w="80" w:type="dxa"/>
              <w:left w:w="100" w:type="dxa"/>
              <w:right w:w="100" w:type="dxa"/>
            </w:tcMar>
          </w:tcPr>
          <w:p>
            <w:pPr>
              <w:spacing w:before="60" w:after="60"/>
            </w:pPr>
            <w:r>
              <w:rPr>
                <w:b/>
                <w:color w:val="1B365D"/>
                <w:sz w:val="19"/>
              </w:rPr>
              <w:t>General Ledger (FI-GL)</w:t>
            </w:r>
          </w:p>
        </w:tc>
        <w:tc>
          <w:tcPr>
            <w:tcW w:type="dxa" w:w="5040"/>
            <w:shd w:fill="F9FAFC"/>
            <w:tcMar>
              <w:top w:w="80" w:type="dxa"/>
              <w:bottom w:w="80" w:type="dxa"/>
              <w:left w:w="100" w:type="dxa"/>
              <w:right w:w="100" w:type="dxa"/>
            </w:tcMar>
          </w:tcPr>
          <w:p>
            <w:pPr>
              <w:spacing w:before="60" w:after="60"/>
            </w:pPr>
            <w:r>
              <w:rPr>
                <w:color w:val="333333"/>
                <w:sz w:val="19"/>
              </w:rPr>
              <w:t>Serves as the master record for all financial postings. Maintains the Chart of Accounts and provides real-time financial status.</w:t>
            </w:r>
          </w:p>
        </w:tc>
      </w:tr>
      <w:tr>
        <w:tc>
          <w:tcPr>
            <w:tcW w:type="dxa" w:w="1728"/>
            <w:shd w:fill="FFFFFF"/>
            <w:tcMar>
              <w:top w:w="80" w:type="dxa"/>
              <w:bottom w:w="80" w:type="dxa"/>
              <w:left w:w="100" w:type="dxa"/>
              <w:right w:w="100" w:type="dxa"/>
            </w:tcMar>
          </w:tcPr>
          <w:p>
            <w:pPr>
              <w:spacing w:before="60" w:after="60"/>
            </w:pPr>
            <w:r>
              <w:rPr>
                <w:b/>
                <w:color w:val="1B365D"/>
                <w:sz w:val="19"/>
              </w:rPr>
              <w:t>SAP FI</w:t>
            </w:r>
          </w:p>
        </w:tc>
        <w:tc>
          <w:tcPr>
            <w:tcW w:type="dxa" w:w="2592"/>
            <w:shd w:fill="FFFFFF"/>
            <w:tcMar>
              <w:top w:w="80" w:type="dxa"/>
              <w:bottom w:w="80" w:type="dxa"/>
              <w:left w:w="100" w:type="dxa"/>
              <w:right w:w="100" w:type="dxa"/>
            </w:tcMar>
          </w:tcPr>
          <w:p>
            <w:pPr>
              <w:spacing w:before="60" w:after="60"/>
            </w:pPr>
            <w:r>
              <w:rPr>
                <w:b/>
                <w:color w:val="1B365D"/>
                <w:sz w:val="19"/>
              </w:rPr>
              <w:t>Accounts Payable (FI-AP)</w:t>
            </w:r>
          </w:p>
        </w:tc>
        <w:tc>
          <w:tcPr>
            <w:tcW w:type="dxa" w:w="5040"/>
            <w:shd w:fill="FFFFFF"/>
            <w:tcMar>
              <w:top w:w="80" w:type="dxa"/>
              <w:bottom w:w="80" w:type="dxa"/>
              <w:left w:w="100" w:type="dxa"/>
              <w:right w:w="100" w:type="dxa"/>
            </w:tcMar>
          </w:tcPr>
          <w:p>
            <w:pPr>
              <w:spacing w:before="60" w:after="60"/>
            </w:pPr>
            <w:r>
              <w:rPr>
                <w:color w:val="333333"/>
                <w:sz w:val="19"/>
              </w:rPr>
              <w:t>Manages vendor records, purchase invoice processing, automatic payment runs, and cash outflow tracking.</w:t>
            </w:r>
          </w:p>
        </w:tc>
      </w:tr>
      <w:tr>
        <w:tc>
          <w:tcPr>
            <w:tcW w:type="dxa" w:w="1728"/>
            <w:shd w:fill="F9FAFC"/>
            <w:tcMar>
              <w:top w:w="80" w:type="dxa"/>
              <w:bottom w:w="80" w:type="dxa"/>
              <w:left w:w="100" w:type="dxa"/>
              <w:right w:w="100" w:type="dxa"/>
            </w:tcMar>
          </w:tcPr>
          <w:p>
            <w:pPr>
              <w:spacing w:before="60" w:after="60"/>
            </w:pPr>
            <w:r>
              <w:rPr>
                <w:b/>
                <w:color w:val="1B365D"/>
                <w:sz w:val="19"/>
              </w:rPr>
              <w:t>SAP FI</w:t>
            </w:r>
          </w:p>
        </w:tc>
        <w:tc>
          <w:tcPr>
            <w:tcW w:type="dxa" w:w="2592"/>
            <w:shd w:fill="F9FAFC"/>
            <w:tcMar>
              <w:top w:w="80" w:type="dxa"/>
              <w:bottom w:w="80" w:type="dxa"/>
              <w:left w:w="100" w:type="dxa"/>
              <w:right w:w="100" w:type="dxa"/>
            </w:tcMar>
          </w:tcPr>
          <w:p>
            <w:pPr>
              <w:spacing w:before="60" w:after="60"/>
            </w:pPr>
            <w:r>
              <w:rPr>
                <w:b/>
                <w:color w:val="1B365D"/>
                <w:sz w:val="19"/>
              </w:rPr>
              <w:t>Accounts Receivable (FI-AR)</w:t>
            </w:r>
          </w:p>
        </w:tc>
        <w:tc>
          <w:tcPr>
            <w:tcW w:type="dxa" w:w="5040"/>
            <w:shd w:fill="F9FAFC"/>
            <w:tcMar>
              <w:top w:w="80" w:type="dxa"/>
              <w:bottom w:w="80" w:type="dxa"/>
              <w:left w:w="100" w:type="dxa"/>
              <w:right w:w="100" w:type="dxa"/>
            </w:tcMar>
          </w:tcPr>
          <w:p>
            <w:pPr>
              <w:spacing w:before="60" w:after="60"/>
            </w:pPr>
            <w:r>
              <w:rPr>
                <w:color w:val="333333"/>
                <w:sz w:val="19"/>
              </w:rPr>
              <w:t>Manages customer master data, billing, incoming payments, dunning process, and credit management.</w:t>
            </w:r>
          </w:p>
        </w:tc>
      </w:tr>
      <w:tr>
        <w:tc>
          <w:tcPr>
            <w:tcW w:type="dxa" w:w="1728"/>
            <w:shd w:fill="FFFFFF"/>
            <w:tcMar>
              <w:top w:w="80" w:type="dxa"/>
              <w:bottom w:w="80" w:type="dxa"/>
              <w:left w:w="100" w:type="dxa"/>
              <w:right w:w="100" w:type="dxa"/>
            </w:tcMar>
          </w:tcPr>
          <w:p>
            <w:pPr>
              <w:spacing w:before="60" w:after="60"/>
            </w:pPr>
            <w:r>
              <w:rPr>
                <w:b/>
                <w:color w:val="1B365D"/>
                <w:sz w:val="19"/>
              </w:rPr>
              <w:t>SAP FI</w:t>
            </w:r>
          </w:p>
        </w:tc>
        <w:tc>
          <w:tcPr>
            <w:tcW w:type="dxa" w:w="2592"/>
            <w:shd w:fill="FFFFFF"/>
            <w:tcMar>
              <w:top w:w="80" w:type="dxa"/>
              <w:bottom w:w="80" w:type="dxa"/>
              <w:left w:w="100" w:type="dxa"/>
              <w:right w:w="100" w:type="dxa"/>
            </w:tcMar>
          </w:tcPr>
          <w:p>
            <w:pPr>
              <w:spacing w:before="60" w:after="60"/>
            </w:pPr>
            <w:r>
              <w:rPr>
                <w:b/>
                <w:color w:val="1B365D"/>
                <w:sz w:val="19"/>
              </w:rPr>
              <w:t>Asset Accounting (FI-AA)</w:t>
            </w:r>
          </w:p>
        </w:tc>
        <w:tc>
          <w:tcPr>
            <w:tcW w:type="dxa" w:w="5040"/>
            <w:shd w:fill="FFFFFF"/>
            <w:tcMar>
              <w:top w:w="80" w:type="dxa"/>
              <w:bottom w:w="80" w:type="dxa"/>
              <w:left w:w="100" w:type="dxa"/>
              <w:right w:w="100" w:type="dxa"/>
            </w:tcMar>
          </w:tcPr>
          <w:p>
            <w:pPr>
              <w:spacing w:before="60" w:after="60"/>
            </w:pPr>
            <w:r>
              <w:rPr>
                <w:color w:val="333333"/>
                <w:sz w:val="19"/>
              </w:rPr>
              <w:t>Tracks fixed asset lifecycle including acquisitions, fixed asset depreciation, retirements, and revaluations.</w:t>
            </w:r>
          </w:p>
        </w:tc>
      </w:tr>
      <w:tr>
        <w:tc>
          <w:tcPr>
            <w:tcW w:type="dxa" w:w="1728"/>
            <w:shd w:fill="F9FAFC"/>
            <w:tcMar>
              <w:top w:w="80" w:type="dxa"/>
              <w:bottom w:w="80" w:type="dxa"/>
              <w:left w:w="100" w:type="dxa"/>
              <w:right w:w="100" w:type="dxa"/>
            </w:tcMar>
          </w:tcPr>
          <w:p>
            <w:pPr>
              <w:spacing w:before="60" w:after="60"/>
            </w:pPr>
            <w:r>
              <w:rPr>
                <w:b/>
                <w:color w:val="1B365D"/>
                <w:sz w:val="19"/>
              </w:rPr>
              <w:t>SAP FI</w:t>
            </w:r>
          </w:p>
        </w:tc>
        <w:tc>
          <w:tcPr>
            <w:tcW w:type="dxa" w:w="2592"/>
            <w:shd w:fill="F9FAFC"/>
            <w:tcMar>
              <w:top w:w="80" w:type="dxa"/>
              <w:bottom w:w="80" w:type="dxa"/>
              <w:left w:w="100" w:type="dxa"/>
              <w:right w:w="100" w:type="dxa"/>
            </w:tcMar>
          </w:tcPr>
          <w:p>
            <w:pPr>
              <w:spacing w:before="60" w:after="60"/>
            </w:pPr>
            <w:r>
              <w:rPr>
                <w:b/>
                <w:color w:val="1B365D"/>
                <w:sz w:val="19"/>
              </w:rPr>
              <w:t>Bank Ledger (FI-BL)</w:t>
            </w:r>
          </w:p>
        </w:tc>
        <w:tc>
          <w:tcPr>
            <w:tcW w:type="dxa" w:w="5040"/>
            <w:shd w:fill="F9FAFC"/>
            <w:tcMar>
              <w:top w:w="80" w:type="dxa"/>
              <w:bottom w:w="80" w:type="dxa"/>
              <w:left w:w="100" w:type="dxa"/>
              <w:right w:w="100" w:type="dxa"/>
            </w:tcMar>
          </w:tcPr>
          <w:p>
            <w:pPr>
              <w:spacing w:before="60" w:after="60"/>
            </w:pPr>
            <w:r>
              <w:rPr>
                <w:color w:val="333333"/>
                <w:sz w:val="19"/>
              </w:rPr>
              <w:t>Handles cash book management, electronic bank statement processing (EBS), and reconciliation.</w:t>
            </w:r>
          </w:p>
        </w:tc>
      </w:tr>
      <w:tr>
        <w:tc>
          <w:tcPr>
            <w:tcW w:type="dxa" w:w="1728"/>
            <w:shd w:fill="FFFFFF"/>
            <w:tcMar>
              <w:top w:w="80" w:type="dxa"/>
              <w:bottom w:w="80" w:type="dxa"/>
              <w:left w:w="100" w:type="dxa"/>
              <w:right w:w="100" w:type="dxa"/>
            </w:tcMar>
          </w:tcPr>
          <w:p>
            <w:pPr>
              <w:spacing w:before="60" w:after="60"/>
            </w:pPr>
            <w:r>
              <w:rPr>
                <w:b/>
                <w:color w:val="1B365D"/>
                <w:sz w:val="19"/>
              </w:rPr>
              <w:t>SAP CO</w:t>
            </w:r>
          </w:p>
        </w:tc>
        <w:tc>
          <w:tcPr>
            <w:tcW w:type="dxa" w:w="2592"/>
            <w:shd w:fill="FFFFFF"/>
            <w:tcMar>
              <w:top w:w="80" w:type="dxa"/>
              <w:bottom w:w="80" w:type="dxa"/>
              <w:left w:w="100" w:type="dxa"/>
              <w:right w:w="100" w:type="dxa"/>
            </w:tcMar>
          </w:tcPr>
          <w:p>
            <w:pPr>
              <w:spacing w:before="60" w:after="60"/>
            </w:pPr>
            <w:r>
              <w:rPr>
                <w:b/>
                <w:color w:val="1B365D"/>
                <w:sz w:val="19"/>
              </w:rPr>
              <w:t>Cost Center Accounting (CO-CCA)</w:t>
            </w:r>
          </w:p>
        </w:tc>
        <w:tc>
          <w:tcPr>
            <w:tcW w:type="dxa" w:w="5040"/>
            <w:shd w:fill="FFFFFF"/>
            <w:tcMar>
              <w:top w:w="80" w:type="dxa"/>
              <w:bottom w:w="80" w:type="dxa"/>
              <w:left w:w="100" w:type="dxa"/>
              <w:right w:w="100" w:type="dxa"/>
            </w:tcMar>
          </w:tcPr>
          <w:p>
            <w:pPr>
              <w:spacing w:before="60" w:after="60"/>
            </w:pPr>
            <w:r>
              <w:rPr>
                <w:color w:val="333333"/>
                <w:sz w:val="19"/>
              </w:rPr>
              <w:t>Tracks overhead costs incurred by specific internal organizational units (e.g., HR, IT, Marketing).</w:t>
            </w:r>
          </w:p>
        </w:tc>
      </w:tr>
      <w:tr>
        <w:tc>
          <w:tcPr>
            <w:tcW w:type="dxa" w:w="1728"/>
            <w:shd w:fill="F9FAFC"/>
            <w:tcMar>
              <w:top w:w="80" w:type="dxa"/>
              <w:bottom w:w="80" w:type="dxa"/>
              <w:left w:w="100" w:type="dxa"/>
              <w:right w:w="100" w:type="dxa"/>
            </w:tcMar>
          </w:tcPr>
          <w:p>
            <w:pPr>
              <w:spacing w:before="60" w:after="60"/>
            </w:pPr>
            <w:r>
              <w:rPr>
                <w:b/>
                <w:color w:val="1B365D"/>
                <w:sz w:val="19"/>
              </w:rPr>
              <w:t>SAP CO</w:t>
            </w:r>
          </w:p>
        </w:tc>
        <w:tc>
          <w:tcPr>
            <w:tcW w:type="dxa" w:w="2592"/>
            <w:shd w:fill="F9FAFC"/>
            <w:tcMar>
              <w:top w:w="80" w:type="dxa"/>
              <w:bottom w:w="80" w:type="dxa"/>
              <w:left w:w="100" w:type="dxa"/>
              <w:right w:w="100" w:type="dxa"/>
            </w:tcMar>
          </w:tcPr>
          <w:p>
            <w:pPr>
              <w:spacing w:before="60" w:after="60"/>
            </w:pPr>
            <w:r>
              <w:rPr>
                <w:b/>
                <w:color w:val="1B365D"/>
                <w:sz w:val="19"/>
              </w:rPr>
              <w:t>Internal Orders (CO-IO)</w:t>
            </w:r>
          </w:p>
        </w:tc>
        <w:tc>
          <w:tcPr>
            <w:tcW w:type="dxa" w:w="5040"/>
            <w:shd w:fill="F9FAFC"/>
            <w:tcMar>
              <w:top w:w="80" w:type="dxa"/>
              <w:bottom w:w="80" w:type="dxa"/>
              <w:left w:w="100" w:type="dxa"/>
              <w:right w:w="100" w:type="dxa"/>
            </w:tcMar>
          </w:tcPr>
          <w:p>
            <w:pPr>
              <w:spacing w:before="60" w:after="60"/>
            </w:pPr>
            <w:r>
              <w:rPr>
                <w:color w:val="333333"/>
                <w:sz w:val="19"/>
              </w:rPr>
              <w:t>Tracks and monitors costs for specific temporary projects, events, or internal jobs.</w:t>
            </w:r>
          </w:p>
        </w:tc>
      </w:tr>
      <w:tr>
        <w:tc>
          <w:tcPr>
            <w:tcW w:type="dxa" w:w="1728"/>
            <w:shd w:fill="FFFFFF"/>
            <w:tcMar>
              <w:top w:w="80" w:type="dxa"/>
              <w:bottom w:w="80" w:type="dxa"/>
              <w:left w:w="100" w:type="dxa"/>
              <w:right w:w="100" w:type="dxa"/>
            </w:tcMar>
          </w:tcPr>
          <w:p>
            <w:pPr>
              <w:spacing w:before="60" w:after="60"/>
            </w:pPr>
            <w:r>
              <w:rPr>
                <w:b/>
                <w:color w:val="1B365D"/>
                <w:sz w:val="19"/>
              </w:rPr>
              <w:t>SAP CO</w:t>
            </w:r>
          </w:p>
        </w:tc>
        <w:tc>
          <w:tcPr>
            <w:tcW w:type="dxa" w:w="2592"/>
            <w:shd w:fill="FFFFFF"/>
            <w:tcMar>
              <w:top w:w="80" w:type="dxa"/>
              <w:bottom w:w="80" w:type="dxa"/>
              <w:left w:w="100" w:type="dxa"/>
              <w:right w:w="100" w:type="dxa"/>
            </w:tcMar>
          </w:tcPr>
          <w:p>
            <w:pPr>
              <w:spacing w:before="60" w:after="60"/>
            </w:pPr>
            <w:r>
              <w:rPr>
                <w:b/>
                <w:color w:val="1B365D"/>
                <w:sz w:val="19"/>
              </w:rPr>
              <w:t>Product Costing (CO-PC)</w:t>
            </w:r>
          </w:p>
        </w:tc>
        <w:tc>
          <w:tcPr>
            <w:tcW w:type="dxa" w:w="5040"/>
            <w:shd w:fill="FFFFFF"/>
            <w:tcMar>
              <w:top w:w="80" w:type="dxa"/>
              <w:bottom w:w="80" w:type="dxa"/>
              <w:left w:w="100" w:type="dxa"/>
              <w:right w:w="100" w:type="dxa"/>
            </w:tcMar>
          </w:tcPr>
          <w:p>
            <w:pPr>
              <w:spacing w:before="60" w:after="60"/>
            </w:pPr>
            <w:r>
              <w:rPr>
                <w:color w:val="333333"/>
                <w:sz w:val="19"/>
              </w:rPr>
              <w:t>Calculates planned and actual manufacturing costs of goods produced to establish optimal product pricing.</w:t>
            </w:r>
          </w:p>
        </w:tc>
      </w:tr>
      <w:tr>
        <w:tc>
          <w:tcPr>
            <w:tcW w:type="dxa" w:w="1728"/>
            <w:shd w:fill="F9FAFC"/>
            <w:tcMar>
              <w:top w:w="80" w:type="dxa"/>
              <w:bottom w:w="80" w:type="dxa"/>
              <w:left w:w="100" w:type="dxa"/>
              <w:right w:w="100" w:type="dxa"/>
            </w:tcMar>
          </w:tcPr>
          <w:p>
            <w:pPr>
              <w:spacing w:before="60" w:after="60"/>
            </w:pPr>
            <w:r>
              <w:rPr>
                <w:b/>
                <w:color w:val="1B365D"/>
                <w:sz w:val="19"/>
              </w:rPr>
              <w:t>SAP CO</w:t>
            </w:r>
          </w:p>
        </w:tc>
        <w:tc>
          <w:tcPr>
            <w:tcW w:type="dxa" w:w="2592"/>
            <w:shd w:fill="F9FAFC"/>
            <w:tcMar>
              <w:top w:w="80" w:type="dxa"/>
              <w:bottom w:w="80" w:type="dxa"/>
              <w:left w:w="100" w:type="dxa"/>
              <w:right w:w="100" w:type="dxa"/>
            </w:tcMar>
          </w:tcPr>
          <w:p>
            <w:pPr>
              <w:spacing w:before="60" w:after="60"/>
            </w:pPr>
            <w:r>
              <w:rPr>
                <w:b/>
                <w:color w:val="1B365D"/>
                <w:sz w:val="19"/>
              </w:rPr>
              <w:t>Profitability Analysis (CO-PA)</w:t>
            </w:r>
          </w:p>
        </w:tc>
        <w:tc>
          <w:tcPr>
            <w:tcW w:type="dxa" w:w="5040"/>
            <w:shd w:fill="F9FAFC"/>
            <w:tcMar>
              <w:top w:w="80" w:type="dxa"/>
              <w:bottom w:w="80" w:type="dxa"/>
              <w:left w:w="100" w:type="dxa"/>
              <w:right w:w="100" w:type="dxa"/>
            </w:tcMar>
          </w:tcPr>
          <w:p>
            <w:pPr>
              <w:spacing w:before="60" w:after="60"/>
            </w:pPr>
            <w:r>
              <w:rPr>
                <w:color w:val="333333"/>
                <w:sz w:val="19"/>
              </w:rPr>
              <w:t>Analyzes profit/loss across market segments, product lines, customer groups, or geographic regions.</w:t>
            </w:r>
          </w:p>
        </w:tc>
      </w:tr>
    </w:tbl>
    <w:p>
      <w:pPr>
        <w:keepNext/>
        <w:spacing w:before="320" w:after="120"/>
      </w:pPr>
      <w:r>
        <w:rPr>
          <w:rFonts w:ascii="Calibri" w:hAnsi="Calibri"/>
          <w:b/>
          <w:color w:val="1B365D"/>
          <w:sz w:val="28"/>
        </w:rPr>
        <w:t>3. Integration of SAP FICO with Other SAP Modules</w:t>
      </w:r>
    </w:p>
    <w:p>
      <w:pPr>
        <w:spacing w:after="120"/>
      </w:pPr>
      <w:r>
        <w:t>A foundational strength of SAP ERP is the real-time cross-functional integration between SAP FICO and non-financial operational modules. When an operational activity takes place anywhere in the system, corresponding accounting postings are triggered automatically in FICO without manual intervention.</w:t>
      </w:r>
    </w:p>
    <w:p>
      <w:pPr>
        <w:pStyle w:val="ListBullet"/>
        <w:spacing w:before="0" w:after="80"/>
      </w:pPr>
      <w:r>
        <w:rPr>
          <w:b/>
          <w:color w:val="333333"/>
        </w:rPr>
        <w:t>Integration with SAP MM (Materials Management):</w:t>
      </w:r>
      <w:r>
        <w:rPr>
          <w:color w:val="333333"/>
        </w:rPr>
        <w:t xml:space="preserve"> Every goods receipt, goods issue, or physical stock movement triggers real-time postings in General Ledger and inventory accounts. Purchase Orders created in MM automatically validate budgets set within SAP CO.</w:t>
      </w:r>
    </w:p>
    <w:p>
      <w:pPr>
        <w:pStyle w:val="ListBullet"/>
        <w:spacing w:before="0" w:after="80"/>
      </w:pPr>
      <w:r>
        <w:rPr>
          <w:b/>
          <w:color w:val="333333"/>
        </w:rPr>
        <w:t>Integration with SAP SD (Sales and Distribution):</w:t>
      </w:r>
      <w:r>
        <w:rPr>
          <w:color w:val="333333"/>
        </w:rPr>
        <w:t xml:space="preserve"> When a sales order is billed to a customer in SD, an accounting document is generated automatically in Accounts Receivable (FI-AR), updating revenue and customer balances instantly.</w:t>
      </w:r>
    </w:p>
    <w:p>
      <w:pPr>
        <w:pStyle w:val="ListBullet"/>
        <w:spacing w:before="0" w:after="80"/>
      </w:pPr>
      <w:r>
        <w:rPr>
          <w:b/>
          <w:color w:val="333333"/>
        </w:rPr>
        <w:t>Integration with SAP PP (Production Planning):</w:t>
      </w:r>
      <w:r>
        <w:rPr>
          <w:color w:val="333333"/>
        </w:rPr>
        <w:t xml:space="preserve"> Production orders consume raw materials and labor. Material consumption costs and activity costs are posted directly from PP to Product Costing (CO-PC) and Cost Center Accounting (CO-CCA).</w:t>
      </w:r>
    </w:p>
    <w:p>
      <w:pPr>
        <w:pStyle w:val="ListBullet"/>
        <w:spacing w:before="0" w:after="80"/>
      </w:pPr>
      <w:r>
        <w:rPr>
          <w:b/>
          <w:color w:val="333333"/>
        </w:rPr>
        <w:t>Integration with SAP HCM (Human Capital Management):</w:t>
      </w:r>
      <w:r>
        <w:rPr>
          <w:color w:val="333333"/>
        </w:rPr>
        <w:t xml:space="preserve"> Payroll runs executed in HCM automatically post employee salaries, tax deductions, and employer contributions into FI General Ledger and specific CO cost centers.</w:t>
      </w:r>
    </w:p>
    <w:p>
      <w:pPr>
        <w:keepNext/>
        <w:spacing w:before="320" w:after="120"/>
      </w:pPr>
      <w:r>
        <w:rPr>
          <w:rFonts w:ascii="Calibri" w:hAnsi="Calibri"/>
          <w:b/>
          <w:color w:val="1B365D"/>
          <w:sz w:val="28"/>
        </w:rPr>
        <w:t>4. Key Industry Use Cases</w:t>
      </w:r>
    </w:p>
    <w:p>
      <w:pPr>
        <w:pStyle w:val="ListBullet"/>
        <w:spacing w:before="0" w:after="80"/>
      </w:pPr>
      <w:r>
        <w:rPr>
          <w:b/>
          <w:color w:val="333333"/>
        </w:rPr>
        <w:t>Manufacturing &amp; Supply Chain:</w:t>
      </w:r>
      <w:r>
        <w:rPr>
          <w:color w:val="333333"/>
        </w:rPr>
        <w:t xml:space="preserve"> Multi-national manufacturing enterprises utilize SAP FICO to track raw material costs, evaluate machine overheads, standard cost variances, and calculate profitability across global product lines.</w:t>
      </w:r>
    </w:p>
    <w:p>
      <w:pPr>
        <w:pStyle w:val="ListBullet"/>
        <w:spacing w:before="0" w:after="80"/>
      </w:pPr>
      <w:r>
        <w:rPr>
          <w:b/>
          <w:color w:val="333333"/>
        </w:rPr>
        <w:t>Retail &amp; E-Commerce:</w:t>
      </w:r>
      <w:r>
        <w:rPr>
          <w:color w:val="333333"/>
        </w:rPr>
        <w:t xml:space="preserve"> Retail chains use Accounts Receivable (FI-AR) and Bank Ledger (FI-BL) to automate millions of daily payment receipts, reconcile payment gateways, and manage vendor credit terms.</w:t>
      </w:r>
    </w:p>
    <w:p>
      <w:pPr>
        <w:pStyle w:val="ListBullet"/>
        <w:spacing w:before="0" w:after="80"/>
      </w:pPr>
      <w:r>
        <w:rPr>
          <w:b/>
          <w:color w:val="333333"/>
        </w:rPr>
        <w:t>Banking &amp; Financial Services:</w:t>
      </w:r>
      <w:r>
        <w:rPr>
          <w:color w:val="333333"/>
        </w:rPr>
        <w:t xml:space="preserve"> Financial institutions leverage SAP FICO for multi-currency asset accounting, automated regulatory reporting, and real-time balance sheet consolidation across global subsidiaries.</w:t>
      </w:r>
    </w:p>
    <w:p>
      <w:pPr>
        <w:keepNext/>
        <w:spacing w:before="320" w:after="120"/>
      </w:pPr>
      <w:r>
        <w:rPr>
          <w:rFonts w:ascii="Calibri" w:hAnsi="Calibri"/>
          <w:b/>
          <w:color w:val="1B365D"/>
          <w:sz w:val="28"/>
        </w:rPr>
        <w:t>5. Business Benefits &amp; Implementation Challenges</w:t>
      </w:r>
    </w:p>
    <w:tbl>
      <w:tblPr>
        <w:tblW w:type="auto" w:w="0"/>
        <w:jc w:val="center"/>
        <w:tblLayout w:type="fixed"/>
        <w:tblLook w:firstColumn="1" w:firstRow="1" w:lastColumn="0" w:lastRow="0" w:noHBand="0" w:noVBand="1" w:val="04A0"/>
      </w:tblPr>
      <w:tblGrid>
        <w:gridCol w:w="4680"/>
        <w:gridCol w:w="4680"/>
      </w:tblGrid>
      <w:tr>
        <w:tc>
          <w:tcPr>
            <w:tcW w:type="dxa" w:w="4680"/>
            <w:shd w:fill="1B365D"/>
            <w:tcMar>
              <w:top w:w="100" w:type="dxa"/>
              <w:bottom w:w="100" w:type="dxa"/>
              <w:left w:w="100" w:type="dxa"/>
              <w:right w:w="100" w:type="dxa"/>
            </w:tcMar>
          </w:tcPr>
          <w:p>
            <w:pPr>
              <w:spacing w:before="80" w:after="80"/>
            </w:pPr>
            <w:r>
              <w:rPr>
                <w:b/>
                <w:color w:val="FFFFFF"/>
                <w:sz w:val="19"/>
              </w:rPr>
              <w:t>Business Benefits</w:t>
            </w:r>
          </w:p>
        </w:tc>
        <w:tc>
          <w:tcPr>
            <w:tcW w:type="dxa" w:w="4680"/>
            <w:shd w:fill="1B365D"/>
            <w:tcMar>
              <w:top w:w="100" w:type="dxa"/>
              <w:bottom w:w="100" w:type="dxa"/>
              <w:left w:w="100" w:type="dxa"/>
              <w:right w:w="100" w:type="dxa"/>
            </w:tcMar>
          </w:tcPr>
          <w:p>
            <w:pPr>
              <w:spacing w:before="80" w:after="80"/>
            </w:pPr>
            <w:r>
              <w:rPr>
                <w:b/>
                <w:color w:val="FFFFFF"/>
                <w:sz w:val="19"/>
              </w:rPr>
              <w:t>Implementation Challenges</w:t>
            </w:r>
          </w:p>
        </w:tc>
      </w:tr>
      <w:tr>
        <w:tc>
          <w:tcPr>
            <w:tcW w:type="dxa" w:w="4680"/>
            <w:shd w:fill="F9FAFC"/>
            <w:tcMar>
              <w:top w:w="80" w:type="dxa"/>
              <w:bottom w:w="80" w:type="dxa"/>
              <w:left w:w="100" w:type="dxa"/>
              <w:right w:w="100" w:type="dxa"/>
            </w:tcMar>
          </w:tcPr>
          <w:p>
            <w:pPr>
              <w:spacing w:before="60" w:after="60"/>
            </w:pPr>
            <w:r>
              <w:rPr>
                <w:color w:val="333333"/>
                <w:sz w:val="19"/>
              </w:rPr>
              <w:t>Real-time financial visibility across all business operations and subsidiaries.</w:t>
            </w:r>
          </w:p>
        </w:tc>
        <w:tc>
          <w:tcPr>
            <w:tcW w:type="dxa" w:w="4680"/>
            <w:shd w:fill="F9FAFC"/>
            <w:tcMar>
              <w:top w:w="80" w:type="dxa"/>
              <w:bottom w:w="80" w:type="dxa"/>
              <w:left w:w="100" w:type="dxa"/>
              <w:right w:w="100" w:type="dxa"/>
            </w:tcMar>
          </w:tcPr>
          <w:p>
            <w:pPr>
              <w:spacing w:before="60" w:after="60"/>
            </w:pPr>
            <w:r>
              <w:rPr>
                <w:color w:val="333333"/>
                <w:sz w:val="19"/>
              </w:rPr>
              <w:t>High implementation costs and licensing fees for enterprise-wide deployment.</w:t>
            </w:r>
          </w:p>
        </w:tc>
      </w:tr>
      <w:tr>
        <w:tc>
          <w:tcPr>
            <w:tcW w:type="dxa" w:w="4680"/>
            <w:shd w:fill="FFFFFF"/>
            <w:tcMar>
              <w:top w:w="80" w:type="dxa"/>
              <w:bottom w:w="80" w:type="dxa"/>
              <w:left w:w="100" w:type="dxa"/>
              <w:right w:w="100" w:type="dxa"/>
            </w:tcMar>
          </w:tcPr>
          <w:p>
            <w:pPr>
              <w:spacing w:before="60" w:after="60"/>
            </w:pPr>
            <w:r>
              <w:rPr>
                <w:color w:val="333333"/>
                <w:sz w:val="19"/>
              </w:rPr>
              <w:t>Automated regulatory compliance with GAAP, IFRS, and local tax structures.</w:t>
            </w:r>
          </w:p>
        </w:tc>
        <w:tc>
          <w:tcPr>
            <w:tcW w:type="dxa" w:w="4680"/>
            <w:shd w:fill="FFFFFF"/>
            <w:tcMar>
              <w:top w:w="80" w:type="dxa"/>
              <w:bottom w:w="80" w:type="dxa"/>
              <w:left w:w="100" w:type="dxa"/>
              <w:right w:w="100" w:type="dxa"/>
            </w:tcMar>
          </w:tcPr>
          <w:p>
            <w:pPr>
              <w:spacing w:before="60" w:after="60"/>
            </w:pPr>
            <w:r>
              <w:rPr>
                <w:color w:val="333333"/>
                <w:sz w:val="19"/>
              </w:rPr>
              <w:t>Complex configuration requiring highly skilled certified SAP FICO consultants.</w:t>
            </w:r>
          </w:p>
        </w:tc>
      </w:tr>
      <w:tr>
        <w:tc>
          <w:tcPr>
            <w:tcW w:type="dxa" w:w="4680"/>
            <w:shd w:fill="F9FAFC"/>
            <w:tcMar>
              <w:top w:w="80" w:type="dxa"/>
              <w:bottom w:w="80" w:type="dxa"/>
              <w:left w:w="100" w:type="dxa"/>
              <w:right w:w="100" w:type="dxa"/>
            </w:tcMar>
          </w:tcPr>
          <w:p>
            <w:pPr>
              <w:spacing w:before="60" w:after="60"/>
            </w:pPr>
            <w:r>
              <w:rPr>
                <w:color w:val="333333"/>
                <w:sz w:val="19"/>
              </w:rPr>
              <w:t>Elimination of manual data entry errors through cross-module integration.</w:t>
            </w:r>
          </w:p>
        </w:tc>
        <w:tc>
          <w:tcPr>
            <w:tcW w:type="dxa" w:w="4680"/>
            <w:shd w:fill="F9FAFC"/>
            <w:tcMar>
              <w:top w:w="80" w:type="dxa"/>
              <w:bottom w:w="80" w:type="dxa"/>
              <w:left w:w="100" w:type="dxa"/>
              <w:right w:w="100" w:type="dxa"/>
            </w:tcMar>
          </w:tcPr>
          <w:p>
            <w:pPr>
              <w:spacing w:before="60" w:after="60"/>
            </w:pPr>
            <w:r>
              <w:rPr>
                <w:color w:val="333333"/>
                <w:sz w:val="19"/>
              </w:rPr>
              <w:t>Significant change management and training required for finance staff.</w:t>
            </w:r>
          </w:p>
        </w:tc>
      </w:tr>
      <w:tr>
        <w:tc>
          <w:tcPr>
            <w:tcW w:type="dxa" w:w="4680"/>
            <w:shd w:fill="FFFFFF"/>
            <w:tcMar>
              <w:top w:w="80" w:type="dxa"/>
              <w:bottom w:w="80" w:type="dxa"/>
              <w:left w:w="100" w:type="dxa"/>
              <w:right w:w="100" w:type="dxa"/>
            </w:tcMar>
          </w:tcPr>
          <w:p>
            <w:pPr>
              <w:spacing w:before="60" w:after="60"/>
            </w:pPr>
            <w:r>
              <w:rPr>
                <w:color w:val="333333"/>
                <w:sz w:val="19"/>
              </w:rPr>
              <w:t>Enhanced managerial decision-making with detailed profitability metrics.</w:t>
            </w:r>
          </w:p>
        </w:tc>
        <w:tc>
          <w:tcPr>
            <w:tcW w:type="dxa" w:w="4680"/>
            <w:shd w:fill="FFFFFF"/>
            <w:tcMar>
              <w:top w:w="80" w:type="dxa"/>
              <w:bottom w:w="80" w:type="dxa"/>
              <w:left w:w="100" w:type="dxa"/>
              <w:right w:w="100" w:type="dxa"/>
            </w:tcMar>
          </w:tcPr>
          <w:p>
            <w:pPr>
              <w:spacing w:before="60" w:after="60"/>
            </w:pPr>
            <w:r>
              <w:rPr>
                <w:color w:val="333333"/>
                <w:sz w:val="19"/>
              </w:rPr>
              <w:t>Data migration risks from legacy systems into SAP master data structures.</w:t>
            </w:r>
          </w:p>
        </w:tc>
      </w:tr>
    </w:tbl>
    <w:p>
      <w:pPr>
        <w:keepNext/>
        <w:spacing w:before="320" w:after="120"/>
      </w:pPr>
      <w:r>
        <w:rPr>
          <w:rFonts w:ascii="Calibri" w:hAnsi="Calibri"/>
          <w:b/>
          <w:color w:val="1B365D"/>
          <w:sz w:val="28"/>
        </w:rPr>
        <w:t>6. Conclusion</w:t>
      </w:r>
    </w:p>
    <w:p>
      <w:pPr>
        <w:spacing w:after="240"/>
      </w:pPr>
      <w:r>
        <w:t>SAP FICO stands as an indispensable enterprise resource planning module that bridges compliance-driven external financial accounting with operational internal cost control. Its ability to seamlessly integrate with MM, SD, PP, and HCM ensures that organizations maintain total financial integrity, streamline audit readiness, and maximize operational profitability.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