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Plan Stratégique d'Engagement Client Virtual (Niveau B1)</w:t>
      </w:r>
    </w:p>
    <w:p>
      <w:pPr>
        <w:spacing w:before="0" w:after="280"/>
      </w:pPr>
      <w:r>
        <w:rPr>
          <w:rFonts w:ascii="Calibri" w:hAnsi="Calibri"/>
          <w:i/>
          <w:color w:val="4682B4"/>
          <w:sz w:val="26"/>
        </w:rPr>
        <w:t>Week 1 Task: Strategic Planning for French Customer Engagement in a Virtual Retail Environment</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pPr>
              <w:spacing w:after="40" w:before="40"/>
            </w:pPr>
            <w:r>
              <w:rPr>
                <w:b/>
                <w:color w:val="333333"/>
                <w:sz w:val="21"/>
              </w:rPr>
              <w:t>Auteur / Author:</w:t>
            </w:r>
          </w:p>
        </w:tc>
        <w:tc>
          <w:tcPr>
            <w:tcW w:type="dxa" w:w="4680"/>
            <w:shd w:fill="F0F4F8"/>
            <w:tcMar>
              <w:top w:w="80" w:type="dxa"/>
              <w:bottom w:w="80" w:type="dxa"/>
              <w:left w:w="120" w:type="dxa"/>
              <w:right w:w="120" w:type="dxa"/>
            </w:tcMar>
          </w:tcPr>
          <w:p>
            <w:pPr>
              <w:spacing w:after="40" w:before="40"/>
            </w:pPr>
            <w:r>
              <w:rPr>
                <w:b w:val="0"/>
                <w:color w:val="333333"/>
                <w:sz w:val="21"/>
              </w:rPr>
              <w:t>Sachin Vishwakarma</w:t>
            </w:r>
          </w:p>
        </w:tc>
      </w:tr>
      <w:tr>
        <w:tc>
          <w:tcPr>
            <w:tcW w:type="dxa" w:w="4680"/>
            <w:shd w:fill="F0F4F8"/>
            <w:tcMar>
              <w:top w:w="80" w:type="dxa"/>
              <w:bottom w:w="80" w:type="dxa"/>
              <w:left w:w="120" w:type="dxa"/>
              <w:right w:w="120" w:type="dxa"/>
            </w:tcMar>
          </w:tcPr>
          <w:p>
            <w:pPr>
              <w:spacing w:after="40" w:before="40"/>
            </w:pPr>
            <w:r>
              <w:rPr>
                <w:b/>
                <w:color w:val="333333"/>
                <w:sz w:val="21"/>
              </w:rPr>
              <w:t>Niveau de Langue / Language Level:</w:t>
            </w:r>
          </w:p>
        </w:tc>
        <w:tc>
          <w:tcPr>
            <w:tcW w:type="dxa" w:w="4680"/>
            <w:shd w:fill="F0F4F8"/>
            <w:tcMar>
              <w:top w:w="80" w:type="dxa"/>
              <w:bottom w:w="80" w:type="dxa"/>
              <w:left w:w="120" w:type="dxa"/>
              <w:right w:w="120" w:type="dxa"/>
            </w:tcMar>
          </w:tcPr>
          <w:p>
            <w:pPr>
              <w:spacing w:after="40" w:before="40"/>
            </w:pPr>
            <w:r>
              <w:rPr>
                <w:b w:val="0"/>
                <w:color w:val="333333"/>
                <w:sz w:val="21"/>
              </w:rPr>
              <w:t>Français B1 (Intermediate French)</w:t>
            </w:r>
          </w:p>
        </w:tc>
      </w:tr>
    </w:tbl>
    <w:p>
      <w:pPr>
        <w:spacing w:after="200"/>
      </w:pPr>
    </w:p>
    <w:p>
      <w:pPr>
        <w:keepNext/>
        <w:spacing w:before="320" w:after="120"/>
      </w:pPr>
      <w:r>
        <w:rPr>
          <w:rFonts w:ascii="Calibri" w:hAnsi="Calibri"/>
          <w:b/>
          <w:color w:val="1B365D"/>
          <w:sz w:val="28"/>
        </w:rPr>
        <w:t>1. Introduction (Introduction et Contexte)</w:t>
      </w:r>
    </w:p>
    <w:p>
      <w:pPr>
        <w:spacing w:before="0" w:after="120" w:line="276" w:lineRule="auto"/>
      </w:pPr>
      <w:r>
        <w:rPr>
          <w:color w:val="333333"/>
        </w:rPr>
        <w:t>Dans le secteur de la vente au détail en ligne (virtual retail), l'engagement des clients est essentiel pour assurer la fidélité et la croissance des ventes. Aujourd'hui, les consommateurs francophones recherchent une expérience d'achat personnalisée, rapide et professionnelle. Ce rapport présente un plan stratégique complet destiné à améliorer la relation client virtuelle en utilisant la langue française au niveau B1. L'objectif principal est de créer une communication fluide et efficace à travers des canaux numériques tels que les réseaux sociaux, le courrier électronique et le service client virtuel.</w:t>
      </w:r>
    </w:p>
    <w:p>
      <w:pPr>
        <w:keepNext/>
        <w:spacing w:before="320" w:after="120"/>
      </w:pPr>
      <w:r>
        <w:rPr>
          <w:rFonts w:ascii="Calibri" w:hAnsi="Calibri"/>
          <w:b/>
          <w:color w:val="1B365D"/>
          <w:sz w:val="28"/>
        </w:rPr>
        <w:t>2. Revue de la Littérature (Literature Review &amp; Strategic Trends)</w:t>
      </w:r>
    </w:p>
    <w:p>
      <w:pPr>
        <w:spacing w:before="0" w:after="120" w:line="276" w:lineRule="auto"/>
      </w:pPr>
      <w:r>
        <w:rPr>
          <w:color w:val="333333"/>
        </w:rPr>
        <w:t>L'analyse des tendances actuelles du commerce électronique montre que la satisfaction du client dépend fortement de la qualité de la communication virtuelle. Selon les recherches récentes en marketing digital :</w:t>
      </w:r>
    </w:p>
    <w:p>
      <w:pPr>
        <w:pStyle w:val="ListBullet"/>
        <w:spacing w:before="0" w:after="80"/>
      </w:pPr>
      <w:r>
        <w:rPr>
          <w:b/>
          <w:color w:val="333333"/>
        </w:rPr>
        <w:t>Personnalisation Linguistique :</w:t>
      </w:r>
      <w:r>
        <w:rPr>
          <w:color w:val="333333"/>
        </w:rPr>
        <w:t xml:space="preserve"> Les clients préfèrent acheter sur des sites web qui offrent un support dans leur langue maternelle. Une communication claire en français renforce la confiance.</w:t>
      </w:r>
    </w:p>
    <w:p>
      <w:pPr>
        <w:pStyle w:val="ListBullet"/>
        <w:spacing w:before="0" w:after="80"/>
      </w:pPr>
      <w:r>
        <w:rPr>
          <w:b/>
          <w:color w:val="333333"/>
        </w:rPr>
        <w:t>Réseaux Sociaux et Omnicanalité :</w:t>
      </w:r>
      <w:r>
        <w:rPr>
          <w:color w:val="333333"/>
        </w:rPr>
        <w:t xml:space="preserve"> L'utilisation des réseaux sociaux comme Instagram, Facebook et LinkedIn permet de créer une communauté active et d'interagir directement avec les consommateurs.</w:t>
      </w:r>
    </w:p>
    <w:p>
      <w:pPr>
        <w:pStyle w:val="ListBullet"/>
        <w:spacing w:before="0" w:after="80"/>
      </w:pPr>
      <w:r>
        <w:rPr>
          <w:b/>
          <w:color w:val="333333"/>
        </w:rPr>
        <w:t>Réactivité du Service Client :</w:t>
      </w:r>
      <w:r>
        <w:rPr>
          <w:color w:val="333333"/>
        </w:rPr>
        <w:t xml:space="preserve"> Un service client réactif grâce à des chatbots intelligents et des e-mails personnalisés améliore considérablement le taux de rétention des clients.</w:t>
      </w:r>
    </w:p>
    <w:p>
      <w:pPr>
        <w:keepNext/>
        <w:spacing w:before="320" w:after="120"/>
      </w:pPr>
      <w:r>
        <w:rPr>
          <w:rFonts w:ascii="Calibri" w:hAnsi="Calibri"/>
          <w:b/>
          <w:color w:val="1B365D"/>
          <w:sz w:val="28"/>
        </w:rPr>
        <w:t>3. Objectifs Stratégiques (Strategic Objectives)</w:t>
      </w:r>
    </w:p>
    <w:p>
      <w:pPr>
        <w:spacing w:before="0" w:after="120" w:line="276" w:lineRule="auto"/>
      </w:pPr>
      <w:r>
        <w:rPr>
          <w:color w:val="333333"/>
        </w:rPr>
        <w:t>Pour répondre aux besoins des clients francophones, notre stratégie s'articule autour de trois objectifs clairs :</w:t>
      </w:r>
    </w:p>
    <w:p>
      <w:pPr>
        <w:pStyle w:val="ListBullet"/>
        <w:spacing w:before="0" w:after="80"/>
      </w:pPr>
      <w:r>
        <w:rPr>
          <w:b/>
          <w:color w:val="333333"/>
        </w:rPr>
        <w:t>Objectif 1 (Visibilité) :</w:t>
      </w:r>
      <w:r>
        <w:rPr>
          <w:color w:val="333333"/>
        </w:rPr>
        <w:t xml:space="preserve"> Augmenter l'engagement sur les plateformes de réseaux sociaux de 25 % au cours des trois prochains mois.</w:t>
      </w:r>
    </w:p>
    <w:p>
      <w:pPr>
        <w:pStyle w:val="ListBullet"/>
        <w:spacing w:before="0" w:after="80"/>
      </w:pPr>
      <w:r>
        <w:rPr>
          <w:b/>
          <w:color w:val="333333"/>
        </w:rPr>
        <w:t>Objectif 2 (Service Client) :</w:t>
      </w:r>
      <w:r>
        <w:rPr>
          <w:color w:val="333333"/>
        </w:rPr>
        <w:t xml:space="preserve"> Réduire le temps de réponse du service client virtuel à moins de deux heures pour chaque demande en ligne.</w:t>
      </w:r>
    </w:p>
    <w:p>
      <w:pPr>
        <w:pStyle w:val="ListBullet"/>
        <w:spacing w:before="0" w:after="80"/>
      </w:pPr>
      <w:r>
        <w:rPr>
          <w:b/>
          <w:color w:val="333333"/>
        </w:rPr>
        <w:t>Objectif 3 (Fidélisation) :</w:t>
      </w:r>
      <w:r>
        <w:rPr>
          <w:color w:val="333333"/>
        </w:rPr>
        <w:t xml:space="preserve"> Améliorer la fidélité des clients grâce à des campagnes de promotion en ligne ciblées et personnalisées.</w:t>
      </w:r>
    </w:p>
    <w:p>
      <w:pPr>
        <w:keepNext/>
        <w:spacing w:before="320" w:after="120"/>
      </w:pPr>
      <w:r>
        <w:rPr>
          <w:rFonts w:ascii="Calibri" w:hAnsi="Calibri"/>
          <w:b/>
          <w:color w:val="1B365D"/>
          <w:sz w:val="28"/>
        </w:rPr>
        <w:t>4. Plan d'Action et Initiatives Virtuelles (Strategy Action Plan)</w:t>
      </w:r>
    </w:p>
    <w:p>
      <w:pPr>
        <w:spacing w:before="0" w:after="120" w:line="276" w:lineRule="auto"/>
      </w:pPr>
      <w:r>
        <w:rPr>
          <w:color w:val="333333"/>
        </w:rPr>
        <w:t>Afin d'atteindre ces objectifs, nous proposons trois initiatives stratégiques majeures adaptées au contexte virtuel :</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00" w:type="dxa"/>
              <w:bottom w:w="100" w:type="dxa"/>
              <w:left w:w="100" w:type="dxa"/>
              <w:right w:w="100" w:type="dxa"/>
            </w:tcMar>
          </w:tcPr>
          <w:p>
            <w:pPr>
              <w:spacing w:before="80" w:after="80"/>
            </w:pPr>
            <w:r>
              <w:rPr>
                <w:b/>
                <w:color w:val="FFFFFF"/>
                <w:sz w:val="19"/>
              </w:rPr>
              <w:t>Initiative</w:t>
            </w:r>
          </w:p>
        </w:tc>
        <w:tc>
          <w:tcPr>
            <w:tcW w:type="dxa" w:w="2448"/>
            <w:shd w:fill="1B365D"/>
            <w:tcMar>
              <w:top w:w="100" w:type="dxa"/>
              <w:bottom w:w="100" w:type="dxa"/>
              <w:left w:w="100" w:type="dxa"/>
              <w:right w:w="100" w:type="dxa"/>
            </w:tcMar>
          </w:tcPr>
          <w:p>
            <w:pPr>
              <w:spacing w:before="80" w:after="80"/>
            </w:pPr>
            <w:r>
              <w:rPr>
                <w:b/>
                <w:color w:val="FFFFFF"/>
                <w:sz w:val="19"/>
              </w:rPr>
              <w:t>Canal Virtuel (Virtual Channel)</w:t>
            </w:r>
          </w:p>
        </w:tc>
        <w:tc>
          <w:tcPr>
            <w:tcW w:type="dxa" w:w="4320"/>
            <w:shd w:fill="1B365D"/>
            <w:tcMar>
              <w:top w:w="100" w:type="dxa"/>
              <w:bottom w:w="100" w:type="dxa"/>
              <w:left w:w="100" w:type="dxa"/>
              <w:right w:w="100" w:type="dxa"/>
            </w:tcMar>
          </w:tcPr>
          <w:p>
            <w:pPr>
              <w:spacing w:before="80" w:after="80"/>
            </w:pPr>
            <w:r>
              <w:rPr>
                <w:b/>
                <w:color w:val="FFFFFF"/>
                <w:sz w:val="19"/>
              </w:rPr>
              <w:t>Description et Actions (Level B1 French)</w:t>
            </w:r>
          </w:p>
        </w:tc>
      </w:tr>
      <w:tr>
        <w:tc>
          <w:tcPr>
            <w:tcW w:type="dxa" w:w="2592"/>
            <w:shd w:fill="F9FAFC"/>
            <w:tcMar>
              <w:top w:w="80" w:type="dxa"/>
              <w:bottom w:w="80" w:type="dxa"/>
              <w:left w:w="100" w:type="dxa"/>
              <w:right w:w="100" w:type="dxa"/>
            </w:tcMar>
          </w:tcPr>
          <w:p>
            <w:pPr>
              <w:spacing w:before="60" w:after="60"/>
            </w:pPr>
            <w:r>
              <w:rPr>
                <w:b/>
                <w:color w:val="1B365D"/>
                <w:sz w:val="19"/>
              </w:rPr>
              <w:t>Promotions en Ligne (Online Promotions)</w:t>
            </w:r>
          </w:p>
        </w:tc>
        <w:tc>
          <w:tcPr>
            <w:tcW w:type="dxa" w:w="2448"/>
            <w:shd w:fill="F9FAFC"/>
            <w:tcMar>
              <w:top w:w="80" w:type="dxa"/>
              <w:bottom w:w="80" w:type="dxa"/>
              <w:left w:w="100" w:type="dxa"/>
              <w:right w:w="100" w:type="dxa"/>
            </w:tcMar>
          </w:tcPr>
          <w:p>
            <w:pPr>
              <w:spacing w:before="60" w:after="60"/>
            </w:pPr>
            <w:r>
              <w:rPr>
                <w:color w:val="333333"/>
                <w:sz w:val="19"/>
              </w:rPr>
              <w:t>E-mail Marketing &amp; Newsletter</w:t>
            </w:r>
          </w:p>
        </w:tc>
        <w:tc>
          <w:tcPr>
            <w:tcW w:type="dxa" w:w="4320"/>
            <w:shd w:fill="F9FAFC"/>
            <w:tcMar>
              <w:top w:w="80" w:type="dxa"/>
              <w:bottom w:w="80" w:type="dxa"/>
              <w:left w:w="100" w:type="dxa"/>
              <w:right w:w="100" w:type="dxa"/>
            </w:tcMar>
          </w:tcPr>
          <w:p>
            <w:pPr>
              <w:spacing w:before="60" w:after="60"/>
            </w:pPr>
            <w:r>
              <w:rPr>
                <w:color w:val="333333"/>
                <w:sz w:val="19"/>
              </w:rPr>
              <w:t>Envoi de newsletters mensuelles avec des réductions exclusives et des recommandations de produits adaptées.</w:t>
            </w:r>
          </w:p>
        </w:tc>
      </w:tr>
      <w:tr>
        <w:tc>
          <w:tcPr>
            <w:tcW w:type="dxa" w:w="2592"/>
            <w:shd w:fill="FFFFFF"/>
            <w:tcMar>
              <w:top w:w="80" w:type="dxa"/>
              <w:bottom w:w="80" w:type="dxa"/>
              <w:left w:w="100" w:type="dxa"/>
              <w:right w:w="100" w:type="dxa"/>
            </w:tcMar>
          </w:tcPr>
          <w:p>
            <w:pPr>
              <w:spacing w:before="60" w:after="60"/>
            </w:pPr>
            <w:r>
              <w:rPr>
                <w:b/>
                <w:color w:val="1B365D"/>
                <w:sz w:val="19"/>
              </w:rPr>
              <w:t>Engagement sur les Réseaux Sociaux</w:t>
            </w:r>
          </w:p>
        </w:tc>
        <w:tc>
          <w:tcPr>
            <w:tcW w:type="dxa" w:w="2448"/>
            <w:shd w:fill="FFFFFF"/>
            <w:tcMar>
              <w:top w:w="80" w:type="dxa"/>
              <w:bottom w:w="80" w:type="dxa"/>
              <w:left w:w="100" w:type="dxa"/>
              <w:right w:w="100" w:type="dxa"/>
            </w:tcMar>
          </w:tcPr>
          <w:p>
            <w:pPr>
              <w:spacing w:before="60" w:after="60"/>
            </w:pPr>
            <w:r>
              <w:rPr>
                <w:color w:val="333333"/>
                <w:sz w:val="19"/>
              </w:rPr>
              <w:t>Instagram &amp; Facebook Live</w:t>
            </w:r>
          </w:p>
        </w:tc>
        <w:tc>
          <w:tcPr>
            <w:tcW w:type="dxa" w:w="4320"/>
            <w:shd w:fill="FFFFFF"/>
            <w:tcMar>
              <w:top w:w="80" w:type="dxa"/>
              <w:bottom w:w="80" w:type="dxa"/>
              <w:left w:w="100" w:type="dxa"/>
              <w:right w:w="100" w:type="dxa"/>
            </w:tcMar>
          </w:tcPr>
          <w:p>
            <w:pPr>
              <w:spacing w:before="60" w:after="60"/>
            </w:pPr>
            <w:r>
              <w:rPr>
                <w:color w:val="333333"/>
                <w:sz w:val="19"/>
              </w:rPr>
              <w:t>Organisation de sessions en direct pour présenter de nouveaux produits et répondre aux questions des clients en français.</w:t>
            </w:r>
          </w:p>
        </w:tc>
      </w:tr>
      <w:tr>
        <w:tc>
          <w:tcPr>
            <w:tcW w:type="dxa" w:w="2592"/>
            <w:shd w:fill="F9FAFC"/>
            <w:tcMar>
              <w:top w:w="80" w:type="dxa"/>
              <w:bottom w:w="80" w:type="dxa"/>
              <w:left w:w="100" w:type="dxa"/>
              <w:right w:w="100" w:type="dxa"/>
            </w:tcMar>
          </w:tcPr>
          <w:p>
            <w:pPr>
              <w:spacing w:before="60" w:after="60"/>
            </w:pPr>
            <w:r>
              <w:rPr>
                <w:b/>
                <w:color w:val="1B365D"/>
                <w:sz w:val="19"/>
              </w:rPr>
              <w:t>Module de Service Client Interactif</w:t>
            </w:r>
          </w:p>
        </w:tc>
        <w:tc>
          <w:tcPr>
            <w:tcW w:type="dxa" w:w="2448"/>
            <w:shd w:fill="F9FAFC"/>
            <w:tcMar>
              <w:top w:w="80" w:type="dxa"/>
              <w:bottom w:w="80" w:type="dxa"/>
              <w:left w:w="100" w:type="dxa"/>
              <w:right w:w="100" w:type="dxa"/>
            </w:tcMar>
          </w:tcPr>
          <w:p>
            <w:pPr>
              <w:spacing w:before="60" w:after="60"/>
            </w:pPr>
            <w:r>
              <w:rPr>
                <w:color w:val="333333"/>
                <w:sz w:val="19"/>
              </w:rPr>
              <w:t>Chatbot &amp; Helpdesk Virtuel</w:t>
            </w:r>
          </w:p>
        </w:tc>
        <w:tc>
          <w:tcPr>
            <w:tcW w:type="dxa" w:w="4320"/>
            <w:shd w:fill="F9FAFC"/>
            <w:tcMar>
              <w:top w:w="80" w:type="dxa"/>
              <w:bottom w:w="80" w:type="dxa"/>
              <w:left w:w="100" w:type="dxa"/>
              <w:right w:w="100" w:type="dxa"/>
            </w:tcMar>
          </w:tcPr>
          <w:p>
            <w:pPr>
              <w:spacing w:before="60" w:after="60"/>
            </w:pPr>
            <w:r>
              <w:rPr>
                <w:color w:val="333333"/>
                <w:sz w:val="19"/>
              </w:rPr>
              <w:t>Mise en place d'un assistant virtuel automatique pour fournir des réponses rapides aux questions fréquentes (FAQ).</w:t>
            </w:r>
          </w:p>
        </w:tc>
      </w:tr>
    </w:tbl>
    <w:p>
      <w:pPr>
        <w:keepNext/>
        <w:spacing w:before="320" w:after="120"/>
      </w:pPr>
      <w:r>
        <w:rPr>
          <w:rFonts w:ascii="Calibri" w:hAnsi="Calibri"/>
          <w:b/>
          <w:color w:val="1B365D"/>
          <w:sz w:val="28"/>
        </w:rPr>
        <w:t>5. Calendrier d'Exécution et Chronogramme (Timeline &amp; Effort)</w:t>
      </w:r>
    </w:p>
    <w:p>
      <w:pPr>
        <w:spacing w:before="0" w:after="120" w:line="276" w:lineRule="auto"/>
      </w:pPr>
      <w:r>
        <w:rPr>
          <w:color w:val="333333"/>
        </w:rPr>
        <w:t>La réalisation complète de cette stratégie d'engagement client est planifiée sur un effort total estimé à 32 heures de travail (dans la plage recommandée de 30 à 35 heures) :</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Mar>
              <w:top w:w="100" w:type="dxa"/>
              <w:bottom w:w="100" w:type="dxa"/>
              <w:left w:w="100" w:type="dxa"/>
              <w:right w:w="100" w:type="dxa"/>
            </w:tcMar>
          </w:tcPr>
          <w:p>
            <w:pPr>
              <w:spacing w:before="80" w:after="80"/>
            </w:pPr>
            <w:r>
              <w:rPr>
                <w:b/>
                <w:color w:val="FFFFFF"/>
                <w:sz w:val="19"/>
              </w:rPr>
              <w:t>Phase du Projet</w:t>
            </w:r>
          </w:p>
        </w:tc>
        <w:tc>
          <w:tcPr>
            <w:tcW w:type="dxa" w:w="4752"/>
            <w:shd w:fill="1B365D"/>
            <w:tcMar>
              <w:top w:w="100" w:type="dxa"/>
              <w:bottom w:w="100" w:type="dxa"/>
              <w:left w:w="100" w:type="dxa"/>
              <w:right w:w="100" w:type="dxa"/>
            </w:tcMar>
          </w:tcPr>
          <w:p>
            <w:pPr>
              <w:spacing w:before="80" w:after="80"/>
            </w:pPr>
            <w:r>
              <w:rPr>
                <w:b/>
                <w:color w:val="FFFFFF"/>
                <w:sz w:val="19"/>
              </w:rPr>
              <w:t>Activités Principales</w:t>
            </w:r>
          </w:p>
        </w:tc>
        <w:tc>
          <w:tcPr>
            <w:tcW w:type="dxa" w:w="1728"/>
            <w:shd w:fill="1B365D"/>
            <w:tcMar>
              <w:top w:w="100" w:type="dxa"/>
              <w:bottom w:w="100" w:type="dxa"/>
              <w:left w:w="100" w:type="dxa"/>
              <w:right w:w="100" w:type="dxa"/>
            </w:tcMar>
          </w:tcPr>
          <w:p>
            <w:pPr>
              <w:spacing w:before="80" w:after="80"/>
            </w:pPr>
            <w:r>
              <w:rPr>
                <w:b/>
                <w:color w:val="FFFFFF"/>
                <w:sz w:val="19"/>
              </w:rPr>
              <w:t>Temps Estimé (Hours)</w:t>
            </w:r>
          </w:p>
        </w:tc>
      </w:tr>
      <w:tr>
        <w:tc>
          <w:tcPr>
            <w:tcW w:type="dxa" w:w="2880"/>
            <w:shd w:fill="F9FAFC"/>
            <w:tcMar>
              <w:top w:w="80" w:type="dxa"/>
              <w:bottom w:w="80" w:type="dxa"/>
              <w:left w:w="100" w:type="dxa"/>
              <w:right w:w="100" w:type="dxa"/>
            </w:tcMar>
          </w:tcPr>
          <w:p>
            <w:pPr>
              <w:spacing w:before="60" w:after="60"/>
            </w:pPr>
            <w:r>
              <w:rPr>
                <w:b/>
                <w:color w:val="1B365D"/>
                <w:sz w:val="19"/>
              </w:rPr>
              <w:t>Phase 1 : Recherche &amp; Analyse</w:t>
            </w:r>
          </w:p>
        </w:tc>
        <w:tc>
          <w:tcPr>
            <w:tcW w:type="dxa" w:w="4752"/>
            <w:shd w:fill="F9FAFC"/>
            <w:tcMar>
              <w:top w:w="80" w:type="dxa"/>
              <w:bottom w:w="80" w:type="dxa"/>
              <w:left w:w="100" w:type="dxa"/>
              <w:right w:w="100" w:type="dxa"/>
            </w:tcMar>
          </w:tcPr>
          <w:p>
            <w:pPr>
              <w:spacing w:before="60" w:after="60"/>
            </w:pPr>
            <w:r>
              <w:rPr>
                <w:color w:val="333333"/>
                <w:sz w:val="19"/>
              </w:rPr>
              <w:t>Étude de marché et analyse des comportements des clients francophones.</w:t>
            </w:r>
          </w:p>
        </w:tc>
        <w:tc>
          <w:tcPr>
            <w:tcW w:type="dxa" w:w="1728"/>
            <w:shd w:fill="F9FAFC"/>
            <w:tcMar>
              <w:top w:w="80" w:type="dxa"/>
              <w:bottom w:w="80" w:type="dxa"/>
              <w:left w:w="100" w:type="dxa"/>
              <w:right w:w="100" w:type="dxa"/>
            </w:tcMar>
          </w:tcPr>
          <w:p>
            <w:pPr>
              <w:spacing w:before="60" w:after="60"/>
            </w:pPr>
            <w:r>
              <w:rPr>
                <w:color w:val="333333"/>
                <w:sz w:val="19"/>
              </w:rPr>
              <w:t>6 Heures</w:t>
            </w:r>
          </w:p>
        </w:tc>
      </w:tr>
      <w:tr>
        <w:tc>
          <w:tcPr>
            <w:tcW w:type="dxa" w:w="2880"/>
            <w:shd w:fill="FFFFFF"/>
            <w:tcMar>
              <w:top w:w="80" w:type="dxa"/>
              <w:bottom w:w="80" w:type="dxa"/>
              <w:left w:w="100" w:type="dxa"/>
              <w:right w:w="100" w:type="dxa"/>
            </w:tcMar>
          </w:tcPr>
          <w:p>
            <w:pPr>
              <w:spacing w:before="60" w:after="60"/>
            </w:pPr>
            <w:r>
              <w:rPr>
                <w:b/>
                <w:color w:val="1B365D"/>
                <w:sz w:val="19"/>
              </w:rPr>
              <w:t>Phase 2 : Rédaction des Contenus</w:t>
            </w:r>
          </w:p>
        </w:tc>
        <w:tc>
          <w:tcPr>
            <w:tcW w:type="dxa" w:w="4752"/>
            <w:shd w:fill="FFFFFF"/>
            <w:tcMar>
              <w:top w:w="80" w:type="dxa"/>
              <w:bottom w:w="80" w:type="dxa"/>
              <w:left w:w="100" w:type="dxa"/>
              <w:right w:w="100" w:type="dxa"/>
            </w:tcMar>
          </w:tcPr>
          <w:p>
            <w:pPr>
              <w:spacing w:before="60" w:after="60"/>
            </w:pPr>
            <w:r>
              <w:rPr>
                <w:color w:val="333333"/>
                <w:sz w:val="19"/>
              </w:rPr>
              <w:t>Création de modèles d'e-mails, de scripts de chatbot et de publications en français B1.</w:t>
            </w:r>
          </w:p>
        </w:tc>
        <w:tc>
          <w:tcPr>
            <w:tcW w:type="dxa" w:w="1728"/>
            <w:shd w:fill="FFFFFF"/>
            <w:tcMar>
              <w:top w:w="80" w:type="dxa"/>
              <w:bottom w:w="80" w:type="dxa"/>
              <w:left w:w="100" w:type="dxa"/>
              <w:right w:w="100" w:type="dxa"/>
            </w:tcMar>
          </w:tcPr>
          <w:p>
            <w:pPr>
              <w:spacing w:before="60" w:after="60"/>
            </w:pPr>
            <w:r>
              <w:rPr>
                <w:color w:val="333333"/>
                <w:sz w:val="19"/>
              </w:rPr>
              <w:t>10 Heures</w:t>
            </w:r>
          </w:p>
        </w:tc>
      </w:tr>
      <w:tr>
        <w:tc>
          <w:tcPr>
            <w:tcW w:type="dxa" w:w="2880"/>
            <w:shd w:fill="F9FAFC"/>
            <w:tcMar>
              <w:top w:w="80" w:type="dxa"/>
              <w:bottom w:w="80" w:type="dxa"/>
              <w:left w:w="100" w:type="dxa"/>
              <w:right w:w="100" w:type="dxa"/>
            </w:tcMar>
          </w:tcPr>
          <w:p>
            <w:pPr>
              <w:spacing w:before="60" w:after="60"/>
            </w:pPr>
            <w:r>
              <w:rPr>
                <w:b/>
                <w:color w:val="1B365D"/>
                <w:sz w:val="19"/>
              </w:rPr>
              <w:t>Phase 3 : Déploiement Virtuel</w:t>
            </w:r>
          </w:p>
        </w:tc>
        <w:tc>
          <w:tcPr>
            <w:tcW w:type="dxa" w:w="4752"/>
            <w:shd w:fill="F9FAFC"/>
            <w:tcMar>
              <w:top w:w="80" w:type="dxa"/>
              <w:bottom w:w="80" w:type="dxa"/>
              <w:left w:w="100" w:type="dxa"/>
              <w:right w:w="100" w:type="dxa"/>
            </w:tcMar>
          </w:tcPr>
          <w:p>
            <w:pPr>
              <w:spacing w:before="60" w:after="60"/>
            </w:pPr>
            <w:r>
              <w:rPr>
                <w:color w:val="333333"/>
                <w:sz w:val="19"/>
              </w:rPr>
              <w:t>Configuration des outils de communication et lancement des campagnes sur les réseaux sociaux.</w:t>
            </w:r>
          </w:p>
        </w:tc>
        <w:tc>
          <w:tcPr>
            <w:tcW w:type="dxa" w:w="1728"/>
            <w:shd w:fill="F9FAFC"/>
            <w:tcMar>
              <w:top w:w="80" w:type="dxa"/>
              <w:bottom w:w="80" w:type="dxa"/>
              <w:left w:w="100" w:type="dxa"/>
              <w:right w:w="100" w:type="dxa"/>
            </w:tcMar>
          </w:tcPr>
          <w:p>
            <w:pPr>
              <w:spacing w:before="60" w:after="60"/>
            </w:pPr>
            <w:r>
              <w:rPr>
                <w:color w:val="333333"/>
                <w:sz w:val="19"/>
              </w:rPr>
              <w:t>8 Heures</w:t>
            </w:r>
          </w:p>
        </w:tc>
      </w:tr>
      <w:tr>
        <w:tc>
          <w:tcPr>
            <w:tcW w:type="dxa" w:w="2880"/>
            <w:shd w:fill="FFFFFF"/>
            <w:tcMar>
              <w:top w:w="80" w:type="dxa"/>
              <w:bottom w:w="80" w:type="dxa"/>
              <w:left w:w="100" w:type="dxa"/>
              <w:right w:w="100" w:type="dxa"/>
            </w:tcMar>
          </w:tcPr>
          <w:p>
            <w:pPr>
              <w:spacing w:before="60" w:after="60"/>
            </w:pPr>
            <w:r>
              <w:rPr>
                <w:b/>
                <w:color w:val="1B365D"/>
                <w:sz w:val="19"/>
              </w:rPr>
              <w:t>Phase 4 : Évaluation &amp; Rapport</w:t>
            </w:r>
          </w:p>
        </w:tc>
        <w:tc>
          <w:tcPr>
            <w:tcW w:type="dxa" w:w="4752"/>
            <w:shd w:fill="FFFFFF"/>
            <w:tcMar>
              <w:top w:w="80" w:type="dxa"/>
              <w:bottom w:w="80" w:type="dxa"/>
              <w:left w:w="100" w:type="dxa"/>
              <w:right w:w="100" w:type="dxa"/>
            </w:tcMar>
          </w:tcPr>
          <w:p>
            <w:pPr>
              <w:spacing w:before="60" w:after="60"/>
            </w:pPr>
            <w:r>
              <w:rPr>
                <w:color w:val="333333"/>
                <w:sz w:val="19"/>
              </w:rPr>
              <w:t>Analyse des résultats, collecte des retours clients et rédaction du rapport final.</w:t>
            </w:r>
          </w:p>
        </w:tc>
        <w:tc>
          <w:tcPr>
            <w:tcW w:type="dxa" w:w="1728"/>
            <w:shd w:fill="FFFFFF"/>
            <w:tcMar>
              <w:top w:w="80" w:type="dxa"/>
              <w:bottom w:w="80" w:type="dxa"/>
              <w:left w:w="100" w:type="dxa"/>
              <w:right w:w="100" w:type="dxa"/>
            </w:tcMar>
          </w:tcPr>
          <w:p>
            <w:pPr>
              <w:spacing w:before="60" w:after="60"/>
            </w:pPr>
            <w:r>
              <w:rPr>
                <w:color w:val="333333"/>
                <w:sz w:val="19"/>
              </w:rPr>
              <w:t>8 Heures</w:t>
            </w:r>
          </w:p>
        </w:tc>
      </w:tr>
    </w:tbl>
    <w:p>
      <w:pPr>
        <w:keepNext/>
        <w:spacing w:before="320" w:after="120"/>
      </w:pPr>
      <w:r>
        <w:rPr>
          <w:rFonts w:ascii="Calibri" w:hAnsi="Calibri"/>
          <w:b/>
          <w:color w:val="1B365D"/>
          <w:sz w:val="28"/>
        </w:rPr>
        <w:t>6. Conclusion et Recommandations (Conclusion &amp; Recommendations)</w:t>
      </w:r>
    </w:p>
    <w:p>
      <w:pPr>
        <w:spacing w:before="0" w:after="120" w:line="276" w:lineRule="auto"/>
      </w:pPr>
      <w:r>
        <w:rPr>
          <w:color w:val="333333"/>
        </w:rPr>
        <w:t>En conclusion, la mise en œuvre d'une stratégie d'engagement client virtuelle ciblée en langue française constitue un levier majeur pour renforcer la présence sur le marché francophone. En combinant des promotions en ligne attractives, une présence dynamique sur les réseaux sociaux et un service client interactif rapide, l'entreprise peut développer une relation de confiance durable avec ses clients.</w:t>
      </w:r>
    </w:p>
    <w:p>
      <w:pPr>
        <w:spacing w:before="0" w:after="120" w:line="276" w:lineRule="auto"/>
      </w:pPr>
      <w:r>
        <w:rPr>
          <w:color w:val="333333"/>
        </w:rPr>
        <w:t>Recommandations pour la mise en œuvre :</w:t>
      </w:r>
    </w:p>
    <w:p>
      <w:pPr>
        <w:pStyle w:val="ListBullet"/>
        <w:spacing w:before="0" w:after="80"/>
      </w:pPr>
      <w:r>
        <w:rPr>
          <w:b/>
          <w:color w:val="333333"/>
        </w:rPr>
        <w:t>1. Formation Continue :</w:t>
      </w:r>
      <w:r>
        <w:rPr>
          <w:color w:val="333333"/>
        </w:rPr>
        <w:t xml:space="preserve"> Assurer une formation continue de l'équipe de support client pour maintenir un niveau de langue professionnel et fluide.</w:t>
      </w:r>
    </w:p>
    <w:p>
      <w:pPr>
        <w:pStyle w:val="ListBullet"/>
        <w:spacing w:before="0" w:after="80"/>
      </w:pPr>
      <w:r>
        <w:rPr>
          <w:b/>
          <w:color w:val="333333"/>
        </w:rPr>
        <w:t>2. Suivi des Données :</w:t>
      </w:r>
      <w:r>
        <w:rPr>
          <w:color w:val="333333"/>
        </w:rPr>
        <w:t xml:space="preserve"> Analyser régulièrement les indicateurs de performance (KPI) tels que le taux d'ouverture des e-mails et le taux de conversion.</w:t>
      </w:r>
    </w:p>
    <w:p>
      <w:pPr>
        <w:pStyle w:val="ListBullet"/>
        <w:spacing w:before="0" w:after="80"/>
      </w:pPr>
      <w:r>
        <w:rPr>
          <w:b/>
          <w:color w:val="333333"/>
        </w:rPr>
        <w:t>3. Adaptation Culturelle :</w:t>
      </w:r>
      <w:r>
        <w:rPr>
          <w:color w:val="333333"/>
        </w:rPr>
        <w:t xml:space="preserve"> Adapter les messages marketing en fonction des fêtes culturelles et des tendances du marché francophone.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