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Strategic Agribusiness Data Collection &amp; Market Trend Analysis Plan</w:t>
      </w:r>
    </w:p>
    <w:p>
      <w:pPr>
        <w:spacing w:before="0" w:after="280"/>
      </w:pPr>
      <w:r>
        <w:rPr>
          <w:rFonts w:ascii="Calibri" w:hAnsi="Calibri"/>
          <w:i/>
          <w:color w:val="4682B4"/>
          <w:sz w:val="26"/>
        </w:rPr>
        <w:t>Week 1 Task: Forecasting Agricultural Market Dynamics using Public Open Data Frameworks</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pPr>
              <w:spacing w:after="40" w:before="40"/>
            </w:pPr>
            <w:r>
              <w:rPr>
                <w:b/>
                <w:color w:val="333333"/>
                <w:sz w:val="21"/>
              </w:rPr>
              <w:t>Author:</w:t>
            </w:r>
          </w:p>
        </w:tc>
        <w:tc>
          <w:tcPr>
            <w:tcW w:type="dxa" w:w="4680"/>
            <w:shd w:fill="F0F4F8"/>
            <w:tcMar>
              <w:top w:w="80" w:type="dxa"/>
              <w:bottom w:w="80" w:type="dxa"/>
              <w:left w:w="120" w:type="dxa"/>
              <w:right w:w="120" w:type="dxa"/>
            </w:tcMar>
          </w:tcPr>
          <w:p>
            <w:pPr>
              <w:spacing w:after="40" w:before="40"/>
            </w:pPr>
            <w:r>
              <w:rPr>
                <w:b w:val="0"/>
                <w:color w:val="333333"/>
                <w:sz w:val="21"/>
              </w:rPr>
              <w:t>Sachin Vishwakarma</w:t>
            </w:r>
          </w:p>
        </w:tc>
      </w:tr>
      <w:tr>
        <w:tc>
          <w:tcPr>
            <w:tcW w:type="dxa" w:w="4680"/>
            <w:shd w:fill="F0F4F8"/>
            <w:tcMar>
              <w:top w:w="80" w:type="dxa"/>
              <w:bottom w:w="80" w:type="dxa"/>
              <w:left w:w="120" w:type="dxa"/>
              <w:right w:w="120" w:type="dxa"/>
            </w:tcMar>
          </w:tcPr>
          <w:p>
            <w:pPr>
              <w:spacing w:after="40" w:before="40"/>
            </w:pPr>
            <w:r>
              <w:rPr>
                <w:b/>
                <w:color w:val="333333"/>
                <w:sz w:val="21"/>
              </w:rPr>
              <w:t>Domain &amp; Focus:</w:t>
            </w:r>
          </w:p>
        </w:tc>
        <w:tc>
          <w:tcPr>
            <w:tcW w:type="dxa" w:w="4680"/>
            <w:shd w:fill="F0F4F8"/>
            <w:tcMar>
              <w:top w:w="80" w:type="dxa"/>
              <w:bottom w:w="80" w:type="dxa"/>
              <w:left w:w="120" w:type="dxa"/>
              <w:right w:w="120" w:type="dxa"/>
            </w:tcMar>
          </w:tcPr>
          <w:p>
            <w:pPr>
              <w:spacing w:after="40" w:before="40"/>
            </w:pPr>
            <w:r>
              <w:rPr>
                <w:b w:val="0"/>
                <w:color w:val="333333"/>
                <w:sz w:val="21"/>
              </w:rPr>
              <w:t>Agribusiness Data Analytics &amp; Agricultural Market Forecasting</w:t>
            </w:r>
          </w:p>
        </w:tc>
      </w:tr>
    </w:tbl>
    <w:p>
      <w:pPr>
        <w:spacing w:after="200"/>
      </w:pPr>
    </w:p>
    <w:p>
      <w:pPr>
        <w:keepNext/>
        <w:spacing w:before="320" w:after="120"/>
      </w:pPr>
      <w:r>
        <w:rPr>
          <w:rFonts w:ascii="Calibri" w:hAnsi="Calibri"/>
          <w:b/>
          <w:color w:val="1B365D"/>
          <w:sz w:val="28"/>
        </w:rPr>
        <w:t>1. Executive Summary &amp; Research Rationale</w:t>
      </w:r>
    </w:p>
    <w:p>
      <w:pPr>
        <w:spacing w:before="0" w:after="120" w:line="276" w:lineRule="auto"/>
      </w:pPr>
      <w:r>
        <w:rPr>
          <w:color w:val="333333"/>
        </w:rPr>
        <w:t>Modern agribusiness operates within an increasingly volatile global macroeconomic environment. Agricultural supply chains, commodity pricing structures, and crop productivity are heavily influenced by climate variability, trade policies, and changing input costs (such as fertilizers, seeds, and energy). To navigate these complexities, agribusiness enterprises must transition from reactive decision-making to data-driven predictive forecasting.</w:t>
      </w:r>
    </w:p>
    <w:p>
      <w:pPr>
        <w:spacing w:before="0" w:after="120" w:line="276" w:lineRule="auto"/>
      </w:pPr>
      <w:r>
        <w:rPr>
          <w:color w:val="333333"/>
        </w:rPr>
        <w:t>This strategic plan outlines a end-to-end framework for aggregating, processing, and analyzing publicly available agribusiness data. By leveraging open data repositories from international agricultural authorities (FAOSTAT, USDA, Agmarknet, and World Bank Agriculture), this project establishes a structured roadmap to forecast crop yields, evaluate price volatility, and optimize agricultural resource allocation.</w:t>
      </w:r>
    </w:p>
    <w:p>
      <w:pPr>
        <w:keepNext/>
        <w:spacing w:before="320" w:after="120"/>
      </w:pPr>
      <w:r>
        <w:rPr>
          <w:rFonts w:ascii="Calibri" w:hAnsi="Calibri"/>
          <w:b/>
          <w:color w:val="1B365D"/>
          <w:sz w:val="28"/>
        </w:rPr>
        <w:t>2. Public Data Sources &amp; Repository Mapping</w:t>
      </w:r>
    </w:p>
    <w:p>
      <w:pPr>
        <w:spacing w:before="0" w:after="120" w:line="276" w:lineRule="auto"/>
      </w:pPr>
      <w:r>
        <w:rPr>
          <w:color w:val="333333"/>
        </w:rPr>
        <w:t>To build a robust and unbiased forecasting framework, this project relies on four high-authority, publicly accessible agricultural data infrastructure portals: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tcMar>
              <w:top w:w="100" w:type="dxa"/>
              <w:bottom w:w="100" w:type="dxa"/>
              <w:left w:w="100" w:type="dxa"/>
              <w:right w:w="100" w:type="dxa"/>
            </w:tcMar>
          </w:tcPr>
          <w:p>
            <w:pPr>
              <w:spacing w:before="80" w:after="80"/>
            </w:pPr>
            <w:r>
              <w:rPr>
                <w:b/>
                <w:color w:val="FFFFFF"/>
                <w:sz w:val="19"/>
              </w:rPr>
              <w:t>Public Data Source</w:t>
            </w:r>
          </w:p>
        </w:tc>
        <w:tc>
          <w:tcPr>
            <w:tcW w:type="dxa" w:w="3168"/>
            <w:shd w:fill="1B365D"/>
            <w:tcMar>
              <w:top w:w="100" w:type="dxa"/>
              <w:bottom w:w="100" w:type="dxa"/>
              <w:left w:w="100" w:type="dxa"/>
              <w:right w:w="100" w:type="dxa"/>
            </w:tcMar>
          </w:tcPr>
          <w:p>
            <w:pPr>
              <w:spacing w:before="80" w:after="80"/>
            </w:pPr>
            <w:r>
              <w:rPr>
                <w:b/>
                <w:color w:val="FFFFFF"/>
                <w:sz w:val="19"/>
              </w:rPr>
              <w:t>Core Data Domain</w:t>
            </w:r>
          </w:p>
        </w:tc>
        <w:tc>
          <w:tcPr>
            <w:tcW w:type="dxa" w:w="3600"/>
            <w:shd w:fill="1B365D"/>
            <w:tcMar>
              <w:top w:w="100" w:type="dxa"/>
              <w:bottom w:w="100" w:type="dxa"/>
              <w:left w:w="100" w:type="dxa"/>
              <w:right w:w="100" w:type="dxa"/>
            </w:tcMar>
          </w:tcPr>
          <w:p>
            <w:pPr>
              <w:spacing w:before="80" w:after="80"/>
            </w:pPr>
            <w:r>
              <w:rPr>
                <w:b/>
                <w:color w:val="FFFFFF"/>
                <w:sz w:val="19"/>
              </w:rPr>
              <w:t>Agribusiness Application</w:t>
            </w:r>
          </w:p>
        </w:tc>
      </w:tr>
      <w:tr>
        <w:tc>
          <w:tcPr>
            <w:tcW w:type="dxa" w:w="2592"/>
            <w:shd w:fill="F9FAFC"/>
            <w:tcMar>
              <w:top w:w="80" w:type="dxa"/>
              <w:bottom w:w="80" w:type="dxa"/>
              <w:left w:w="100" w:type="dxa"/>
              <w:right w:w="100" w:type="dxa"/>
            </w:tcMar>
          </w:tcPr>
          <w:p>
            <w:pPr>
              <w:spacing w:before="60" w:after="60"/>
            </w:pPr>
            <w:r>
              <w:rPr>
                <w:b/>
                <w:color w:val="1B365D"/>
                <w:sz w:val="19"/>
              </w:rPr>
              <w:t>FAOSTAT (UN Food &amp; Agriculture Org)</w:t>
            </w:r>
          </w:p>
        </w:tc>
        <w:tc>
          <w:tcPr>
            <w:tcW w:type="dxa" w:w="3168"/>
            <w:shd w:fill="F9FAFC"/>
            <w:tcMar>
              <w:top w:w="80" w:type="dxa"/>
              <w:bottom w:w="80" w:type="dxa"/>
              <w:left w:w="100" w:type="dxa"/>
              <w:right w:w="100" w:type="dxa"/>
            </w:tcMar>
          </w:tcPr>
          <w:p>
            <w:pPr>
              <w:spacing w:before="60" w:after="60"/>
            </w:pPr>
            <w:r>
              <w:rPr>
                <w:color w:val="333333"/>
                <w:sz w:val="19"/>
              </w:rPr>
              <w:t>Global crop production, trade flows, fertilizer usage, and agricultural land use statistics.</w:t>
            </w:r>
          </w:p>
        </w:tc>
        <w:tc>
          <w:tcPr>
            <w:tcW w:type="dxa" w:w="3600"/>
            <w:shd w:fill="F9FAFC"/>
            <w:tcMar>
              <w:top w:w="80" w:type="dxa"/>
              <w:bottom w:w="80" w:type="dxa"/>
              <w:left w:w="100" w:type="dxa"/>
              <w:right w:w="100" w:type="dxa"/>
            </w:tcMar>
          </w:tcPr>
          <w:p>
            <w:pPr>
              <w:spacing w:before="60" w:after="60"/>
            </w:pPr>
            <w:r>
              <w:rPr>
                <w:color w:val="333333"/>
                <w:sz w:val="19"/>
              </w:rPr>
              <w:t>Macro-level supply forecasting and international trade trend evaluation.</w:t>
            </w:r>
          </w:p>
        </w:tc>
      </w:tr>
      <w:tr>
        <w:tc>
          <w:tcPr>
            <w:tcW w:type="dxa" w:w="2592"/>
            <w:shd w:fill="FFFFFF"/>
            <w:tcMar>
              <w:top w:w="80" w:type="dxa"/>
              <w:bottom w:w="80" w:type="dxa"/>
              <w:left w:w="100" w:type="dxa"/>
              <w:right w:w="100" w:type="dxa"/>
            </w:tcMar>
          </w:tcPr>
          <w:p>
            <w:pPr>
              <w:spacing w:before="60" w:after="60"/>
            </w:pPr>
            <w:r>
              <w:rPr>
                <w:b/>
                <w:color w:val="1B365D"/>
                <w:sz w:val="19"/>
              </w:rPr>
              <w:t>USDA NASS &amp; WASDE Reports</w:t>
            </w:r>
          </w:p>
        </w:tc>
        <w:tc>
          <w:tcPr>
            <w:tcW w:type="dxa" w:w="3168"/>
            <w:shd w:fill="FFFFFF"/>
            <w:tcMar>
              <w:top w:w="80" w:type="dxa"/>
              <w:bottom w:w="80" w:type="dxa"/>
              <w:left w:w="100" w:type="dxa"/>
              <w:right w:w="100" w:type="dxa"/>
            </w:tcMar>
          </w:tcPr>
          <w:p>
            <w:pPr>
              <w:spacing w:before="60" w:after="60"/>
            </w:pPr>
            <w:r>
              <w:rPr>
                <w:color w:val="333333"/>
                <w:sz w:val="19"/>
              </w:rPr>
              <w:t>U.S. &amp; global crop yield estimates, monthly supply/demand balances, and acreage reports.</w:t>
            </w:r>
          </w:p>
        </w:tc>
        <w:tc>
          <w:tcPr>
            <w:tcW w:type="dxa" w:w="3600"/>
            <w:shd w:fill="FFFFFF"/>
            <w:tcMar>
              <w:top w:w="80" w:type="dxa"/>
              <w:bottom w:w="80" w:type="dxa"/>
              <w:left w:w="100" w:type="dxa"/>
              <w:right w:w="100" w:type="dxa"/>
            </w:tcMar>
          </w:tcPr>
          <w:p>
            <w:pPr>
              <w:spacing w:before="60" w:after="60"/>
            </w:pPr>
            <w:r>
              <w:rPr>
                <w:color w:val="333333"/>
                <w:sz w:val="19"/>
              </w:rPr>
              <w:t>Commodity price volatility modeling and global inventory analysis.</w:t>
            </w:r>
          </w:p>
        </w:tc>
      </w:tr>
      <w:tr>
        <w:tc>
          <w:tcPr>
            <w:tcW w:type="dxa" w:w="2592"/>
            <w:shd w:fill="F9FAFC"/>
            <w:tcMar>
              <w:top w:w="80" w:type="dxa"/>
              <w:bottom w:w="80" w:type="dxa"/>
              <w:left w:w="100" w:type="dxa"/>
              <w:right w:w="100" w:type="dxa"/>
            </w:tcMar>
          </w:tcPr>
          <w:p>
            <w:pPr>
              <w:spacing w:before="60" w:after="60"/>
            </w:pPr>
            <w:r>
              <w:rPr>
                <w:b/>
                <w:color w:val="1B365D"/>
                <w:sz w:val="19"/>
              </w:rPr>
              <w:t>Agmarknet / Ministry of Agriculture</w:t>
            </w:r>
          </w:p>
        </w:tc>
        <w:tc>
          <w:tcPr>
            <w:tcW w:type="dxa" w:w="3168"/>
            <w:shd w:fill="F9FAFC"/>
            <w:tcMar>
              <w:top w:w="80" w:type="dxa"/>
              <w:bottom w:w="80" w:type="dxa"/>
              <w:left w:w="100" w:type="dxa"/>
              <w:right w:w="100" w:type="dxa"/>
            </w:tcMar>
          </w:tcPr>
          <w:p>
            <w:pPr>
              <w:spacing w:before="60" w:after="60"/>
            </w:pPr>
            <w:r>
              <w:rPr>
                <w:color w:val="333333"/>
                <w:sz w:val="19"/>
              </w:rPr>
              <w:t>Mandi market arrival volumes, wholesale prices, and daily commodity trade spot prices.</w:t>
            </w:r>
          </w:p>
        </w:tc>
        <w:tc>
          <w:tcPr>
            <w:tcW w:type="dxa" w:w="3600"/>
            <w:shd w:fill="F9FAFC"/>
            <w:tcMar>
              <w:top w:w="80" w:type="dxa"/>
              <w:bottom w:w="80" w:type="dxa"/>
              <w:left w:w="100" w:type="dxa"/>
              <w:right w:w="100" w:type="dxa"/>
            </w:tcMar>
          </w:tcPr>
          <w:p>
            <w:pPr>
              <w:spacing w:before="60" w:after="60"/>
            </w:pPr>
            <w:r>
              <w:rPr>
                <w:color w:val="333333"/>
                <w:sz w:val="19"/>
              </w:rPr>
              <w:t>Micro-market pricing dynamics and seasonal price fluctuation mapping.</w:t>
            </w:r>
          </w:p>
        </w:tc>
      </w:tr>
      <w:tr>
        <w:tc>
          <w:tcPr>
            <w:tcW w:type="dxa" w:w="2592"/>
            <w:shd w:fill="FFFFFF"/>
            <w:tcMar>
              <w:top w:w="80" w:type="dxa"/>
              <w:bottom w:w="80" w:type="dxa"/>
              <w:left w:w="100" w:type="dxa"/>
              <w:right w:w="100" w:type="dxa"/>
            </w:tcMar>
          </w:tcPr>
          <w:p>
            <w:pPr>
              <w:spacing w:before="60" w:after="60"/>
            </w:pPr>
            <w:r>
              <w:rPr>
                <w:b/>
                <w:color w:val="1B365D"/>
                <w:sz w:val="19"/>
              </w:rPr>
              <w:t>World Bank &amp; NASA POWER Data</w:t>
            </w:r>
          </w:p>
        </w:tc>
        <w:tc>
          <w:tcPr>
            <w:tcW w:type="dxa" w:w="3168"/>
            <w:shd w:fill="FFFFFF"/>
            <w:tcMar>
              <w:top w:w="80" w:type="dxa"/>
              <w:bottom w:w="80" w:type="dxa"/>
              <w:left w:w="100" w:type="dxa"/>
              <w:right w:w="100" w:type="dxa"/>
            </w:tcMar>
          </w:tcPr>
          <w:p>
            <w:pPr>
              <w:spacing w:before="60" w:after="60"/>
            </w:pPr>
            <w:r>
              <w:rPr>
                <w:color w:val="333333"/>
                <w:sz w:val="19"/>
              </w:rPr>
              <w:t>Global commodity price indices, rainfall patterns, surface temperature, and soil moisture metrics.</w:t>
            </w:r>
          </w:p>
        </w:tc>
        <w:tc>
          <w:tcPr>
            <w:tcW w:type="dxa" w:w="3600"/>
            <w:shd w:fill="FFFFFF"/>
            <w:tcMar>
              <w:top w:w="80" w:type="dxa"/>
              <w:bottom w:w="80" w:type="dxa"/>
              <w:left w:w="100" w:type="dxa"/>
              <w:right w:w="100" w:type="dxa"/>
            </w:tcMar>
          </w:tcPr>
          <w:p>
            <w:pPr>
              <w:spacing w:before="60" w:after="60"/>
            </w:pPr>
            <w:r>
              <w:rPr>
                <w:color w:val="333333"/>
                <w:sz w:val="19"/>
              </w:rPr>
              <w:t>Climate risk modeling and yield-impact correlation analysis.</w:t>
            </w:r>
          </w:p>
        </w:tc>
      </w:tr>
    </w:tbl>
    <w:p>
      <w:pPr>
        <w:keepNext/>
        <w:spacing w:before="320" w:after="120"/>
      </w:pPr>
      <w:r>
        <w:rPr>
          <w:rFonts w:ascii="Calibri" w:hAnsi="Calibri"/>
          <w:b/>
          <w:color w:val="1B365D"/>
          <w:sz w:val="28"/>
        </w:rPr>
        <w:t>3. Key Agribusiness Metrics &amp; Indicators</w:t>
      </w:r>
    </w:p>
    <w:p>
      <w:pPr>
        <w:spacing w:before="0" w:after="120" w:line="276" w:lineRule="auto"/>
      </w:pPr>
      <w:r>
        <w:rPr>
          <w:color w:val="333333"/>
        </w:rPr>
        <w:t>The analytical model tracks indicators categorized into three core operational pillars:</w:t>
      </w:r>
    </w:p>
    <w:p>
      <w:pPr>
        <w:pStyle w:val="ListBullet"/>
        <w:spacing w:before="0" w:after="80"/>
      </w:pPr>
      <w:r>
        <w:rPr>
          <w:b/>
          <w:color w:val="333333"/>
        </w:rPr>
        <w:t>1. Crop Yield &amp; Productivity Metrics:</w:t>
      </w:r>
      <w:r>
        <w:rPr>
          <w:color w:val="333333"/>
        </w:rPr>
        <w:t xml:space="preserve"> Metrics include yield per hectare (tonnes/ha), total harvested area, seed germination rates, and historical production output trends.</w:t>
      </w:r>
    </w:p>
    <w:p>
      <w:pPr>
        <w:pStyle w:val="ListBullet"/>
        <w:spacing w:before="0" w:after="80"/>
      </w:pPr>
      <w:r>
        <w:rPr>
          <w:b/>
          <w:color w:val="333333"/>
        </w:rPr>
        <w:t>2. Market Pricing Dynamics &amp; Volatility:</w:t>
      </w:r>
      <w:r>
        <w:rPr>
          <w:color w:val="333333"/>
        </w:rPr>
        <w:t xml:space="preserve"> Metrics include mandi arrival volumes, wholesale vs. retail price spreads, historical seasonal price indices, and price elasticity.</w:t>
      </w:r>
    </w:p>
    <w:p>
      <w:pPr>
        <w:pStyle w:val="ListBullet"/>
        <w:spacing w:before="0" w:after="80"/>
      </w:pPr>
      <w:r>
        <w:rPr>
          <w:b/>
          <w:color w:val="333333"/>
        </w:rPr>
        <w:t>3. Resource Utilization &amp; Input Costs:</w:t>
      </w:r>
      <w:r>
        <w:rPr>
          <w:color w:val="333333"/>
        </w:rPr>
        <w:t xml:space="preserve"> Metrics include fertilizer application rates (NPK kg/ha), irrigation water consumption, farm mechanization index, and fuel/energy input costs.</w:t>
      </w:r>
    </w:p>
    <w:p>
      <w:pPr>
        <w:keepNext/>
        <w:spacing w:before="320" w:after="120"/>
      </w:pPr>
      <w:r>
        <w:rPr>
          <w:rFonts w:ascii="Calibri" w:hAnsi="Calibri"/>
          <w:b/>
          <w:color w:val="1B365D"/>
          <w:sz w:val="28"/>
        </w:rPr>
        <w:t>4. Step-by-Step Data Pipeline: Collection, Cleaning &amp; Analytical Methods</w:t>
      </w:r>
    </w:p>
    <w:p>
      <w:pPr>
        <w:spacing w:before="0" w:after="120" w:line="276" w:lineRule="auto"/>
      </w:pPr>
      <w:r>
        <w:rPr>
          <w:color w:val="333333"/>
        </w:rPr>
        <w:t>To ensure analytical rigor and data integrity, the workflow follows a 4-tier processing pipeline:</w:t>
      </w:r>
    </w:p>
    <w:p>
      <w:pPr>
        <w:keepNext/>
        <w:spacing w:before="240" w:after="80"/>
      </w:pPr>
      <w:r>
        <w:rPr>
          <w:rFonts w:ascii="Calibri" w:hAnsi="Calibri"/>
          <w:b/>
          <w:color w:val="4682B4"/>
          <w:sz w:val="24"/>
        </w:rPr>
        <w:t>Step 1: Data Ingestion &amp; Collection</w:t>
      </w:r>
    </w:p>
    <w:p>
      <w:pPr>
        <w:spacing w:before="0" w:after="120" w:line="276" w:lineRule="auto"/>
      </w:pPr>
      <w:r>
        <w:rPr>
          <w:color w:val="333333"/>
        </w:rPr>
        <w:t>Automated web scraping scripts (BeautifulSoup/Selenium) and REST APIs are utilized to extract structured CSV/JSON data from FAOSTAT and Agmarknet portals on a scheduled basis.</w:t>
      </w:r>
    </w:p>
    <w:p>
      <w:pPr>
        <w:keepNext/>
        <w:spacing w:before="240" w:after="80"/>
      </w:pPr>
      <w:r>
        <w:rPr>
          <w:rFonts w:ascii="Calibri" w:hAnsi="Calibri"/>
          <w:b/>
          <w:color w:val="4682B4"/>
          <w:sz w:val="24"/>
        </w:rPr>
        <w:t>Step 2: Data Preprocessing &amp; Cleaning</w:t>
      </w:r>
    </w:p>
    <w:p>
      <w:pPr>
        <w:spacing w:before="0" w:after="120" w:line="276" w:lineRule="auto"/>
      </w:pPr>
      <w:r>
        <w:rPr>
          <w:color w:val="333333"/>
        </w:rPr>
        <w:t>Handling missing values using time-series linear interpolation, removing outliers resulting from reporting anomalies, standardizing weight units (converting quintals and bushels to metric tonnes), and normalizing currency exchange rates.</w:t>
      </w:r>
    </w:p>
    <w:p>
      <w:pPr>
        <w:keepNext/>
        <w:spacing w:before="240" w:after="80"/>
      </w:pPr>
      <w:r>
        <w:rPr>
          <w:rFonts w:ascii="Calibri" w:hAnsi="Calibri"/>
          <w:b/>
          <w:color w:val="4682B4"/>
          <w:sz w:val="24"/>
        </w:rPr>
        <w:t>Step 3: Exploratory Data Analysis &amp; Correlation</w:t>
      </w:r>
    </w:p>
    <w:p>
      <w:pPr>
        <w:spacing w:before="0" w:after="120" w:line="276" w:lineRule="auto"/>
      </w:pPr>
      <w:r>
        <w:rPr>
          <w:color w:val="333333"/>
        </w:rPr>
        <w:t>Performing seasonal decomposition of price time-series data to isolate trends, seasonality, and residual noise. Correlation matrices are generated to evaluate relationships between precipitation levels, fertilizer usage, and final crop yields.</w:t>
      </w:r>
    </w:p>
    <w:p>
      <w:pPr>
        <w:keepNext/>
        <w:spacing w:before="240" w:after="80"/>
      </w:pPr>
      <w:r>
        <w:rPr>
          <w:rFonts w:ascii="Calibri" w:hAnsi="Calibri"/>
          <w:b/>
          <w:color w:val="4682B4"/>
          <w:sz w:val="24"/>
        </w:rPr>
        <w:t>Step 4: Predictive Modeling &amp; Forecasting Methods</w:t>
      </w:r>
    </w:p>
    <w:p>
      <w:pPr>
        <w:spacing w:before="0" w:after="120" w:line="276" w:lineRule="auto"/>
      </w:pPr>
      <w:r>
        <w:rPr>
          <w:color w:val="333333"/>
        </w:rPr>
        <w:t>Deploying ARIMA/SARIMAX models for short-term price trend forecasting, alongside Random Forest Regressor models for predicting crop yield based on multi-variate weather and input data.</w:t>
      </w:r>
    </w:p>
    <w:p>
      <w:pPr>
        <w:keepNext/>
        <w:spacing w:before="320" w:after="120"/>
      </w:pPr>
      <w:r>
        <w:rPr>
          <w:rFonts w:ascii="Calibri" w:hAnsi="Calibri"/>
          <w:b/>
          <w:color w:val="1B365D"/>
          <w:sz w:val="28"/>
        </w:rPr>
        <w:t>5. Timeline &amp; Key Project Milestones</w:t>
      </w:r>
    </w:p>
    <w:p>
      <w:pPr>
        <w:spacing w:before="0" w:after="120" w:line="276" w:lineRule="auto"/>
      </w:pPr>
      <w:r>
        <w:rPr>
          <w:color w:val="333333"/>
        </w:rPr>
        <w:t>The execution of this agribusiness data plan spans a structured 4-phase timeline totaling 32 hours of work: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00" w:type="dxa"/>
              <w:right w:w="100" w:type="dxa"/>
            </w:tcMar>
          </w:tcPr>
          <w:p>
            <w:pPr>
              <w:spacing w:before="80" w:after="80"/>
            </w:pPr>
            <w:r>
              <w:rPr>
                <w:b/>
                <w:color w:val="FFFFFF"/>
                <w:sz w:val="19"/>
              </w:rPr>
              <w:t>Project Phase</w:t>
            </w:r>
          </w:p>
        </w:tc>
        <w:tc>
          <w:tcPr>
            <w:tcW w:type="dxa" w:w="3888"/>
            <w:shd w:fill="1B365D"/>
            <w:tcMar>
              <w:top w:w="100" w:type="dxa"/>
              <w:bottom w:w="100" w:type="dxa"/>
              <w:left w:w="100" w:type="dxa"/>
              <w:right w:w="100" w:type="dxa"/>
            </w:tcMar>
          </w:tcPr>
          <w:p>
            <w:pPr>
              <w:spacing w:before="80" w:after="80"/>
            </w:pPr>
            <w:r>
              <w:rPr>
                <w:b/>
                <w:color w:val="FFFFFF"/>
                <w:sz w:val="19"/>
              </w:rPr>
              <w:t>Key Activities &amp; Deliverables</w:t>
            </w:r>
          </w:p>
        </w:tc>
        <w:tc>
          <w:tcPr>
            <w:tcW w:type="dxa" w:w="1872"/>
            <w:shd w:fill="1B365D"/>
            <w:tcMar>
              <w:top w:w="100" w:type="dxa"/>
              <w:bottom w:w="100" w:type="dxa"/>
              <w:left w:w="100" w:type="dxa"/>
              <w:right w:w="100" w:type="dxa"/>
            </w:tcMar>
          </w:tcPr>
          <w:p>
            <w:pPr>
              <w:spacing w:before="80" w:after="80"/>
            </w:pPr>
            <w:r>
              <w:rPr>
                <w:b/>
                <w:color w:val="FFFFFF"/>
                <w:sz w:val="19"/>
              </w:rPr>
              <w:t>Target Milestone</w:t>
            </w:r>
          </w:p>
        </w:tc>
        <w:tc>
          <w:tcPr>
            <w:tcW w:type="dxa" w:w="1440"/>
            <w:shd w:fill="1B365D"/>
            <w:tcMar>
              <w:top w:w="100" w:type="dxa"/>
              <w:bottom w:w="100" w:type="dxa"/>
              <w:left w:w="100" w:type="dxa"/>
              <w:right w:w="100" w:type="dxa"/>
            </w:tcMar>
          </w:tcPr>
          <w:p>
            <w:pPr>
              <w:spacing w:before="80" w:after="80"/>
            </w:pPr>
            <w:r>
              <w:rPr>
                <w:b/>
                <w:color w:val="FFFFFF"/>
                <w:sz w:val="19"/>
              </w:rPr>
              <w:t>Estimated Time</w:t>
            </w:r>
          </w:p>
        </w:tc>
      </w:tr>
      <w:tr>
        <w:tc>
          <w:tcPr>
            <w:tcW w:type="dxa" w:w="2160"/>
            <w:shd w:fill="F9FAFC"/>
            <w:tcMar>
              <w:top w:w="80" w:type="dxa"/>
              <w:bottom w:w="80" w:type="dxa"/>
              <w:left w:w="100" w:type="dxa"/>
              <w:right w:w="100" w:type="dxa"/>
            </w:tcMar>
          </w:tcPr>
          <w:p>
            <w:pPr>
              <w:spacing w:before="60" w:after="60"/>
            </w:pPr>
            <w:r>
              <w:rPr>
                <w:b/>
                <w:color w:val="1B365D"/>
                <w:sz w:val="19"/>
              </w:rPr>
              <w:t>Phase 1: Source Identification &amp; API Setup</w:t>
            </w:r>
          </w:p>
        </w:tc>
        <w:tc>
          <w:tcPr>
            <w:tcW w:type="dxa" w:w="3888"/>
            <w:shd w:fill="F9FAFC"/>
            <w:tcMar>
              <w:top w:w="80" w:type="dxa"/>
              <w:bottom w:w="80" w:type="dxa"/>
              <w:left w:w="100" w:type="dxa"/>
              <w:right w:w="100" w:type="dxa"/>
            </w:tcMar>
          </w:tcPr>
          <w:p>
            <w:pPr>
              <w:spacing w:before="60" w:after="60"/>
            </w:pPr>
            <w:r>
              <w:rPr>
                <w:color w:val="333333"/>
                <w:sz w:val="19"/>
              </w:rPr>
              <w:t>Identify target public databases, configure automated API data fetchers, setup repository.</w:t>
            </w:r>
          </w:p>
        </w:tc>
        <w:tc>
          <w:tcPr>
            <w:tcW w:type="dxa" w:w="1872"/>
            <w:shd w:fill="F9FAFC"/>
            <w:tcMar>
              <w:top w:w="80" w:type="dxa"/>
              <w:bottom w:w="80" w:type="dxa"/>
              <w:left w:w="100" w:type="dxa"/>
              <w:right w:w="100" w:type="dxa"/>
            </w:tcMar>
          </w:tcPr>
          <w:p>
            <w:pPr>
              <w:spacing w:before="60" w:after="60"/>
            </w:pPr>
            <w:r>
              <w:rPr>
                <w:color w:val="333333"/>
                <w:sz w:val="19"/>
              </w:rPr>
              <w:t>Milestone 1: Data Pipeline Initialized</w:t>
            </w:r>
          </w:p>
        </w:tc>
        <w:tc>
          <w:tcPr>
            <w:tcW w:type="dxa" w:w="1440"/>
            <w:shd w:fill="F9FAFC"/>
            <w:tcMar>
              <w:top w:w="80" w:type="dxa"/>
              <w:bottom w:w="80" w:type="dxa"/>
              <w:left w:w="100" w:type="dxa"/>
              <w:right w:w="100" w:type="dxa"/>
            </w:tcMar>
          </w:tcPr>
          <w:p>
            <w:pPr>
              <w:spacing w:before="60" w:after="60"/>
            </w:pPr>
            <w:r>
              <w:rPr>
                <w:color w:val="333333"/>
                <w:sz w:val="19"/>
              </w:rPr>
              <w:t>6 Hours</w:t>
            </w:r>
          </w:p>
        </w:tc>
      </w:tr>
      <w:tr>
        <w:tc>
          <w:tcPr>
            <w:tcW w:type="dxa" w:w="2160"/>
            <w:shd w:fill="FFFFFF"/>
            <w:tcMar>
              <w:top w:w="80" w:type="dxa"/>
              <w:bottom w:w="80" w:type="dxa"/>
              <w:left w:w="100" w:type="dxa"/>
              <w:right w:w="100" w:type="dxa"/>
            </w:tcMar>
          </w:tcPr>
          <w:p>
            <w:pPr>
              <w:spacing w:before="60" w:after="60"/>
            </w:pPr>
            <w:r>
              <w:rPr>
                <w:b/>
                <w:color w:val="1B365D"/>
                <w:sz w:val="19"/>
              </w:rPr>
              <w:t>Phase 2: Preprocessing &amp; Data Cleaning</w:t>
            </w:r>
          </w:p>
        </w:tc>
        <w:tc>
          <w:tcPr>
            <w:tcW w:type="dxa" w:w="3888"/>
            <w:shd w:fill="FFFFFF"/>
            <w:tcMar>
              <w:top w:w="80" w:type="dxa"/>
              <w:bottom w:w="80" w:type="dxa"/>
              <w:left w:w="100" w:type="dxa"/>
              <w:right w:w="100" w:type="dxa"/>
            </w:tcMar>
          </w:tcPr>
          <w:p>
            <w:pPr>
              <w:spacing w:before="60" w:after="60"/>
            </w:pPr>
            <w:r>
              <w:rPr>
                <w:color w:val="333333"/>
                <w:sz w:val="19"/>
              </w:rPr>
              <w:t>Execute unit conversions, handle missing values, align multi-source temporal datasets.</w:t>
            </w:r>
          </w:p>
        </w:tc>
        <w:tc>
          <w:tcPr>
            <w:tcW w:type="dxa" w:w="1872"/>
            <w:shd w:fill="FFFFFF"/>
            <w:tcMar>
              <w:top w:w="80" w:type="dxa"/>
              <w:bottom w:w="80" w:type="dxa"/>
              <w:left w:w="100" w:type="dxa"/>
              <w:right w:w="100" w:type="dxa"/>
            </w:tcMar>
          </w:tcPr>
          <w:p>
            <w:pPr>
              <w:spacing w:before="60" w:after="60"/>
            </w:pPr>
            <w:r>
              <w:rPr>
                <w:color w:val="333333"/>
                <w:sz w:val="19"/>
              </w:rPr>
              <w:t>Milestone 2: Cleaned Master Dataset Ready</w:t>
            </w:r>
          </w:p>
        </w:tc>
        <w:tc>
          <w:tcPr>
            <w:tcW w:type="dxa" w:w="1440"/>
            <w:shd w:fill="FFFFFF"/>
            <w:tcMar>
              <w:top w:w="80" w:type="dxa"/>
              <w:bottom w:w="80" w:type="dxa"/>
              <w:left w:w="100" w:type="dxa"/>
              <w:right w:w="100" w:type="dxa"/>
            </w:tcMar>
          </w:tcPr>
          <w:p>
            <w:pPr>
              <w:spacing w:before="60" w:after="60"/>
            </w:pPr>
            <w:r>
              <w:rPr>
                <w:color w:val="333333"/>
                <w:sz w:val="19"/>
              </w:rPr>
              <w:t>8 Hours</w:t>
            </w:r>
          </w:p>
        </w:tc>
      </w:tr>
      <w:tr>
        <w:tc>
          <w:tcPr>
            <w:tcW w:type="dxa" w:w="2160"/>
            <w:shd w:fill="F9FAFC"/>
            <w:tcMar>
              <w:top w:w="80" w:type="dxa"/>
              <w:bottom w:w="80" w:type="dxa"/>
              <w:left w:w="100" w:type="dxa"/>
              <w:right w:w="100" w:type="dxa"/>
            </w:tcMar>
          </w:tcPr>
          <w:p>
            <w:pPr>
              <w:spacing w:before="60" w:after="60"/>
            </w:pPr>
            <w:r>
              <w:rPr>
                <w:b/>
                <w:color w:val="1B365D"/>
                <w:sz w:val="19"/>
              </w:rPr>
              <w:t>Phase 3: EDA &amp; Predictive Modeling</w:t>
            </w:r>
          </w:p>
        </w:tc>
        <w:tc>
          <w:tcPr>
            <w:tcW w:type="dxa" w:w="3888"/>
            <w:shd w:fill="F9FAFC"/>
            <w:tcMar>
              <w:top w:w="80" w:type="dxa"/>
              <w:bottom w:w="80" w:type="dxa"/>
              <w:left w:w="100" w:type="dxa"/>
              <w:right w:w="100" w:type="dxa"/>
            </w:tcMar>
          </w:tcPr>
          <w:p>
            <w:pPr>
              <w:spacing w:before="60" w:after="60"/>
            </w:pPr>
            <w:r>
              <w:rPr>
                <w:color w:val="333333"/>
                <w:sz w:val="19"/>
              </w:rPr>
              <w:t>Perform time-series decomposition, build SARIMAX price models &amp; Random Forest yield models.</w:t>
            </w:r>
          </w:p>
        </w:tc>
        <w:tc>
          <w:tcPr>
            <w:tcW w:type="dxa" w:w="1872"/>
            <w:shd w:fill="F9FAFC"/>
            <w:tcMar>
              <w:top w:w="80" w:type="dxa"/>
              <w:bottom w:w="80" w:type="dxa"/>
              <w:left w:w="100" w:type="dxa"/>
              <w:right w:w="100" w:type="dxa"/>
            </w:tcMar>
          </w:tcPr>
          <w:p>
            <w:pPr>
              <w:spacing w:before="60" w:after="60"/>
            </w:pPr>
            <w:r>
              <w:rPr>
                <w:color w:val="333333"/>
                <w:sz w:val="19"/>
              </w:rPr>
              <w:t>Milestone 3: Forecasting Models Validated</w:t>
            </w:r>
          </w:p>
        </w:tc>
        <w:tc>
          <w:tcPr>
            <w:tcW w:type="dxa" w:w="1440"/>
            <w:shd w:fill="F9FAFC"/>
            <w:tcMar>
              <w:top w:w="80" w:type="dxa"/>
              <w:bottom w:w="80" w:type="dxa"/>
              <w:left w:w="100" w:type="dxa"/>
              <w:right w:w="100" w:type="dxa"/>
            </w:tcMar>
          </w:tcPr>
          <w:p>
            <w:pPr>
              <w:spacing w:before="60" w:after="60"/>
            </w:pPr>
            <w:r>
              <w:rPr>
                <w:color w:val="333333"/>
                <w:sz w:val="19"/>
              </w:rPr>
              <w:t>10 Hours</w:t>
            </w:r>
          </w:p>
        </w:tc>
      </w:tr>
      <w:tr>
        <w:tc>
          <w:tcPr>
            <w:tcW w:type="dxa" w:w="2160"/>
            <w:shd w:fill="FFFFFF"/>
            <w:tcMar>
              <w:top w:w="80" w:type="dxa"/>
              <w:bottom w:w="80" w:type="dxa"/>
              <w:left w:w="100" w:type="dxa"/>
              <w:right w:w="100" w:type="dxa"/>
            </w:tcMar>
          </w:tcPr>
          <w:p>
            <w:pPr>
              <w:spacing w:before="60" w:after="60"/>
            </w:pPr>
            <w:r>
              <w:rPr>
                <w:b/>
                <w:color w:val="1B365D"/>
                <w:sz w:val="19"/>
              </w:rPr>
              <w:t>Phase 4: Reporting &amp; Visualization</w:t>
            </w:r>
          </w:p>
        </w:tc>
        <w:tc>
          <w:tcPr>
            <w:tcW w:type="dxa" w:w="3888"/>
            <w:shd w:fill="FFFFFF"/>
            <w:tcMar>
              <w:top w:w="80" w:type="dxa"/>
              <w:bottom w:w="80" w:type="dxa"/>
              <w:left w:w="100" w:type="dxa"/>
              <w:right w:w="100" w:type="dxa"/>
            </w:tcMar>
          </w:tcPr>
          <w:p>
            <w:pPr>
              <w:spacing w:before="60" w:after="60"/>
            </w:pPr>
            <w:r>
              <w:rPr>
                <w:color w:val="333333"/>
                <w:sz w:val="19"/>
              </w:rPr>
              <w:t>Compile analytical dashboards, generate final strategic report, compile GitHub repo.</w:t>
            </w:r>
          </w:p>
        </w:tc>
        <w:tc>
          <w:tcPr>
            <w:tcW w:type="dxa" w:w="1872"/>
            <w:shd w:fill="FFFFFF"/>
            <w:tcMar>
              <w:top w:w="80" w:type="dxa"/>
              <w:bottom w:w="80" w:type="dxa"/>
              <w:left w:w="100" w:type="dxa"/>
              <w:right w:w="100" w:type="dxa"/>
            </w:tcMar>
          </w:tcPr>
          <w:p>
            <w:pPr>
              <w:spacing w:before="60" w:after="60"/>
            </w:pPr>
            <w:r>
              <w:rPr>
                <w:color w:val="333333"/>
                <w:sz w:val="19"/>
              </w:rPr>
              <w:t>Milestone 4: Final Submission DOC Ready</w:t>
            </w:r>
          </w:p>
        </w:tc>
        <w:tc>
          <w:tcPr>
            <w:tcW w:type="dxa" w:w="1440"/>
            <w:shd w:fill="FFFFFF"/>
            <w:tcMar>
              <w:top w:w="80" w:type="dxa"/>
              <w:bottom w:w="80" w:type="dxa"/>
              <w:left w:w="100" w:type="dxa"/>
              <w:right w:w="100" w:type="dxa"/>
            </w:tcMar>
          </w:tcPr>
          <w:p>
            <w:pPr>
              <w:spacing w:before="60" w:after="60"/>
            </w:pPr>
            <w:r>
              <w:rPr>
                <w:color w:val="333333"/>
                <w:sz w:val="19"/>
              </w:rPr>
              <w:t>8 Hours</w:t>
            </w:r>
          </w:p>
        </w:tc>
      </w:tr>
    </w:tbl>
    <w:p>
      <w:pPr>
        <w:spacing w:before="120" w:after="240"/>
      </w:pPr>
      <w:r>
        <w:rPr>
          <w:b/>
          <w:color w:val="1B365D"/>
        </w:rPr>
        <w:t>Total Work Effort: 32 Hours (Structured plan for complete execution)</w:t>
      </w:r>
    </w:p>
    <w:p>
      <w:pPr>
        <w:keepNext/>
        <w:spacing w:before="320" w:after="120"/>
      </w:pPr>
      <w:r>
        <w:rPr>
          <w:rFonts w:ascii="Calibri" w:hAnsi="Calibri"/>
          <w:b/>
          <w:color w:val="1B365D"/>
          <w:sz w:val="28"/>
        </w:rPr>
        <w:t>6. Conclusion &amp; Strategic Agribusiness Impact</w:t>
      </w:r>
    </w:p>
    <w:p>
      <w:pPr>
        <w:spacing w:before="0" w:after="120" w:line="276" w:lineRule="auto"/>
      </w:pPr>
      <w:r>
        <w:rPr>
          <w:color w:val="333333"/>
        </w:rPr>
        <w:t>By structuring a systematic data ingestion, cleaning, and predictive forecasting pipeline, agribusinesses can effectively manage commodity price exposure, optimize procurement schedules, and mitigate climate-related supply shocks. Leveraging public open data empowers decision-makers with actionable intelligence without requiring expensive proprietary data feeds.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