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09C122">
      <w:pPr>
        <w:spacing w:before="240" w:line="271" w:lineRule="auto"/>
        <w:rPr>
          <w:rFonts w:hint="default" w:ascii="Cambria" w:hAnsi="Cambria" w:cs="Cambria"/>
          <w:sz w:val="20"/>
          <w:szCs w:val="20"/>
        </w:rPr>
      </w:pPr>
      <w:bookmarkStart w:id="0" w:name="bm_1_objective"/>
      <w:r>
        <w:rPr>
          <w:rFonts w:hint="default" w:ascii="Cambria" w:hAnsi="Cambria" w:cs="Cambria"/>
          <w:b/>
          <w:sz w:val="20"/>
          <w:szCs w:val="20"/>
        </w:rPr>
        <w:t>1. Objective</w:t>
      </w:r>
      <w:bookmarkEnd w:id="0"/>
    </w:p>
    <w:p w14:paraId="2ED4512A">
      <w:pPr>
        <w:spacing w:after="220"/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 xml:space="preserve">Automatically classify financial expense transactions into </w:t>
      </w:r>
      <w:r>
        <w:rPr>
          <w:rFonts w:hint="default" w:ascii="Cambria" w:hAnsi="Cambria" w:cs="Cambria"/>
          <w:b/>
          <w:sz w:val="20"/>
          <w:szCs w:val="20"/>
        </w:rPr>
        <w:t>Equipment, Services, or Material</w:t>
      </w:r>
      <w:r>
        <w:rPr>
          <w:rFonts w:hint="default" w:ascii="Cambria" w:hAnsi="Cambria" w:cs="Cambria"/>
          <w:sz w:val="20"/>
          <w:szCs w:val="20"/>
        </w:rPr>
        <w:t xml:space="preserve"> using only the free-text Remarks field. Work covers manual labelling, cleaning, EDA, model selection, implementation, and evaluation.</w:t>
      </w:r>
    </w:p>
    <w:p w14:paraId="7A674176">
      <w:pPr>
        <w:spacing w:before="240" w:line="271" w:lineRule="auto"/>
        <w:rPr>
          <w:rFonts w:hint="default" w:ascii="Cambria" w:hAnsi="Cambria" w:cs="Cambria"/>
          <w:sz w:val="20"/>
          <w:szCs w:val="20"/>
        </w:rPr>
      </w:pPr>
      <w:bookmarkStart w:id="1" w:name="bm_2_data_labelling"/>
      <w:r>
        <w:rPr>
          <w:rFonts w:hint="default" w:ascii="Cambria" w:hAnsi="Cambria" w:cs="Cambria"/>
          <w:b/>
          <w:sz w:val="20"/>
          <w:szCs w:val="20"/>
        </w:rPr>
        <w:t>2. Data &amp; Labelling</w:t>
      </w:r>
      <w:bookmarkEnd w:id="1"/>
    </w:p>
    <w:p w14:paraId="6840410A">
      <w:pPr>
        <w:numPr>
          <w:ilvl w:val="0"/>
          <w:numId w:val="1"/>
        </w:numPr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 xml:space="preserve">Raw dataset: </w:t>
      </w:r>
      <w:r>
        <w:rPr>
          <w:rFonts w:hint="default" w:ascii="Cambria" w:hAnsi="Cambria" w:cs="Cambria"/>
          <w:b/>
          <w:sz w:val="20"/>
          <w:szCs w:val="20"/>
        </w:rPr>
        <w:t>268 rows, 5 columns</w:t>
      </w:r>
      <w:r>
        <w:rPr>
          <w:rFonts w:hint="default" w:ascii="Cambria" w:hAnsi="Cambria" w:eastAsia="Georgia" w:cs="Cambria"/>
          <w:sz w:val="20"/>
          <w:szCs w:val="20"/>
        </w:rPr>
        <w:t xml:space="preserve"> — Year, Debit, Credit, Net, Remarks</w:t>
      </w:r>
    </w:p>
    <w:p w14:paraId="3519524F">
      <w:pPr>
        <w:numPr>
          <w:ilvl w:val="0"/>
          <w:numId w:val="1"/>
        </w:numPr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>No labels existed in the original data</w:t>
      </w:r>
    </w:p>
    <w:p w14:paraId="5F7F5367">
      <w:pPr>
        <w:numPr>
          <w:ilvl w:val="0"/>
          <w:numId w:val="1"/>
        </w:numPr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 xml:space="preserve">Each row was </w:t>
      </w:r>
      <w:r>
        <w:rPr>
          <w:rFonts w:hint="default" w:ascii="Cambria" w:hAnsi="Cambria" w:cs="Cambria"/>
          <w:b/>
          <w:sz w:val="20"/>
          <w:szCs w:val="20"/>
        </w:rPr>
        <w:t>manually reviewed and assigned</w:t>
      </w:r>
      <w:r>
        <w:rPr>
          <w:rFonts w:hint="default" w:ascii="Cambria" w:hAnsi="Cambria" w:eastAsia="Georgia" w:cs="Cambria"/>
          <w:sz w:val="20"/>
          <w:szCs w:val="20"/>
        </w:rPr>
        <w:t xml:space="preserve"> a category — Equipment, Services, or Material — based on the Remarks content</w:t>
      </w:r>
    </w:p>
    <w:p w14:paraId="1EF83091">
      <w:pPr>
        <w:numPr>
          <w:ilvl w:val="0"/>
          <w:numId w:val="1"/>
        </w:numPr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>This created the Label column required for supervised training</w:t>
      </w:r>
    </w:p>
    <w:p w14:paraId="6E13ED08">
      <w:pPr>
        <w:spacing w:before="240" w:line="271" w:lineRule="auto"/>
        <w:rPr>
          <w:rFonts w:hint="default" w:ascii="Cambria" w:hAnsi="Cambria" w:cs="Cambria"/>
          <w:sz w:val="20"/>
          <w:szCs w:val="20"/>
        </w:rPr>
      </w:pPr>
      <w:bookmarkStart w:id="2" w:name="bm_3_data_cleaning"/>
      <w:r>
        <w:rPr>
          <w:rFonts w:hint="default" w:ascii="Cambria" w:hAnsi="Cambria" w:cs="Cambria"/>
          <w:b/>
          <w:sz w:val="20"/>
          <w:szCs w:val="20"/>
        </w:rPr>
        <w:t>3. Data Cleaning</w:t>
      </w:r>
      <w:bookmarkEnd w:id="2"/>
    </w:p>
    <w:p w14:paraId="15A5B315">
      <w:pPr>
        <w:numPr>
          <w:ilvl w:val="0"/>
          <w:numId w:val="2"/>
        </w:numPr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b/>
          <w:sz w:val="20"/>
          <w:szCs w:val="20"/>
        </w:rPr>
        <w:t>1 missing Remark</w:t>
      </w:r>
      <w:r>
        <w:rPr>
          <w:rFonts w:hint="default" w:ascii="Cambria" w:hAnsi="Cambria" w:eastAsia="Georgia" w:cs="Cambria"/>
          <w:sz w:val="20"/>
          <w:szCs w:val="20"/>
        </w:rPr>
        <w:t xml:space="preserve"> → dropped — no text, nothing to classify</w:t>
      </w:r>
    </w:p>
    <w:p w14:paraId="431D4CA3">
      <w:pPr>
        <w:numPr>
          <w:ilvl w:val="0"/>
          <w:numId w:val="2"/>
        </w:numPr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b/>
          <w:sz w:val="20"/>
          <w:szCs w:val="20"/>
        </w:rPr>
        <w:t>31 duplicate rows</w:t>
      </w:r>
      <w:r>
        <w:rPr>
          <w:rFonts w:hint="default" w:ascii="Cambria" w:hAnsi="Cambria" w:eastAsia="Georgia" w:cs="Cambria"/>
          <w:sz w:val="20"/>
          <w:szCs w:val="20"/>
        </w:rPr>
        <w:t xml:space="preserve"> → removed — prevents same record appearing in both train and test sets</w:t>
      </w:r>
    </w:p>
    <w:p w14:paraId="36BFD49F">
      <w:pPr>
        <w:numPr>
          <w:ilvl w:val="0"/>
          <w:numId w:val="2"/>
        </w:numPr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b/>
          <w:sz w:val="20"/>
          <w:szCs w:val="20"/>
        </w:rPr>
        <w:t>236 rows remaining</w:t>
      </w:r>
      <w:r>
        <w:rPr>
          <w:rFonts w:hint="default" w:ascii="Cambria" w:hAnsi="Cambria" w:cs="Cambria"/>
          <w:sz w:val="20"/>
          <w:szCs w:val="20"/>
        </w:rPr>
        <w:t xml:space="preserve"> after cleaning</w:t>
      </w:r>
    </w:p>
    <w:p w14:paraId="07B59CAB">
      <w:pPr>
        <w:numPr>
          <w:ilvl w:val="0"/>
          <w:numId w:val="2"/>
        </w:numPr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eastAsia="Georgia" w:cs="Cambria"/>
          <w:sz w:val="20"/>
          <w:szCs w:val="20"/>
        </w:rPr>
        <w:t>Remarks normalised into Clean_remarks — lowercased, digits and punctuation removed</w:t>
      </w:r>
    </w:p>
    <w:p w14:paraId="641E5AB7">
      <w:pPr>
        <w:rPr>
          <w:rFonts w:hint="default" w:ascii="Cambria" w:hAnsi="Cambria" w:cs="Cambria"/>
          <w:sz w:val="20"/>
          <w:szCs w:val="20"/>
        </w:rPr>
      </w:pPr>
    </w:p>
    <w:p w14:paraId="6A254E5E">
      <w:pPr>
        <w:spacing w:before="240" w:line="271" w:lineRule="auto"/>
        <w:rPr>
          <w:rFonts w:hint="default" w:ascii="Cambria" w:hAnsi="Cambria" w:cs="Cambria"/>
          <w:sz w:val="20"/>
          <w:szCs w:val="20"/>
        </w:rPr>
      </w:pPr>
      <w:bookmarkStart w:id="3" w:name="bm_4_eda_findings"/>
      <w:r>
        <w:rPr>
          <w:rFonts w:hint="default" w:ascii="Cambria" w:hAnsi="Cambria" w:cs="Cambria"/>
          <w:b/>
          <w:sz w:val="20"/>
          <w:szCs w:val="20"/>
        </w:rPr>
        <w:t>4. EDA Findings</w:t>
      </w:r>
      <w:bookmarkEnd w:id="3"/>
    </w:p>
    <w:p w14:paraId="66E95DE5">
      <w:pPr>
        <w:spacing w:after="220"/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b/>
          <w:sz w:val="20"/>
          <w:szCs w:val="20"/>
        </w:rPr>
        <w:t>Class Distribution</w:t>
      </w:r>
    </w:p>
    <w:p w14:paraId="5292F50C">
      <w:pPr>
        <w:numPr>
          <w:ilvl w:val="0"/>
          <w:numId w:val="3"/>
        </w:numPr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>Equipment: 124 samples (52.5%)</w:t>
      </w:r>
    </w:p>
    <w:p w14:paraId="3B31E7A5">
      <w:pPr>
        <w:numPr>
          <w:ilvl w:val="0"/>
          <w:numId w:val="3"/>
        </w:numPr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>Services: 76 samples (32.2%)</w:t>
      </w:r>
    </w:p>
    <w:p w14:paraId="3D66123D">
      <w:pPr>
        <w:numPr>
          <w:ilvl w:val="0"/>
          <w:numId w:val="3"/>
        </w:numPr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eastAsia="Georgia" w:cs="Cambria"/>
          <w:sz w:val="20"/>
          <w:szCs w:val="20"/>
        </w:rPr>
        <w:t>Material: 36 samples (15.3%) ← minority class</w:t>
      </w:r>
    </w:p>
    <w:p w14:paraId="04808375">
      <w:pPr>
        <w:numPr>
          <w:ilvl w:val="0"/>
          <w:numId w:val="3"/>
        </w:numPr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 xml:space="preserve">Dataset is </w:t>
      </w:r>
      <w:r>
        <w:rPr>
          <w:rFonts w:hint="default" w:ascii="Cambria" w:hAnsi="Cambria" w:cs="Cambria"/>
          <w:b/>
          <w:sz w:val="20"/>
          <w:szCs w:val="20"/>
        </w:rPr>
        <w:t>moderately imbalanced</w:t>
      </w:r>
      <w:r>
        <w:rPr>
          <w:rFonts w:hint="default" w:ascii="Cambria" w:hAnsi="Cambria" w:eastAsia="Georgia" w:cs="Cambria"/>
          <w:sz w:val="20"/>
          <w:szCs w:val="20"/>
        </w:rPr>
        <w:t xml:space="preserve"> — drove two decisions: </w:t>
      </w:r>
      <w:r>
        <w:rPr>
          <w:rFonts w:hint="default" w:ascii="Cambria" w:hAnsi="Cambria" w:cs="Cambria"/>
          <w:b/>
          <w:sz w:val="20"/>
          <w:szCs w:val="20"/>
        </w:rPr>
        <w:t>Macro F1</w:t>
      </w:r>
      <w:r>
        <w:rPr>
          <w:rFonts w:hint="default" w:ascii="Cambria" w:hAnsi="Cambria" w:cs="Cambria"/>
          <w:sz w:val="20"/>
          <w:szCs w:val="20"/>
        </w:rPr>
        <w:t xml:space="preserve"> as primary metric and </w:t>
      </w:r>
      <w:r>
        <w:rPr>
          <w:rFonts w:hint="default" w:ascii="Cambria" w:hAnsi="Cambria" w:cs="Cambria"/>
          <w:b/>
          <w:sz w:val="20"/>
          <w:szCs w:val="20"/>
        </w:rPr>
        <w:t>class_weight='balanced'</w:t>
      </w:r>
      <w:r>
        <w:rPr>
          <w:rFonts w:hint="default" w:ascii="Cambria" w:hAnsi="Cambria" w:cs="Cambria"/>
          <w:sz w:val="20"/>
          <w:szCs w:val="20"/>
        </w:rPr>
        <w:t xml:space="preserve"> in the classifier</w:t>
      </w:r>
    </w:p>
    <w:p w14:paraId="576C421A">
      <w:pPr>
        <w:spacing w:after="220"/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b/>
          <w:sz w:val="20"/>
          <w:szCs w:val="20"/>
        </w:rPr>
        <w:t>Remark Length</w:t>
      </w:r>
    </w:p>
    <w:p w14:paraId="22E1873C">
      <w:pPr>
        <w:numPr>
          <w:ilvl w:val="0"/>
          <w:numId w:val="4"/>
        </w:numPr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eastAsia="Georgia" w:cs="Cambria"/>
          <w:sz w:val="20"/>
          <w:szCs w:val="20"/>
        </w:rPr>
        <w:t>Equipment avg. 51 characters — short, product-code style</w:t>
      </w:r>
    </w:p>
    <w:p w14:paraId="4E812568">
      <w:pPr>
        <w:numPr>
          <w:ilvl w:val="0"/>
          <w:numId w:val="4"/>
        </w:numPr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eastAsia="Georgia" w:cs="Cambria"/>
          <w:sz w:val="20"/>
          <w:szCs w:val="20"/>
        </w:rPr>
        <w:t>Services avg. 62 — longer, more descriptive</w:t>
      </w:r>
    </w:p>
    <w:p w14:paraId="16CF63CF">
      <w:pPr>
        <w:numPr>
          <w:ilvl w:val="0"/>
          <w:numId w:val="4"/>
        </w:numPr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eastAsia="Georgia" w:cs="Cambria"/>
          <w:sz w:val="20"/>
          <w:szCs w:val="20"/>
        </w:rPr>
        <w:t>Material avg. 57 — sits in between</w:t>
      </w:r>
    </w:p>
    <w:p w14:paraId="7C181F85">
      <w:pPr>
        <w:numPr>
          <w:ilvl w:val="0"/>
          <w:numId w:val="4"/>
        </w:numPr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 xml:space="preserve">All three </w:t>
      </w:r>
      <w:r>
        <w:rPr>
          <w:rFonts w:hint="default" w:ascii="Cambria" w:hAnsi="Cambria" w:cs="Cambria"/>
          <w:b/>
          <w:sz w:val="20"/>
          <w:szCs w:val="20"/>
        </w:rPr>
        <w:t>overlap heavily in length</w:t>
      </w:r>
      <w:r>
        <w:rPr>
          <w:rFonts w:hint="default" w:ascii="Cambria" w:hAnsi="Cambria" w:eastAsia="Georgia" w:cs="Cambria"/>
          <w:sz w:val="20"/>
          <w:szCs w:val="20"/>
        </w:rPr>
        <w:t xml:space="preserve"> — model must understand meaning, not just measure text size</w:t>
      </w:r>
    </w:p>
    <w:p w14:paraId="6654363C">
      <w:pPr>
        <w:spacing w:after="220"/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b/>
          <w:sz w:val="20"/>
          <w:szCs w:val="20"/>
        </w:rPr>
        <w:t>Debit Amount</w:t>
      </w:r>
    </w:p>
    <w:p w14:paraId="5BDC7293">
      <w:pPr>
        <w:numPr>
          <w:ilvl w:val="0"/>
          <w:numId w:val="5"/>
        </w:numPr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eastAsia="Georgia" w:cs="Cambria"/>
          <w:sz w:val="20"/>
          <w:szCs w:val="20"/>
        </w:rPr>
        <w:t>Services: mean ₹10.5L, median ₹78,500 — few large contracts skew the mean heavily</w:t>
      </w:r>
    </w:p>
    <w:p w14:paraId="5B0A5AB3">
      <w:pPr>
        <w:numPr>
          <w:ilvl w:val="0"/>
          <w:numId w:val="5"/>
        </w:numPr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eastAsia="Georgia" w:cs="Cambria"/>
          <w:sz w:val="20"/>
          <w:szCs w:val="20"/>
        </w:rPr>
        <w:t>Equipment: median ₹29,941 — consistent mid-range hardware purchases</w:t>
      </w:r>
    </w:p>
    <w:p w14:paraId="79E852C9">
      <w:pPr>
        <w:numPr>
          <w:ilvl w:val="0"/>
          <w:numId w:val="5"/>
        </w:numPr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eastAsia="Georgia" w:cs="Cambria"/>
          <w:sz w:val="20"/>
          <w:szCs w:val="20"/>
        </w:rPr>
        <w:t>Material: median ₹5,775 — small-ticket day-to-day consumables</w:t>
      </w:r>
    </w:p>
    <w:p w14:paraId="772DF2E3">
      <w:pPr>
        <w:numPr>
          <w:ilvl w:val="0"/>
          <w:numId w:val="5"/>
        </w:numPr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eastAsia="Georgia" w:cs="Cambria"/>
          <w:sz w:val="20"/>
          <w:szCs w:val="20"/>
        </w:rPr>
        <w:t xml:space="preserve">Financial pattern confirms labels are coherent — but </w:t>
      </w:r>
      <w:r>
        <w:rPr>
          <w:rFonts w:hint="default" w:ascii="Cambria" w:hAnsi="Cambria" w:cs="Cambria"/>
          <w:b/>
          <w:sz w:val="20"/>
          <w:szCs w:val="20"/>
        </w:rPr>
        <w:t>Debit excluded from model</w:t>
      </w:r>
      <w:r>
        <w:rPr>
          <w:rFonts w:hint="default" w:ascii="Cambria" w:hAnsi="Cambria" w:cs="Cambria"/>
          <w:sz w:val="20"/>
          <w:szCs w:val="20"/>
        </w:rPr>
        <w:t xml:space="preserve"> as the same amount can appear across all three categories</w:t>
      </w:r>
    </w:p>
    <w:p w14:paraId="6CBBF54A">
      <w:pPr>
        <w:spacing w:after="220"/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b/>
          <w:sz w:val="20"/>
          <w:szCs w:val="20"/>
        </w:rPr>
        <w:t>Key Challenges</w:t>
      </w:r>
    </w:p>
    <w:p w14:paraId="4C732162">
      <w:pPr>
        <w:numPr>
          <w:ilvl w:val="0"/>
          <w:numId w:val="6"/>
        </w:numPr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eastAsia="Georgia" w:cs="Cambria"/>
          <w:sz w:val="20"/>
          <w:szCs w:val="20"/>
        </w:rPr>
        <w:t>Only 36 Material samples — minority class needs explicit handling</w:t>
      </w:r>
    </w:p>
    <w:p w14:paraId="5CC52834">
      <w:pPr>
        <w:numPr>
          <w:ilvl w:val="0"/>
          <w:numId w:val="6"/>
        </w:numPr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eastAsia="Georgia" w:cs="Cambria"/>
          <w:sz w:val="20"/>
          <w:szCs w:val="20"/>
        </w:rPr>
        <w:t>Overlapping vocabulary — words like "supply" and "installation" appear across all three classes</w:t>
      </w:r>
    </w:p>
    <w:p w14:paraId="0A948FCF">
      <w:pPr>
        <w:numPr>
          <w:ilvl w:val="0"/>
          <w:numId w:val="6"/>
        </w:numPr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>Domain abbreviations (SFP, UPS, ICT) carry specific meaning but are opaque without contextual language knowledge</w:t>
      </w:r>
    </w:p>
    <w:p w14:paraId="0F3C0433">
      <w:pPr>
        <w:numPr>
          <w:ilvl w:val="0"/>
          <w:numId w:val="6"/>
        </w:numPr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>Some borderline manual labels introduce unavoidable noise at class boundaries</w:t>
      </w:r>
    </w:p>
    <w:p w14:paraId="6CF1D8B4">
      <w:pPr>
        <w:rPr>
          <w:rFonts w:hint="default" w:ascii="Cambria" w:hAnsi="Cambria" w:cs="Cambria"/>
          <w:sz w:val="20"/>
          <w:szCs w:val="20"/>
        </w:rPr>
      </w:pPr>
    </w:p>
    <w:p w14:paraId="569482FA">
      <w:pPr>
        <w:spacing w:before="240" w:line="271" w:lineRule="auto"/>
        <w:rPr>
          <w:rFonts w:hint="default" w:ascii="Cambria" w:hAnsi="Cambria" w:cs="Cambria"/>
          <w:sz w:val="20"/>
          <w:szCs w:val="20"/>
        </w:rPr>
      </w:pPr>
      <w:bookmarkStart w:id="4" w:name="bm_5_approach_comparison_model_selection"/>
      <w:r>
        <w:rPr>
          <w:rFonts w:hint="default" w:ascii="Cambria" w:hAnsi="Cambria" w:cs="Cambria"/>
          <w:b/>
          <w:sz w:val="20"/>
          <w:szCs w:val="20"/>
        </w:rPr>
        <w:t>5. Approach Comparison &amp; Model Selection</w:t>
      </w:r>
      <w:bookmarkEnd w:id="4"/>
    </w:p>
    <w:p w14:paraId="3C63220C">
      <w:pPr>
        <w:spacing w:after="220"/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b/>
          <w:sz w:val="20"/>
          <w:szCs w:val="20"/>
        </w:rPr>
        <w:t>Approach A — TF-IDF + Traditional ML</w:t>
      </w:r>
    </w:p>
    <w:p w14:paraId="1B012421">
      <w:pPr>
        <w:numPr>
          <w:ilvl w:val="0"/>
          <w:numId w:val="7"/>
        </w:numPr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>Converts remarks into word-frequency vectors, trains Logistic Regression or SVM on top</w:t>
      </w:r>
    </w:p>
    <w:p w14:paraId="2582F34D">
      <w:pPr>
        <w:numPr>
          <w:ilvl w:val="0"/>
          <w:numId w:val="7"/>
        </w:numPr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b/>
          <w:sz w:val="20"/>
          <w:szCs w:val="20"/>
        </w:rPr>
        <w:t>Strengths:</w:t>
      </w:r>
      <w:r>
        <w:rPr>
          <w:rFonts w:hint="default" w:ascii="Cambria" w:hAnsi="Cambria" w:cs="Cambria"/>
          <w:sz w:val="20"/>
          <w:szCs w:val="20"/>
        </w:rPr>
        <w:t xml:space="preserve"> lightweight (&lt;5 MB), fast, fully interpretable, no GPU needed</w:t>
      </w:r>
    </w:p>
    <w:p w14:paraId="53CCE563">
      <w:pPr>
        <w:numPr>
          <w:ilvl w:val="0"/>
          <w:numId w:val="7"/>
        </w:numPr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b/>
          <w:sz w:val="20"/>
          <w:szCs w:val="20"/>
        </w:rPr>
        <w:t>Weakness:</w:t>
      </w:r>
      <w:r>
        <w:rPr>
          <w:rFonts w:hint="default" w:ascii="Cambria" w:hAnsi="Cambria" w:eastAsia="Georgia" w:cs="Cambria"/>
          <w:sz w:val="20"/>
          <w:szCs w:val="20"/>
        </w:rPr>
        <w:t xml:space="preserve"> sees words not meaning — "SFP transceiver" and "optical module" are completely unrelated to TF-IDF despite describing the same item. Cannot handle abbreviations or overlapping vocabulary — the two defining challenges of this dataset</w:t>
      </w:r>
    </w:p>
    <w:p w14:paraId="69B42E84">
      <w:pPr>
        <w:numPr>
          <w:ilvl w:val="0"/>
          <w:numId w:val="7"/>
        </w:numPr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b/>
          <w:sz w:val="20"/>
          <w:szCs w:val="20"/>
        </w:rPr>
        <w:t>Estimated accuracy: 78–84%</w:t>
      </w:r>
    </w:p>
    <w:p w14:paraId="79F0997C">
      <w:pPr>
        <w:spacing w:after="220"/>
        <w:rPr>
          <w:rFonts w:hint="default" w:ascii="Cambria" w:hAnsi="Cambria" w:cs="Cambria"/>
          <w:sz w:val="20"/>
          <w:szCs w:val="20"/>
          <w:lang w:val="en-US"/>
        </w:rPr>
      </w:pPr>
      <w:r>
        <w:rPr>
          <w:rFonts w:hint="default" w:ascii="Cambria" w:hAnsi="Cambria" w:cs="Cambria"/>
          <w:b/>
          <w:sz w:val="20"/>
          <w:szCs w:val="20"/>
        </w:rPr>
        <w:t xml:space="preserve">Approach B — Sentence Transformers + Classifier </w:t>
      </w:r>
      <w:r>
        <w:rPr>
          <w:rFonts w:hint="default" w:ascii="Cambria" w:hAnsi="Cambria" w:cs="Cambria"/>
          <w:b/>
          <w:sz w:val="20"/>
          <w:szCs w:val="20"/>
          <w:lang w:val="en-US"/>
        </w:rPr>
        <w:t>(</w:t>
      </w:r>
      <w:r>
        <w:rPr>
          <w:rFonts w:hint="default" w:ascii="Cambria" w:hAnsi="Cambria" w:cs="Cambria"/>
          <w:b/>
          <w:sz w:val="20"/>
          <w:szCs w:val="20"/>
        </w:rPr>
        <w:t>Chosen</w:t>
      </w:r>
      <w:r>
        <w:rPr>
          <w:rFonts w:hint="default" w:ascii="Cambria" w:hAnsi="Cambria" w:cs="Cambria"/>
          <w:b/>
          <w:sz w:val="20"/>
          <w:szCs w:val="20"/>
          <w:lang w:val="en-US"/>
        </w:rPr>
        <w:t xml:space="preserve"> approach)</w:t>
      </w:r>
    </w:p>
    <w:p w14:paraId="7831EA5C">
      <w:pPr>
        <w:numPr>
          <w:ilvl w:val="0"/>
          <w:numId w:val="8"/>
        </w:numPr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>Pre-trained language model (all-mpnet-base-v2) converts each remark into a 768-dimensional semantic vector capturing meaning, not word frequency</w:t>
      </w:r>
    </w:p>
    <w:p w14:paraId="3F00DE69">
      <w:pPr>
        <w:numPr>
          <w:ilvl w:val="0"/>
          <w:numId w:val="8"/>
        </w:numPr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 xml:space="preserve">Model runs </w:t>
      </w:r>
      <w:r>
        <w:rPr>
          <w:rFonts w:hint="default" w:ascii="Cambria" w:hAnsi="Cambria" w:cs="Cambria"/>
          <w:b/>
          <w:sz w:val="20"/>
          <w:szCs w:val="20"/>
        </w:rPr>
        <w:t>frozen</w:t>
      </w:r>
      <w:r>
        <w:rPr>
          <w:rFonts w:hint="default" w:ascii="Cambria" w:hAnsi="Cambria" w:eastAsia="Georgia" w:cs="Cambria"/>
          <w:sz w:val="20"/>
          <w:szCs w:val="20"/>
        </w:rPr>
        <w:t xml:space="preserve"> — no fine-tuning needed, so 236 samples is sufficient</w:t>
      </w:r>
    </w:p>
    <w:p w14:paraId="5F00D3E0">
      <w:pPr>
        <w:numPr>
          <w:ilvl w:val="0"/>
          <w:numId w:val="8"/>
        </w:numPr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>Handles abbreviations, paraphrasing, and vocabulary overlap naturally</w:t>
      </w:r>
    </w:p>
    <w:p w14:paraId="67A592F4">
      <w:pPr>
        <w:numPr>
          <w:ilvl w:val="0"/>
          <w:numId w:val="8"/>
        </w:numPr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b/>
          <w:sz w:val="20"/>
          <w:szCs w:val="20"/>
        </w:rPr>
        <w:t>Strengths:</w:t>
      </w:r>
      <w:r>
        <w:rPr>
          <w:rFonts w:hint="default" w:ascii="Cambria" w:hAnsi="Cambria" w:cs="Cambria"/>
          <w:sz w:val="20"/>
          <w:szCs w:val="20"/>
        </w:rPr>
        <w:t xml:space="preserve"> understands context and meaning, robust to domain jargon, lower overfitting risk on small data</w:t>
      </w:r>
    </w:p>
    <w:p w14:paraId="53FA154D">
      <w:pPr>
        <w:numPr>
          <w:ilvl w:val="0"/>
          <w:numId w:val="8"/>
        </w:numPr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b/>
          <w:sz w:val="20"/>
          <w:szCs w:val="20"/>
        </w:rPr>
        <w:t>Weakness:</w:t>
      </w:r>
      <w:r>
        <w:rPr>
          <w:rFonts w:hint="default" w:ascii="Cambria" w:hAnsi="Cambria" w:cs="Cambria"/>
          <w:sz w:val="20"/>
          <w:szCs w:val="20"/>
        </w:rPr>
        <w:t xml:space="preserve"> 420 MB one-time model download, less interpretable than TF-IDF</w:t>
      </w:r>
    </w:p>
    <w:p w14:paraId="5CFA87CC">
      <w:pPr>
        <w:numPr>
          <w:ilvl w:val="0"/>
          <w:numId w:val="8"/>
        </w:numPr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b/>
          <w:sz w:val="20"/>
          <w:szCs w:val="20"/>
        </w:rPr>
        <w:t>Estimated accuracy: 88–92%</w:t>
      </w:r>
      <w:bookmarkStart w:id="7" w:name="_GoBack"/>
      <w:bookmarkEnd w:id="7"/>
    </w:p>
    <w:p w14:paraId="25B4950B">
      <w:pPr>
        <w:numPr>
          <w:ilvl w:val="0"/>
          <w:numId w:val="8"/>
        </w:numPr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b/>
          <w:sz w:val="20"/>
          <w:szCs w:val="20"/>
        </w:rPr>
        <w:t>Chosen because</w:t>
      </w:r>
      <w:r>
        <w:rPr>
          <w:rFonts w:hint="default" w:ascii="Cambria" w:hAnsi="Cambria" w:eastAsia="Georgia" w:cs="Cambria"/>
          <w:sz w:val="20"/>
          <w:szCs w:val="20"/>
        </w:rPr>
        <w:t xml:space="preserve"> the EDA challenges — overlapping vocabulary, abbreviations, small minority class — are exactly where TF-IDF fails and semantic embeddings excel</w:t>
      </w:r>
    </w:p>
    <w:p w14:paraId="2FB93CFC">
      <w:pPr>
        <w:spacing w:after="220"/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b/>
          <w:sz w:val="20"/>
          <w:szCs w:val="20"/>
        </w:rPr>
        <w:t>Classifier Comparison Within Approach B</w:t>
      </w:r>
    </w:p>
    <w:p w14:paraId="67F70D83">
      <w:pPr>
        <w:numPr>
          <w:ilvl w:val="0"/>
          <w:numId w:val="9"/>
        </w:numPr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 xml:space="preserve">Both </w:t>
      </w:r>
      <w:r>
        <w:rPr>
          <w:rFonts w:hint="default" w:ascii="Cambria" w:hAnsi="Cambria" w:cs="Cambria"/>
          <w:b/>
          <w:sz w:val="20"/>
          <w:szCs w:val="20"/>
        </w:rPr>
        <w:t>Logistic Regression</w:t>
      </w:r>
      <w:r>
        <w:rPr>
          <w:rFonts w:hint="default" w:ascii="Cambria" w:hAnsi="Cambria" w:cs="Cambria"/>
          <w:sz w:val="20"/>
          <w:szCs w:val="20"/>
        </w:rPr>
        <w:t xml:space="preserve"> and </w:t>
      </w:r>
      <w:r>
        <w:rPr>
          <w:rFonts w:hint="default" w:ascii="Cambria" w:hAnsi="Cambria" w:cs="Cambria"/>
          <w:b/>
          <w:sz w:val="20"/>
          <w:szCs w:val="20"/>
        </w:rPr>
        <w:t>LinearSVC</w:t>
      </w:r>
      <w:r>
        <w:rPr>
          <w:rFonts w:hint="default" w:ascii="Cambria" w:hAnsi="Cambria" w:cs="Cambria"/>
          <w:sz w:val="20"/>
          <w:szCs w:val="20"/>
        </w:rPr>
        <w:t xml:space="preserve"> were tested on the same embeddings</w:t>
      </w:r>
      <w:r>
        <w:rPr>
          <w:rFonts w:hint="default" w:ascii="Cambria" w:hAnsi="Cambria" w:cs="Cambria"/>
          <w:sz w:val="20"/>
          <w:szCs w:val="20"/>
          <w:lang w:val="en-US"/>
        </w:rPr>
        <w:t xml:space="preserve"> but in different file before finalizing this approach.</w:t>
      </w:r>
    </w:p>
    <w:p w14:paraId="146478CF">
      <w:pPr>
        <w:numPr>
          <w:ilvl w:val="0"/>
          <w:numId w:val="9"/>
        </w:numPr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>Logistic Regression performed well overall but produced softer boundaries on the minority Material class</w:t>
      </w:r>
    </w:p>
    <w:p w14:paraId="2186725F">
      <w:pPr>
        <w:numPr>
          <w:ilvl w:val="0"/>
          <w:numId w:val="9"/>
        </w:numPr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>LinearSVC was more decisive on overlapping cases and handled class imbalance more effectively with balanced weighting</w:t>
      </w:r>
    </w:p>
    <w:p w14:paraId="11F26079">
      <w:pPr>
        <w:numPr>
          <w:ilvl w:val="0"/>
          <w:numId w:val="9"/>
        </w:numPr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b/>
          <w:sz w:val="20"/>
          <w:szCs w:val="20"/>
        </w:rPr>
        <w:t>LinearSVC selected</w:t>
      </w:r>
      <w:r>
        <w:rPr>
          <w:rFonts w:hint="default" w:ascii="Cambria" w:hAnsi="Cambria" w:eastAsia="Georgia" w:cs="Cambria"/>
          <w:sz w:val="20"/>
          <w:szCs w:val="20"/>
        </w:rPr>
        <w:t xml:space="preserve"> — consistently stronger Macro F1, particularly on the Material class</w:t>
      </w:r>
    </w:p>
    <w:p w14:paraId="4E59C088">
      <w:pPr>
        <w:rPr>
          <w:rFonts w:hint="default" w:ascii="Cambria" w:hAnsi="Cambria" w:cs="Cambria"/>
          <w:sz w:val="20"/>
          <w:szCs w:val="20"/>
        </w:rPr>
      </w:pPr>
    </w:p>
    <w:p w14:paraId="7094F8FF">
      <w:pPr>
        <w:rPr>
          <w:rFonts w:hint="default" w:ascii="Cambria" w:hAnsi="Cambria" w:cs="Cambria"/>
          <w:sz w:val="20"/>
          <w:szCs w:val="20"/>
        </w:rPr>
      </w:pPr>
    </w:p>
    <w:p w14:paraId="63ACB548">
      <w:pPr>
        <w:spacing w:before="240" w:line="271" w:lineRule="auto"/>
        <w:rPr>
          <w:rFonts w:hint="default" w:ascii="Cambria" w:hAnsi="Cambria" w:cs="Cambria"/>
          <w:sz w:val="20"/>
          <w:szCs w:val="20"/>
        </w:rPr>
      </w:pPr>
      <w:bookmarkStart w:id="5" w:name="bm_6_implementation"/>
      <w:r>
        <w:rPr>
          <w:rFonts w:hint="default" w:ascii="Cambria" w:hAnsi="Cambria" w:cs="Cambria"/>
          <w:b/>
          <w:sz w:val="20"/>
          <w:szCs w:val="20"/>
        </w:rPr>
        <w:t>6. Implementation</w:t>
      </w:r>
      <w:bookmarkEnd w:id="5"/>
    </w:p>
    <w:p w14:paraId="11A0112F">
      <w:pPr>
        <w:numPr>
          <w:ilvl w:val="0"/>
          <w:numId w:val="10"/>
        </w:numPr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 xml:space="preserve">80/20 </w:t>
      </w:r>
      <w:r>
        <w:rPr>
          <w:rFonts w:hint="default" w:ascii="Cambria" w:hAnsi="Cambria" w:cs="Cambria"/>
          <w:b/>
          <w:sz w:val="20"/>
          <w:szCs w:val="20"/>
        </w:rPr>
        <w:t>stratified split</w:t>
      </w:r>
      <w:r>
        <w:rPr>
          <w:rFonts w:hint="default" w:ascii="Cambria" w:hAnsi="Cambria" w:eastAsia="Georgia" w:cs="Cambria"/>
          <w:sz w:val="20"/>
          <w:szCs w:val="20"/>
        </w:rPr>
        <w:t xml:space="preserve"> — 188 train / 48 test (stratified to preserve class ratios in both halves)</w:t>
      </w:r>
    </w:p>
    <w:p w14:paraId="52F5061C">
      <w:pPr>
        <w:numPr>
          <w:ilvl w:val="0"/>
          <w:numId w:val="10"/>
        </w:numPr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 xml:space="preserve">all-mpnet-base-v2 generates </w:t>
      </w:r>
      <w:r>
        <w:rPr>
          <w:rFonts w:hint="default" w:ascii="Cambria" w:hAnsi="Cambria" w:cs="Cambria"/>
          <w:b/>
          <w:sz w:val="20"/>
          <w:szCs w:val="20"/>
        </w:rPr>
        <w:t>768-dimensional semantic embeddings</w:t>
      </w:r>
      <w:r>
        <w:rPr>
          <w:rFonts w:hint="default" w:ascii="Cambria" w:hAnsi="Cambria" w:cs="Cambria"/>
          <w:sz w:val="20"/>
          <w:szCs w:val="20"/>
        </w:rPr>
        <w:t xml:space="preserve"> per remark</w:t>
      </w:r>
    </w:p>
    <w:p w14:paraId="4E2FC25B">
      <w:pPr>
        <w:numPr>
          <w:ilvl w:val="0"/>
          <w:numId w:val="10"/>
        </w:numPr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eastAsia="Georgia" w:cs="Cambria"/>
          <w:sz w:val="20"/>
          <w:szCs w:val="20"/>
        </w:rPr>
        <w:t>Classifier: LinearSVC with class_weight='balanced', max_iter=2000, random_state=42</w:t>
      </w:r>
    </w:p>
    <w:p w14:paraId="627256BD">
      <w:pPr>
        <w:numPr>
          <w:ilvl w:val="0"/>
          <w:numId w:val="10"/>
        </w:numPr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eastAsia="Georgia" w:cs="Cambria"/>
          <w:sz w:val="20"/>
          <w:szCs w:val="20"/>
        </w:rPr>
        <w:t>Model saved as expense_classifier.pkl via joblib for reuse without retraining</w:t>
      </w:r>
    </w:p>
    <w:p w14:paraId="2D7C5D90">
      <w:pPr>
        <w:numPr>
          <w:ilvl w:val="0"/>
          <w:numId w:val="10"/>
        </w:numPr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b/>
          <w:sz w:val="20"/>
          <w:szCs w:val="20"/>
        </w:rPr>
        <w:t>5-fold stratified cross-validation</w:t>
      </w:r>
      <w:r>
        <w:rPr>
          <w:rFonts w:hint="default" w:ascii="Cambria" w:hAnsi="Cambria" w:cs="Cambria"/>
          <w:sz w:val="20"/>
          <w:szCs w:val="20"/>
        </w:rPr>
        <w:t xml:space="preserve"> run on all 236 samples for reliable performance estimate</w:t>
      </w:r>
    </w:p>
    <w:p w14:paraId="57C22D33">
      <w:pPr>
        <w:rPr>
          <w:rFonts w:hint="default" w:ascii="Cambria" w:hAnsi="Cambria" w:cs="Cambria"/>
          <w:sz w:val="20"/>
          <w:szCs w:val="20"/>
        </w:rPr>
      </w:pPr>
    </w:p>
    <w:p w14:paraId="7AD992C3">
      <w:pPr>
        <w:spacing w:before="240" w:line="271" w:lineRule="auto"/>
        <w:rPr>
          <w:rFonts w:hint="default" w:ascii="Cambria" w:hAnsi="Cambria" w:cs="Cambria"/>
          <w:sz w:val="20"/>
          <w:szCs w:val="20"/>
        </w:rPr>
      </w:pPr>
      <w:bookmarkStart w:id="6" w:name="bm_7_results"/>
      <w:r>
        <w:rPr>
          <w:rFonts w:hint="default" w:ascii="Cambria" w:hAnsi="Cambria" w:cs="Cambria"/>
          <w:b/>
          <w:sz w:val="20"/>
          <w:szCs w:val="20"/>
        </w:rPr>
        <w:t>7. Results</w:t>
      </w:r>
      <w:bookmarkEnd w:id="6"/>
    </w:p>
    <w:tbl>
      <w:tblPr>
        <w:tblStyle w:val="5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3345"/>
        <w:gridCol w:w="2084"/>
        <w:gridCol w:w="900"/>
        <w:gridCol w:w="936"/>
        <w:gridCol w:w="1369"/>
      </w:tblGrid>
      <w:tr w14:paraId="45D8BAC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3345" w:type="dxa"/>
            <w:tcBorders>
              <w:top w:val="single" w:color="000000" w:sz="0" w:space="0"/>
              <w:bottom w:val="single" w:color="000000" w:sz="0" w:space="0"/>
            </w:tcBorders>
          </w:tcPr>
          <w:p w14:paraId="5AA2DCA9">
            <w:pPr>
              <w:spacing w:after="0" w:line="240" w:lineRule="auto"/>
              <w:rPr>
                <w:rFonts w:hint="default" w:ascii="Cambria" w:hAnsi="Cambria" w:cs="Cambria"/>
                <w:sz w:val="20"/>
                <w:szCs w:val="20"/>
              </w:rPr>
            </w:pPr>
            <w:r>
              <w:rPr>
                <w:rFonts w:hint="default" w:ascii="Cambria" w:hAnsi="Cambria" w:cs="Cambria"/>
                <w:sz w:val="20"/>
                <w:szCs w:val="20"/>
              </w:rPr>
              <w:t>Class</w:t>
            </w:r>
          </w:p>
        </w:tc>
        <w:tc>
          <w:tcPr>
            <w:tcW w:w="208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5BEB9D43">
            <w:pPr>
              <w:spacing w:after="0" w:line="240" w:lineRule="auto"/>
              <w:rPr>
                <w:rFonts w:hint="default" w:ascii="Cambria" w:hAnsi="Cambria" w:cs="Cambria"/>
                <w:sz w:val="20"/>
                <w:szCs w:val="20"/>
              </w:rPr>
            </w:pPr>
            <w:r>
              <w:rPr>
                <w:rFonts w:hint="default" w:ascii="Cambria" w:hAnsi="Cambria" w:cs="Cambria"/>
                <w:sz w:val="20"/>
                <w:szCs w:val="20"/>
              </w:rPr>
              <w:t>Precision</w:t>
            </w:r>
          </w:p>
        </w:tc>
        <w:tc>
          <w:tcPr>
            <w:tcW w:w="9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54838F1E">
            <w:pPr>
              <w:spacing w:after="0" w:line="240" w:lineRule="auto"/>
              <w:rPr>
                <w:rFonts w:hint="default" w:ascii="Cambria" w:hAnsi="Cambria" w:cs="Cambria"/>
                <w:sz w:val="20"/>
                <w:szCs w:val="20"/>
              </w:rPr>
            </w:pPr>
            <w:r>
              <w:rPr>
                <w:rFonts w:hint="default" w:ascii="Cambria" w:hAnsi="Cambria" w:cs="Cambria"/>
                <w:sz w:val="20"/>
                <w:szCs w:val="20"/>
              </w:rPr>
              <w:t>Recall</w:t>
            </w:r>
          </w:p>
        </w:tc>
        <w:tc>
          <w:tcPr>
            <w:tcW w:w="93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583C8DE8">
            <w:pPr>
              <w:spacing w:after="0" w:line="240" w:lineRule="auto"/>
              <w:rPr>
                <w:rFonts w:hint="default" w:ascii="Cambria" w:hAnsi="Cambria" w:cs="Cambria"/>
                <w:sz w:val="20"/>
                <w:szCs w:val="20"/>
              </w:rPr>
            </w:pPr>
            <w:r>
              <w:rPr>
                <w:rFonts w:hint="default" w:ascii="Cambria" w:hAnsi="Cambria" w:cs="Cambria"/>
                <w:sz w:val="20"/>
                <w:szCs w:val="20"/>
              </w:rPr>
              <w:t>F1</w:t>
            </w:r>
          </w:p>
        </w:tc>
        <w:tc>
          <w:tcPr>
            <w:tcW w:w="1369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63244C9D">
            <w:pPr>
              <w:spacing w:after="0" w:line="240" w:lineRule="auto"/>
              <w:rPr>
                <w:rFonts w:hint="default" w:ascii="Cambria" w:hAnsi="Cambria" w:cs="Cambria"/>
                <w:sz w:val="20"/>
                <w:szCs w:val="20"/>
              </w:rPr>
            </w:pPr>
            <w:r>
              <w:rPr>
                <w:rFonts w:hint="default" w:ascii="Cambria" w:hAnsi="Cambria" w:cs="Cambria"/>
                <w:sz w:val="20"/>
                <w:szCs w:val="20"/>
              </w:rPr>
              <w:t>Support</w:t>
            </w:r>
          </w:p>
        </w:tc>
      </w:tr>
      <w:tr w14:paraId="1D90DFB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3345" w:type="dxa"/>
            <w:tcBorders>
              <w:top w:val="single" w:color="000000" w:sz="0" w:space="0"/>
              <w:bottom w:val="single" w:color="000000" w:sz="0" w:space="0"/>
            </w:tcBorders>
          </w:tcPr>
          <w:p w14:paraId="44C7D087">
            <w:pPr>
              <w:spacing w:after="0" w:line="240" w:lineRule="auto"/>
              <w:rPr>
                <w:rFonts w:hint="default" w:ascii="Cambria" w:hAnsi="Cambria" w:cs="Cambria"/>
                <w:sz w:val="20"/>
                <w:szCs w:val="20"/>
              </w:rPr>
            </w:pPr>
            <w:r>
              <w:rPr>
                <w:rFonts w:hint="default" w:ascii="Cambria" w:hAnsi="Cambria" w:cs="Cambria"/>
                <w:sz w:val="20"/>
                <w:szCs w:val="20"/>
              </w:rPr>
              <w:t>Equipment</w:t>
            </w:r>
          </w:p>
        </w:tc>
        <w:tc>
          <w:tcPr>
            <w:tcW w:w="208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375305A9">
            <w:pPr>
              <w:spacing w:after="0" w:line="240" w:lineRule="auto"/>
              <w:rPr>
                <w:rFonts w:hint="default" w:ascii="Cambria" w:hAnsi="Cambria" w:cs="Cambria"/>
                <w:sz w:val="20"/>
                <w:szCs w:val="20"/>
              </w:rPr>
            </w:pPr>
            <w:r>
              <w:rPr>
                <w:rFonts w:hint="default" w:ascii="Cambria" w:hAnsi="Cambria" w:cs="Cambria"/>
                <w:sz w:val="20"/>
                <w:szCs w:val="20"/>
              </w:rPr>
              <w:t>0.95</w:t>
            </w:r>
          </w:p>
        </w:tc>
        <w:tc>
          <w:tcPr>
            <w:tcW w:w="9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1D6EE905">
            <w:pPr>
              <w:spacing w:after="0" w:line="240" w:lineRule="auto"/>
              <w:rPr>
                <w:rFonts w:hint="default" w:ascii="Cambria" w:hAnsi="Cambria" w:cs="Cambria"/>
                <w:sz w:val="20"/>
                <w:szCs w:val="20"/>
              </w:rPr>
            </w:pPr>
            <w:r>
              <w:rPr>
                <w:rFonts w:hint="default" w:ascii="Cambria" w:hAnsi="Cambria" w:cs="Cambria"/>
                <w:sz w:val="20"/>
                <w:szCs w:val="20"/>
              </w:rPr>
              <w:t>0.84</w:t>
            </w:r>
          </w:p>
        </w:tc>
        <w:tc>
          <w:tcPr>
            <w:tcW w:w="93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12FC177C">
            <w:pPr>
              <w:spacing w:after="0" w:line="240" w:lineRule="auto"/>
              <w:rPr>
                <w:rFonts w:hint="default" w:ascii="Cambria" w:hAnsi="Cambria" w:cs="Cambria"/>
                <w:sz w:val="20"/>
                <w:szCs w:val="20"/>
              </w:rPr>
            </w:pPr>
            <w:r>
              <w:rPr>
                <w:rFonts w:hint="default" w:ascii="Cambria" w:hAnsi="Cambria" w:cs="Cambria"/>
                <w:sz w:val="20"/>
                <w:szCs w:val="20"/>
              </w:rPr>
              <w:t>0.89</w:t>
            </w:r>
          </w:p>
        </w:tc>
        <w:tc>
          <w:tcPr>
            <w:tcW w:w="1369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5800D539">
            <w:pPr>
              <w:spacing w:after="0" w:line="240" w:lineRule="auto"/>
              <w:rPr>
                <w:rFonts w:hint="default" w:ascii="Cambria" w:hAnsi="Cambria" w:cs="Cambria"/>
                <w:sz w:val="20"/>
                <w:szCs w:val="20"/>
              </w:rPr>
            </w:pPr>
            <w:r>
              <w:rPr>
                <w:rFonts w:hint="default" w:ascii="Cambria" w:hAnsi="Cambria" w:cs="Cambria"/>
                <w:sz w:val="20"/>
                <w:szCs w:val="20"/>
              </w:rPr>
              <w:t>25</w:t>
            </w:r>
          </w:p>
        </w:tc>
      </w:tr>
      <w:tr w14:paraId="0F6D439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3345" w:type="dxa"/>
            <w:tcBorders>
              <w:top w:val="single" w:color="000000" w:sz="0" w:space="0"/>
              <w:bottom w:val="single" w:color="000000" w:sz="0" w:space="0"/>
            </w:tcBorders>
          </w:tcPr>
          <w:p w14:paraId="56FAA158">
            <w:pPr>
              <w:spacing w:after="0" w:line="240" w:lineRule="auto"/>
              <w:rPr>
                <w:rFonts w:hint="default" w:ascii="Cambria" w:hAnsi="Cambria" w:cs="Cambria"/>
                <w:sz w:val="20"/>
                <w:szCs w:val="20"/>
              </w:rPr>
            </w:pPr>
            <w:r>
              <w:rPr>
                <w:rFonts w:hint="default" w:ascii="Cambria" w:hAnsi="Cambria" w:cs="Cambria"/>
                <w:sz w:val="20"/>
                <w:szCs w:val="20"/>
              </w:rPr>
              <w:t>Material</w:t>
            </w:r>
          </w:p>
        </w:tc>
        <w:tc>
          <w:tcPr>
            <w:tcW w:w="208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7CCC6668">
            <w:pPr>
              <w:spacing w:after="0" w:line="240" w:lineRule="auto"/>
              <w:rPr>
                <w:rFonts w:hint="default" w:ascii="Cambria" w:hAnsi="Cambria" w:cs="Cambria"/>
                <w:sz w:val="20"/>
                <w:szCs w:val="20"/>
              </w:rPr>
            </w:pPr>
            <w:r>
              <w:rPr>
                <w:rFonts w:hint="default" w:ascii="Cambria" w:hAnsi="Cambria" w:cs="Cambria"/>
                <w:sz w:val="20"/>
                <w:szCs w:val="20"/>
              </w:rPr>
              <w:t>0.88</w:t>
            </w:r>
          </w:p>
        </w:tc>
        <w:tc>
          <w:tcPr>
            <w:tcW w:w="9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6F6A4DCC">
            <w:pPr>
              <w:spacing w:after="0" w:line="240" w:lineRule="auto"/>
              <w:rPr>
                <w:rFonts w:hint="default" w:ascii="Cambria" w:hAnsi="Cambria" w:cs="Cambria"/>
                <w:sz w:val="20"/>
                <w:szCs w:val="20"/>
              </w:rPr>
            </w:pPr>
            <w:r>
              <w:rPr>
                <w:rFonts w:hint="default" w:ascii="Cambria" w:hAnsi="Cambria" w:cs="Cambria"/>
                <w:sz w:val="20"/>
                <w:szCs w:val="20"/>
              </w:rPr>
              <w:t>1.00</w:t>
            </w:r>
          </w:p>
        </w:tc>
        <w:tc>
          <w:tcPr>
            <w:tcW w:w="93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19DD8126">
            <w:pPr>
              <w:spacing w:after="0" w:line="240" w:lineRule="auto"/>
              <w:rPr>
                <w:rFonts w:hint="default" w:ascii="Cambria" w:hAnsi="Cambria" w:cs="Cambria"/>
                <w:sz w:val="20"/>
                <w:szCs w:val="20"/>
              </w:rPr>
            </w:pPr>
            <w:r>
              <w:rPr>
                <w:rFonts w:hint="default" w:ascii="Cambria" w:hAnsi="Cambria" w:cs="Cambria"/>
                <w:sz w:val="20"/>
                <w:szCs w:val="20"/>
              </w:rPr>
              <w:t>0.93</w:t>
            </w:r>
          </w:p>
        </w:tc>
        <w:tc>
          <w:tcPr>
            <w:tcW w:w="1369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1D0EA8E1">
            <w:pPr>
              <w:spacing w:after="0" w:line="240" w:lineRule="auto"/>
              <w:rPr>
                <w:rFonts w:hint="default" w:ascii="Cambria" w:hAnsi="Cambria" w:cs="Cambria"/>
                <w:sz w:val="20"/>
                <w:szCs w:val="20"/>
              </w:rPr>
            </w:pPr>
            <w:r>
              <w:rPr>
                <w:rFonts w:hint="default" w:ascii="Cambria" w:hAnsi="Cambria" w:cs="Cambria"/>
                <w:sz w:val="20"/>
                <w:szCs w:val="20"/>
              </w:rPr>
              <w:t>7</w:t>
            </w:r>
          </w:p>
        </w:tc>
      </w:tr>
      <w:tr w14:paraId="3C948A6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3345" w:type="dxa"/>
            <w:tcBorders>
              <w:top w:val="single" w:color="000000" w:sz="0" w:space="0"/>
              <w:bottom w:val="single" w:color="000000" w:sz="0" w:space="0"/>
            </w:tcBorders>
          </w:tcPr>
          <w:p w14:paraId="7BBCEF3E">
            <w:pPr>
              <w:spacing w:after="0" w:line="240" w:lineRule="auto"/>
              <w:rPr>
                <w:rFonts w:hint="default" w:ascii="Cambria" w:hAnsi="Cambria" w:cs="Cambria"/>
                <w:sz w:val="20"/>
                <w:szCs w:val="20"/>
              </w:rPr>
            </w:pPr>
            <w:r>
              <w:rPr>
                <w:rFonts w:hint="default" w:ascii="Cambria" w:hAnsi="Cambria" w:cs="Cambria"/>
                <w:sz w:val="20"/>
                <w:szCs w:val="20"/>
              </w:rPr>
              <w:t>Services</w:t>
            </w:r>
          </w:p>
        </w:tc>
        <w:tc>
          <w:tcPr>
            <w:tcW w:w="208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79D67820">
            <w:pPr>
              <w:spacing w:after="0" w:line="240" w:lineRule="auto"/>
              <w:rPr>
                <w:rFonts w:hint="default" w:ascii="Cambria" w:hAnsi="Cambria" w:cs="Cambria"/>
                <w:sz w:val="20"/>
                <w:szCs w:val="20"/>
              </w:rPr>
            </w:pPr>
            <w:r>
              <w:rPr>
                <w:rFonts w:hint="default" w:ascii="Cambria" w:hAnsi="Cambria" w:cs="Cambria"/>
                <w:sz w:val="20"/>
                <w:szCs w:val="20"/>
              </w:rPr>
              <w:t>0.83</w:t>
            </w:r>
          </w:p>
        </w:tc>
        <w:tc>
          <w:tcPr>
            <w:tcW w:w="9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0CAFFFE0">
            <w:pPr>
              <w:spacing w:after="0" w:line="240" w:lineRule="auto"/>
              <w:rPr>
                <w:rFonts w:hint="default" w:ascii="Cambria" w:hAnsi="Cambria" w:cs="Cambria"/>
                <w:sz w:val="20"/>
                <w:szCs w:val="20"/>
              </w:rPr>
            </w:pPr>
            <w:r>
              <w:rPr>
                <w:rFonts w:hint="default" w:ascii="Cambria" w:hAnsi="Cambria" w:cs="Cambria"/>
                <w:sz w:val="20"/>
                <w:szCs w:val="20"/>
              </w:rPr>
              <w:t>0.94</w:t>
            </w:r>
          </w:p>
        </w:tc>
        <w:tc>
          <w:tcPr>
            <w:tcW w:w="93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0138CD4F">
            <w:pPr>
              <w:spacing w:after="0" w:line="240" w:lineRule="auto"/>
              <w:rPr>
                <w:rFonts w:hint="default" w:ascii="Cambria" w:hAnsi="Cambria" w:cs="Cambria"/>
                <w:sz w:val="20"/>
                <w:szCs w:val="20"/>
              </w:rPr>
            </w:pPr>
            <w:r>
              <w:rPr>
                <w:rFonts w:hint="default" w:ascii="Cambria" w:hAnsi="Cambria" w:cs="Cambria"/>
                <w:sz w:val="20"/>
                <w:szCs w:val="20"/>
              </w:rPr>
              <w:t>0.88</w:t>
            </w:r>
          </w:p>
        </w:tc>
        <w:tc>
          <w:tcPr>
            <w:tcW w:w="1369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6010B78E">
            <w:pPr>
              <w:spacing w:after="0" w:line="240" w:lineRule="auto"/>
              <w:rPr>
                <w:rFonts w:hint="default" w:ascii="Cambria" w:hAnsi="Cambria" w:cs="Cambria"/>
                <w:sz w:val="20"/>
                <w:szCs w:val="20"/>
              </w:rPr>
            </w:pPr>
            <w:r>
              <w:rPr>
                <w:rFonts w:hint="default" w:ascii="Cambria" w:hAnsi="Cambria" w:cs="Cambria"/>
                <w:sz w:val="20"/>
                <w:szCs w:val="20"/>
              </w:rPr>
              <w:t>16</w:t>
            </w:r>
          </w:p>
        </w:tc>
      </w:tr>
      <w:tr w14:paraId="50D0A88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3345" w:type="dxa"/>
            <w:tcBorders>
              <w:top w:val="single" w:color="000000" w:sz="0" w:space="0"/>
              <w:bottom w:val="single" w:color="000000" w:sz="0" w:space="0"/>
            </w:tcBorders>
          </w:tcPr>
          <w:p w14:paraId="456A25A7">
            <w:pPr>
              <w:spacing w:after="0" w:line="240" w:lineRule="auto"/>
              <w:rPr>
                <w:rFonts w:hint="default" w:ascii="Cambria" w:hAnsi="Cambria" w:cs="Cambria"/>
                <w:sz w:val="20"/>
                <w:szCs w:val="20"/>
              </w:rPr>
            </w:pPr>
            <w:r>
              <w:rPr>
                <w:rFonts w:hint="default" w:ascii="Cambria" w:hAnsi="Cambria" w:cs="Cambria"/>
                <w:b/>
                <w:sz w:val="20"/>
                <w:szCs w:val="20"/>
              </w:rPr>
              <w:t>Macro Average</w:t>
            </w:r>
          </w:p>
        </w:tc>
        <w:tc>
          <w:tcPr>
            <w:tcW w:w="208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54280776">
            <w:pPr>
              <w:spacing w:after="0" w:line="240" w:lineRule="auto"/>
              <w:rPr>
                <w:rFonts w:hint="default" w:ascii="Cambria" w:hAnsi="Cambria" w:cs="Cambria"/>
                <w:sz w:val="20"/>
                <w:szCs w:val="20"/>
              </w:rPr>
            </w:pPr>
            <w:r>
              <w:rPr>
                <w:rFonts w:hint="default" w:ascii="Cambria" w:hAnsi="Cambria" w:cs="Cambria"/>
                <w:b/>
                <w:sz w:val="20"/>
                <w:szCs w:val="20"/>
              </w:rPr>
              <w:t>0.89</w:t>
            </w:r>
          </w:p>
        </w:tc>
        <w:tc>
          <w:tcPr>
            <w:tcW w:w="9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77140B21">
            <w:pPr>
              <w:spacing w:after="0" w:line="240" w:lineRule="auto"/>
              <w:rPr>
                <w:rFonts w:hint="default" w:ascii="Cambria" w:hAnsi="Cambria" w:cs="Cambria"/>
                <w:sz w:val="20"/>
                <w:szCs w:val="20"/>
              </w:rPr>
            </w:pPr>
            <w:r>
              <w:rPr>
                <w:rFonts w:hint="default" w:ascii="Cambria" w:hAnsi="Cambria" w:cs="Cambria"/>
                <w:b/>
                <w:sz w:val="20"/>
                <w:szCs w:val="20"/>
              </w:rPr>
              <w:t>0.93</w:t>
            </w:r>
          </w:p>
        </w:tc>
        <w:tc>
          <w:tcPr>
            <w:tcW w:w="93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03947665">
            <w:pPr>
              <w:spacing w:after="0" w:line="240" w:lineRule="auto"/>
              <w:rPr>
                <w:rFonts w:hint="default" w:ascii="Cambria" w:hAnsi="Cambria" w:cs="Cambria"/>
                <w:sz w:val="20"/>
                <w:szCs w:val="20"/>
              </w:rPr>
            </w:pPr>
            <w:r>
              <w:rPr>
                <w:rFonts w:hint="default" w:ascii="Cambria" w:hAnsi="Cambria" w:cs="Cambria"/>
                <w:b/>
                <w:sz w:val="20"/>
                <w:szCs w:val="20"/>
              </w:rPr>
              <w:t>0.90</w:t>
            </w:r>
          </w:p>
        </w:tc>
        <w:tc>
          <w:tcPr>
            <w:tcW w:w="1369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42C4E529">
            <w:pPr>
              <w:spacing w:after="0" w:line="240" w:lineRule="auto"/>
              <w:rPr>
                <w:rFonts w:hint="default" w:ascii="Cambria" w:hAnsi="Cambria" w:cs="Cambria"/>
                <w:sz w:val="20"/>
                <w:szCs w:val="20"/>
              </w:rPr>
            </w:pPr>
            <w:r>
              <w:rPr>
                <w:rFonts w:hint="default" w:ascii="Cambria" w:hAnsi="Cambria" w:cs="Cambria"/>
                <w:sz w:val="20"/>
                <w:szCs w:val="20"/>
              </w:rPr>
              <w:t>48</w:t>
            </w:r>
          </w:p>
        </w:tc>
      </w:tr>
      <w:tr w14:paraId="6B65716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gridAfter w:val="3"/>
          <w:wAfter w:w="3205" w:type="dxa"/>
          <w:cantSplit/>
          <w:tblCellSpacing w:w="0" w:type="dxa"/>
          <w:jc w:val="center"/>
        </w:trPr>
        <w:tc>
          <w:tcPr>
            <w:tcW w:w="3345" w:type="dxa"/>
            <w:tcBorders>
              <w:top w:val="single" w:color="000000" w:sz="0" w:space="0"/>
              <w:bottom w:val="single" w:color="000000" w:sz="0" w:space="0"/>
            </w:tcBorders>
          </w:tcPr>
          <w:p w14:paraId="7E57515E">
            <w:pPr>
              <w:spacing w:after="0" w:line="240" w:lineRule="auto"/>
              <w:rPr>
                <w:rFonts w:hint="default" w:ascii="Cambria" w:hAnsi="Cambria" w:cs="Cambria"/>
                <w:sz w:val="20"/>
                <w:szCs w:val="20"/>
              </w:rPr>
            </w:pPr>
            <w:r>
              <w:rPr>
                <w:rFonts w:hint="default" w:ascii="Cambria" w:hAnsi="Cambria" w:cs="Cambria"/>
                <w:sz w:val="20"/>
                <w:szCs w:val="20"/>
              </w:rPr>
              <w:t>Overall Accuracy: 90.0% (hold-out)</w:t>
            </w:r>
          </w:p>
        </w:tc>
        <w:tc>
          <w:tcPr>
            <w:tcW w:w="208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0F97F82F">
            <w:pPr>
              <w:spacing w:after="0" w:line="240" w:lineRule="auto"/>
              <w:rPr>
                <w:rFonts w:hint="default" w:ascii="Cambria" w:hAnsi="Cambria" w:cs="Cambria"/>
                <w:sz w:val="20"/>
                <w:szCs w:val="20"/>
              </w:rPr>
            </w:pPr>
            <w:r>
              <w:rPr>
                <w:rFonts w:hint="default" w:ascii="Cambria" w:hAnsi="Cambria" w:eastAsia="Georgia" w:cs="Cambria"/>
                <w:sz w:val="20"/>
                <w:szCs w:val="20"/>
              </w:rPr>
              <w:t>CV: 90.7% ±2.2%</w:t>
            </w:r>
          </w:p>
        </w:tc>
      </w:tr>
      <w:tr w14:paraId="096F7C0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gridAfter w:val="3"/>
          <w:wAfter w:w="3205" w:type="dxa"/>
          <w:cantSplit/>
          <w:tblCellSpacing w:w="0" w:type="dxa"/>
          <w:jc w:val="center"/>
        </w:trPr>
        <w:tc>
          <w:tcPr>
            <w:tcW w:w="3345" w:type="dxa"/>
            <w:tcBorders>
              <w:top w:val="single" w:color="000000" w:sz="0" w:space="0"/>
              <w:bottom w:val="single" w:color="000000" w:sz="0" w:space="0"/>
            </w:tcBorders>
          </w:tcPr>
          <w:p w14:paraId="1ABE81DE">
            <w:pPr>
              <w:spacing w:after="0" w:line="240" w:lineRule="auto"/>
              <w:rPr>
                <w:rFonts w:hint="default" w:ascii="Cambria" w:hAnsi="Cambria" w:cs="Cambria"/>
                <w:sz w:val="20"/>
                <w:szCs w:val="20"/>
              </w:rPr>
            </w:pPr>
            <w:r>
              <w:rPr>
                <w:rFonts w:hint="default" w:ascii="Cambria" w:hAnsi="Cambria" w:cs="Cambria"/>
                <w:sz w:val="20"/>
                <w:szCs w:val="20"/>
              </w:rPr>
              <w:t>Macro F1: 0.90 (hold-out)</w:t>
            </w:r>
          </w:p>
        </w:tc>
        <w:tc>
          <w:tcPr>
            <w:tcW w:w="208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</w:tcPr>
          <w:p w14:paraId="09511498">
            <w:pPr>
              <w:spacing w:after="0" w:line="240" w:lineRule="auto"/>
              <w:rPr>
                <w:rFonts w:hint="default" w:ascii="Cambria" w:hAnsi="Cambria" w:cs="Cambria"/>
                <w:sz w:val="20"/>
                <w:szCs w:val="20"/>
              </w:rPr>
            </w:pPr>
            <w:r>
              <w:rPr>
                <w:rFonts w:hint="default" w:ascii="Cambria" w:hAnsi="Cambria" w:eastAsia="Georgia" w:cs="Cambria"/>
                <w:sz w:val="20"/>
                <w:szCs w:val="20"/>
              </w:rPr>
              <w:t>CV: 0.89 ±0.026</w:t>
            </w:r>
          </w:p>
        </w:tc>
      </w:tr>
    </w:tbl>
    <w:p w14:paraId="19A77952">
      <w:pPr>
        <w:numPr>
          <w:numId w:val="0"/>
        </w:numPr>
        <w:rPr>
          <w:rFonts w:hint="default" w:ascii="Cambria" w:hAnsi="Cambria" w:cs="Cambria"/>
          <w:sz w:val="20"/>
          <w:szCs w:val="20"/>
        </w:rPr>
      </w:pPr>
    </w:p>
    <w:sectPr>
      <w:pgSz w:w="12240" w:h="15840"/>
      <w:pgMar w:top="1440" w:right="1800" w:bottom="1440" w:left="180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singleLevel"/>
    <w:tmpl w:val="9239341B"/>
    <w:lvl w:ilvl="0" w:tentative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hint="default" w:ascii="Symbol" w:hAnsi="Symbol"/>
      </w:rPr>
    </w:lvl>
  </w:abstractNum>
  <w:abstractNum w:abstractNumId="1">
    <w:nsid w:val="B5E306ED"/>
    <w:multiLevelType w:val="singleLevel"/>
    <w:tmpl w:val="B5E306ED"/>
    <w:lvl w:ilvl="0" w:tentative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hint="default" w:ascii="Symbol" w:hAnsi="Symbol"/>
      </w:rPr>
    </w:lvl>
  </w:abstractNum>
  <w:abstractNum w:abstractNumId="2">
    <w:nsid w:val="BF205925"/>
    <w:multiLevelType w:val="singleLevel"/>
    <w:tmpl w:val="BF205925"/>
    <w:lvl w:ilvl="0" w:tentative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hint="default" w:ascii="Symbol" w:hAnsi="Symbol"/>
      </w:rPr>
    </w:lvl>
  </w:abstractNum>
  <w:abstractNum w:abstractNumId="3">
    <w:nsid w:val="CF092B84"/>
    <w:multiLevelType w:val="singleLevel"/>
    <w:tmpl w:val="CF092B84"/>
    <w:lvl w:ilvl="0" w:tentative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hint="default" w:ascii="Symbol" w:hAnsi="Symbol"/>
      </w:rPr>
    </w:lvl>
  </w:abstractNum>
  <w:abstractNum w:abstractNumId="4">
    <w:nsid w:val="0053208E"/>
    <w:multiLevelType w:val="singleLevel"/>
    <w:tmpl w:val="0053208E"/>
    <w:lvl w:ilvl="0" w:tentative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hint="default" w:ascii="Symbol" w:hAnsi="Symbol"/>
      </w:rPr>
    </w:lvl>
  </w:abstractNum>
  <w:abstractNum w:abstractNumId="5">
    <w:nsid w:val="0248C179"/>
    <w:multiLevelType w:val="singleLevel"/>
    <w:tmpl w:val="0248C179"/>
    <w:lvl w:ilvl="0" w:tentative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hint="default" w:ascii="Symbol" w:hAnsi="Symbol"/>
      </w:rPr>
    </w:lvl>
  </w:abstractNum>
  <w:abstractNum w:abstractNumId="6">
    <w:nsid w:val="03D62ECE"/>
    <w:multiLevelType w:val="singleLevel"/>
    <w:tmpl w:val="03D62ECE"/>
    <w:lvl w:ilvl="0" w:tentative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hint="default" w:ascii="Symbol" w:hAnsi="Symbol"/>
      </w:rPr>
    </w:lvl>
  </w:abstractNum>
  <w:abstractNum w:abstractNumId="7">
    <w:nsid w:val="25B654F3"/>
    <w:multiLevelType w:val="singleLevel"/>
    <w:tmpl w:val="25B654F3"/>
    <w:lvl w:ilvl="0" w:tentative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hint="default" w:ascii="Symbol" w:hAnsi="Symbol"/>
      </w:rPr>
    </w:lvl>
  </w:abstractNum>
  <w:abstractNum w:abstractNumId="8">
    <w:nsid w:val="59ADCABA"/>
    <w:multiLevelType w:val="singleLevel"/>
    <w:tmpl w:val="59ADCABA"/>
    <w:lvl w:ilvl="0" w:tentative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hint="default" w:ascii="Symbol" w:hAnsi="Symbol"/>
      </w:rPr>
    </w:lvl>
  </w:abstractNum>
  <w:abstractNum w:abstractNumId="9">
    <w:nsid w:val="72183CF9"/>
    <w:multiLevelType w:val="singleLevel"/>
    <w:tmpl w:val="72183CF9"/>
    <w:lvl w:ilvl="0" w:tentative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hint="default" w:ascii="Symbol" w:hAnsi="Symbol"/>
      </w:rPr>
    </w:lvl>
  </w:abstractNum>
  <w:num w:numId="1">
    <w:abstractNumId w:val="4"/>
  </w:num>
  <w:num w:numId="2">
    <w:abstractNumId w:val="3"/>
  </w:num>
  <w:num w:numId="3">
    <w:abstractNumId w:val="8"/>
  </w:num>
  <w:num w:numId="4">
    <w:abstractNumId w:val="2"/>
  </w:num>
  <w:num w:numId="5">
    <w:abstractNumId w:val="1"/>
  </w:num>
  <w:num w:numId="6">
    <w:abstractNumId w:val="6"/>
  </w:num>
  <w:num w:numId="7">
    <w:abstractNumId w:val="7"/>
  </w:num>
  <w:num w:numId="8">
    <w:abstractNumId w:val="9"/>
  </w:num>
  <w:num w:numId="9">
    <w:abstractNumId w:val="5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2934EC9"/>
    <w:rsid w:val="2344756C"/>
    <w:rsid w:val="308568A9"/>
    <w:rsid w:val="361B0154"/>
    <w:rsid w:val="37BD5302"/>
    <w:rsid w:val="414A67AD"/>
    <w:rsid w:val="48046EB6"/>
    <w:rsid w:val="494168BE"/>
    <w:rsid w:val="500A17DF"/>
    <w:rsid w:val="56607C45"/>
    <w:rsid w:val="5A9269FC"/>
    <w:rsid w:val="653B6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Georgia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after="120" w:line="240" w:lineRule="atLeast"/>
    </w:pPr>
    <w:rPr>
      <w:rFonts w:ascii="Georgia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nhideWhenUsed/>
    <w:uiPriority w:val="99"/>
    <w:tblPr>
      <w:tblCellMar>
        <w:top w:w="80" w:type="dxa"/>
        <w:left w:w="160" w:type="dxa"/>
        <w:bottom w:w="80" w:type="dxa"/>
        <w:right w:w="160" w:type="dxa"/>
      </w:tblCellMar>
    </w:tblPr>
  </w:style>
  <w:style w:type="character" w:customStyle="1" w:styleId="4">
    <w:name w:val="Verbatim Char"/>
    <w:uiPriority w:val="0"/>
    <w:rPr>
      <w:rFonts w:ascii="Consolas" w:hAnsi="Consolas"/>
      <w:sz w:val="22"/>
    </w:rPr>
  </w:style>
  <w:style w:type="table" w:customStyle="1" w:styleId="5">
    <w:name w:val="Normal Grid"/>
    <w:basedOn w:val="3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TotalTime>10</TotalTime>
  <ScaleCrop>false</ScaleCrop>
  <LinksUpToDate>false</LinksUpToDate>
  <Application>WPS Office_12.2.0.23197_F1E327BC-269C-435d-A152-05C5408002CA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2026-02-27T06:43:00Z</dcterms:created>
  <dc:creator>html-to-docx</dc:creator>
  <cp:keywords>html-to-docx</cp:keywords>
  <cp:lastModifiedBy>Sachin Mosambe</cp:lastModifiedBy>
  <dcterms:modified xsi:type="dcterms:W3CDTF">2026-02-27T06:54:35Z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A7DD415A148E40C4B55168CC97AFE298_13</vt:lpwstr>
  </property>
</Properties>
</file>