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440"/>
        <w:jc w:val="center"/>
      </w:pPr>
      <w:r>
        <w:rPr>
          <w:rFonts w:ascii="Arial" w:cs="Arial" w:eastAsia="Arial" w:hAnsi="Arial"/>
          <w:b/>
          <w:bCs/>
          <w:color w:val="0F1923"/>
          <w:sz w:val="64"/>
          <w:szCs w:val="64"/>
        </w:rPr>
        <w:t xml:space="preserve">JOSHUA TERMINAL</w:t>
      </w:r>
    </w:p>
    <w:p>
      <w:pPr>
        <w:spacing w:after="200"/>
        <w:jc w:val="center"/>
      </w:pPr>
      <w:r>
        <w:rPr>
          <w:i/>
          <w:iCs/>
          <w:color w:val="555555"/>
          <w:sz w:val="28"/>
          <w:szCs w:val="28"/>
        </w:rPr>
        <w:t xml:space="preserve">User Guide &amp; Technical Reference</w:t>
      </w:r>
    </w:p>
    <w:p>
      <w:pPr>
        <w:spacing w:after="480"/>
        <w:jc w:val="center"/>
      </w:pPr>
      <w:r>
        <w:rPr>
          <w:color w:val="777777"/>
          <w:sz w:val="22"/>
          <w:szCs w:val="22"/>
        </w:rPr>
        <w:t xml:space="preserve">Self-hosted multi-chart trading dashboard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1F5C99" w:val="clear"/>
            <w:tcMar>
              <w:top w:type="dxa" w:w="80"/>
              <w:left w:type="dxa" w:w="120"/>
              <w:bottom w:type="dxa" w:w="80"/>
              <w:right w:type="dxa" w:w="120"/>
            </w:tcMar>
          </w:tcPr>
          <w:p>
            <w:pPr>
              <w:spacing w:after="0"/>
            </w:pPr>
            <w:r>
              <w:rPr>
                <w:b/>
                <w:bCs/>
                <w:color w:val="FFFFFF"/>
              </w:rPr>
              <w:t xml:space="preserve">Data Sources</w:t>
            </w:r>
          </w:p>
        </w:tc>
        <w:tc>
          <w:tcPr>
            <w:tcW w:type="dxa" w:w="2340"/>
            <w:tcBorders>
              <w:top w:val="single" w:color="CCCCCC" w:sz="1"/>
              <w:left w:val="single" w:color="CCCCCC" w:sz="1"/>
              <w:bottom w:val="single" w:color="CCCCCC" w:sz="1"/>
              <w:right w:val="single" w:color="CCCCCC" w:sz="1"/>
            </w:tcBorders>
            <w:shd w:fill="1F5C99" w:val="clear"/>
            <w:tcMar>
              <w:top w:type="dxa" w:w="80"/>
              <w:left w:type="dxa" w:w="120"/>
              <w:bottom w:type="dxa" w:w="80"/>
              <w:right w:type="dxa" w:w="120"/>
            </w:tcMar>
          </w:tcPr>
          <w:p>
            <w:pPr>
              <w:spacing w:after="0"/>
            </w:pPr>
            <w:r>
              <w:rPr>
                <w:b/>
                <w:bCs/>
                <w:color w:val="FFFFFF"/>
              </w:rPr>
              <w:t xml:space="preserve">Charts</w:t>
            </w:r>
          </w:p>
        </w:tc>
        <w:tc>
          <w:tcPr>
            <w:tcW w:type="dxa" w:w="2340"/>
            <w:tcBorders>
              <w:top w:val="single" w:color="CCCCCC" w:sz="1"/>
              <w:left w:val="single" w:color="CCCCCC" w:sz="1"/>
              <w:bottom w:val="single" w:color="CCCCCC" w:sz="1"/>
              <w:right w:val="single" w:color="CCCCCC" w:sz="1"/>
            </w:tcBorders>
            <w:shd w:fill="1F5C99" w:val="clear"/>
            <w:tcMar>
              <w:top w:type="dxa" w:w="80"/>
              <w:left w:type="dxa" w:w="120"/>
              <w:bottom w:type="dxa" w:w="80"/>
              <w:right w:type="dxa" w:w="120"/>
            </w:tcMar>
          </w:tcPr>
          <w:p>
            <w:pPr>
              <w:spacing w:after="0"/>
            </w:pPr>
            <w:r>
              <w:rPr>
                <w:b/>
                <w:bCs/>
                <w:color w:val="FFFFFF"/>
              </w:rPr>
              <w:t xml:space="preserve">Indicators</w:t>
            </w:r>
          </w:p>
        </w:tc>
        <w:tc>
          <w:tcPr>
            <w:tcW w:type="dxa" w:w="2340"/>
            <w:tcBorders>
              <w:top w:val="single" w:color="CCCCCC" w:sz="1"/>
              <w:left w:val="single" w:color="CCCCCC" w:sz="1"/>
              <w:bottom w:val="single" w:color="CCCCCC" w:sz="1"/>
              <w:right w:val="single" w:color="CCCCCC" w:sz="1"/>
            </w:tcBorders>
            <w:shd w:fill="1F5C99" w:val="clear"/>
            <w:tcMar>
              <w:top w:type="dxa" w:w="80"/>
              <w:left w:type="dxa" w:w="120"/>
              <w:bottom w:type="dxa" w:w="80"/>
              <w:right w:type="dxa" w:w="120"/>
            </w:tcMar>
          </w:tcPr>
          <w:p>
            <w:pPr>
              <w:spacing w:after="0"/>
            </w:pPr>
            <w:r>
              <w:rPr>
                <w:b/>
                <w:bCs/>
                <w:color w:val="FFFFFF"/>
              </w:rPr>
              <w:t xml:space="preserve">Alerts</w:t>
            </w:r>
          </w:p>
        </w:tc>
      </w:tr>
      <w:tr>
        <w:tc>
          <w:tcPr>
            <w:tcW w:type="dxa" w:w="234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OANDA + yfinance
Hyperliquid (crypto)</w:t>
            </w:r>
          </w:p>
        </w:tc>
        <w:tc>
          <w:tcPr>
            <w:tcW w:type="dxa" w:w="234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Up to 8 independent
panes simultaneously</w:t>
            </w:r>
          </w:p>
        </w:tc>
        <w:tc>
          <w:tcPr>
            <w:tcW w:type="dxa" w:w="234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27+ indicators
All computed client-side</w:t>
            </w:r>
          </w:p>
        </w:tc>
        <w:tc>
          <w:tcPr>
            <w:tcW w:type="dxa" w:w="234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Browser + Telegram
Price cross alerts</w:t>
            </w:r>
          </w:p>
        </w:tc>
      </w:tr>
    </w:tbl>
    <w:p>
      <w:pPr>
        <w:spacing w:after="300"/>
      </w:pPr>
    </w:p>
    <w:p>
      <w:pPr>
        <w:jc w:val="center"/>
      </w:pPr>
      <w:r>
        <w:rPr>
          <w:color w:val="999999"/>
          <w:sz w:val="18"/>
          <w:szCs w:val="18"/>
        </w:rPr>
        <w:t xml:space="preserve">Flask  ·  Socket.IO  ·  Lightweight Charts  ·  OANDA v20  ·  Hyperliquid</w:t>
      </w:r>
    </w:p>
    <w:p>
      <w:r>
        <w:br w:type="page"/>
      </w:r>
    </w:p>
    <w:p>
      <w:pPr>
        <w:pStyle w:val="Heading1"/>
        <w:spacing w:after="120" w:before="320"/>
      </w:pPr>
      <w:r>
        <w:rPr>
          <w:b/>
          <w:bCs/>
          <w:color w:val="0F1923"/>
        </w:rPr>
        <w:t xml:space="preserve">1.  Overview</w:t>
      </w:r>
    </w:p>
    <w:p>
      <w:pPr>
        <w:spacing w:after="100"/>
      </w:pPr>
      <w:r>
        <w:t xml:space="preserve">Joshua Terminal is a free, self-hosted, multi-chart trading dashboard that runs entirely on your local machine. It is designed as a personal alternative to platforms like TradingView — giving you full ownership of your data, your drawings, and your analysis workspace without subscriptions or cloud dependency.</w:t>
      </w:r>
    </w:p>
    <w:p>
      <w:pPr>
        <w:spacing w:after="120"/>
      </w:pPr>
    </w:p>
    <w:p>
      <w:pPr>
        <w:spacing w:after="100"/>
      </w:pPr>
      <w:r>
        <w:t xml:space="preserve">Built on Flask (Python backend) and Lightweight Charts (browser frontend), it connects directly to OANDA's v20 API for real-time forex prices and candlestick data, and to the Hyperliquid exchange for live cryptocurrency prices. All technical indicator maths run client-side in the browser.</w:t>
      </w:r>
    </w:p>
    <w:p>
      <w:pPr>
        <w:pStyle w:val="Heading2"/>
        <w:spacing w:after="120" w:before="200"/>
      </w:pPr>
      <w:r>
        <w:rPr>
          <w:b/>
          <w:bCs/>
          <w:color w:val="2C3E50"/>
        </w:rPr>
        <w:t xml:space="preserve">1.1  Core Philosophy</w:t>
      </w:r>
    </w:p>
    <w:p>
      <w:pPr>
        <w:pStyle w:val="ListParagraph"/>
        <w:numPr>
          <w:ilvl w:val="0"/>
          <w:numId w:val="2"/>
        </w:numPr>
        <w:spacing w:after="60"/>
      </w:pPr>
      <w:r>
        <w:t xml:space="preserve">Your analysis workspace belongs to a symbol, not a timeframe. Drawings made on EURUSD are visible on every timeframe — exactly as TradingView behaves.</w:t>
      </w:r>
    </w:p>
    <w:p>
      <w:pPr>
        <w:pStyle w:val="ListParagraph"/>
        <w:numPr>
          <w:ilvl w:val="0"/>
          <w:numId w:val="2"/>
        </w:numPr>
        <w:spacing w:after="60"/>
      </w:pPr>
      <w:r>
        <w:t xml:space="preserve">Everything runs locally. No accounts, no cloud, no data sold.</w:t>
      </w:r>
    </w:p>
    <w:p>
      <w:pPr>
        <w:pStyle w:val="ListParagraph"/>
        <w:numPr>
          <w:ilvl w:val="0"/>
          <w:numId w:val="2"/>
        </w:numPr>
        <w:spacing w:after="60"/>
      </w:pPr>
      <w:r>
        <w:t xml:space="preserve">The backend is pluggable. Swapping to a different broker requires editing one file (data_source.py).</w:t>
      </w:r>
    </w:p>
    <w:p>
      <w:pPr>
        <w:pStyle w:val="ListParagraph"/>
        <w:numPr>
          <w:ilvl w:val="0"/>
          <w:numId w:val="2"/>
        </w:numPr>
        <w:spacing w:after="60"/>
      </w:pPr>
      <w:r>
        <w:t xml:space="preserve">State is persistent. All drawings, indicators, and pane layouts are saved to the browser's localStorage and restored automatically.</w:t>
      </w:r>
    </w:p>
    <w:p>
      <w:pPr>
        <w:pStyle w:val="Heading2"/>
        <w:spacing w:after="120" w:before="200"/>
      </w:pPr>
      <w:r>
        <w:rPr>
          <w:b/>
          <w:bCs/>
          <w:color w:val="2C3E50"/>
        </w:rPr>
        <w:t xml:space="preserve">1.2  What It Is Not</w:t>
      </w:r>
    </w:p>
    <w:p>
      <w:pPr>
        <w:pStyle w:val="ListParagraph"/>
        <w:numPr>
          <w:ilvl w:val="0"/>
          <w:numId w:val="2"/>
        </w:numPr>
        <w:spacing w:after="60"/>
      </w:pPr>
      <w:r>
        <w:t xml:space="preserve">Not a live trading execution platform — it is an analysis and journaling tool only.</w:t>
      </w:r>
    </w:p>
    <w:p>
      <w:pPr>
        <w:pStyle w:val="ListParagraph"/>
        <w:numPr>
          <w:ilvl w:val="0"/>
          <w:numId w:val="2"/>
        </w:numPr>
        <w:spacing w:after="60"/>
      </w:pPr>
      <w:r>
        <w:t xml:space="preserve">Not a hosted service — it runs only when you run it locally.</w:t>
      </w:r>
    </w:p>
    <w:p>
      <w:pPr>
        <w:pStyle w:val="ListParagraph"/>
        <w:numPr>
          <w:ilvl w:val="0"/>
          <w:numId w:val="2"/>
        </w:numPr>
        <w:spacing w:after="60"/>
      </w:pPr>
      <w:r>
        <w:t xml:space="preserve">Not a replacement for a professional terminal with order flow, Level 2, or DOM.</w:t>
      </w:r>
    </w:p>
    <w:p>
      <w:r>
        <w:br w:type="page"/>
      </w:r>
    </w:p>
    <w:p>
      <w:pPr>
        <w:pStyle w:val="Heading1"/>
        <w:spacing w:after="120" w:before="320"/>
      </w:pPr>
      <w:r>
        <w:rPr>
          <w:b/>
          <w:bCs/>
          <w:color w:val="0F1923"/>
        </w:rPr>
        <w:t xml:space="preserve">2.  Setup &amp; Installation</w:t>
      </w:r>
    </w:p>
    <w:p>
      <w:pPr>
        <w:pStyle w:val="Heading2"/>
        <w:spacing w:after="120" w:before="200"/>
      </w:pPr>
      <w:r>
        <w:rPr>
          <w:b/>
          <w:bCs/>
          <w:color w:val="2C3E50"/>
        </w:rPr>
        <w:t xml:space="preserve">2.1  Prerequisites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510"/>
        <w:gridCol w:w="3510"/>
      </w:tblGrid>
      <w:tr>
        <w:trPr>
          <w:tblHeader/>
        </w:trPr>
        <w:tc>
          <w:tcPr>
            <w:tcW w:type="dxa" w:w="2340"/>
            <w:tcBorders>
              <w:top w:val="single" w:color="CCCCCC" w:sz="1"/>
              <w:left w:val="single" w:color="CCCCCC" w:sz="1"/>
              <w:bottom w:val="single" w:color="CCCCCC" w:sz="1"/>
              <w:right w:val="single" w:color="CCCCCC" w:sz="1"/>
            </w:tcBorders>
            <w:shd w:fill="1F5C99" w:val="clear"/>
            <w:tcMar>
              <w:top w:type="dxa" w:w="80"/>
              <w:left w:type="dxa" w:w="120"/>
              <w:bottom w:type="dxa" w:w="80"/>
              <w:right w:type="dxa" w:w="120"/>
            </w:tcMar>
          </w:tcPr>
          <w:p>
            <w:pPr>
              <w:spacing w:after="0"/>
            </w:pPr>
            <w:r>
              <w:rPr>
                <w:b/>
                <w:bCs/>
                <w:color w:val="FFFFFF"/>
              </w:rPr>
              <w:t xml:space="preserve">Requirement</w:t>
            </w:r>
          </w:p>
        </w:tc>
        <w:tc>
          <w:tcPr>
            <w:tcW w:type="dxa" w:w="3510"/>
            <w:tcBorders>
              <w:top w:val="single" w:color="CCCCCC" w:sz="1"/>
              <w:left w:val="single" w:color="CCCCCC" w:sz="1"/>
              <w:bottom w:val="single" w:color="CCCCCC" w:sz="1"/>
              <w:right w:val="single" w:color="CCCCCC" w:sz="1"/>
            </w:tcBorders>
            <w:shd w:fill="1F5C99" w:val="clear"/>
            <w:tcMar>
              <w:top w:type="dxa" w:w="80"/>
              <w:left w:type="dxa" w:w="120"/>
              <w:bottom w:type="dxa" w:w="80"/>
              <w:right w:type="dxa" w:w="120"/>
            </w:tcMar>
          </w:tcPr>
          <w:p>
            <w:pPr>
              <w:spacing w:after="0"/>
            </w:pPr>
            <w:r>
              <w:rPr>
                <w:b/>
                <w:bCs/>
                <w:color w:val="FFFFFF"/>
              </w:rPr>
              <w:t xml:space="preserve">Version</w:t>
            </w:r>
          </w:p>
        </w:tc>
        <w:tc>
          <w:tcPr>
            <w:tcW w:type="dxa" w:w="3510"/>
            <w:tcBorders>
              <w:top w:val="single" w:color="CCCCCC" w:sz="1"/>
              <w:left w:val="single" w:color="CCCCCC" w:sz="1"/>
              <w:bottom w:val="single" w:color="CCCCCC" w:sz="1"/>
              <w:right w:val="single" w:color="CCCCCC" w:sz="1"/>
            </w:tcBorders>
            <w:shd w:fill="1F5C99" w:val="clear"/>
            <w:tcMar>
              <w:top w:type="dxa" w:w="80"/>
              <w:left w:type="dxa" w:w="120"/>
              <w:bottom w:type="dxa" w:w="80"/>
              <w:right w:type="dxa" w:w="120"/>
            </w:tcMar>
          </w:tcPr>
          <w:p>
            <w:pPr>
              <w:spacing w:after="0"/>
            </w:pPr>
            <w:r>
              <w:rPr>
                <w:b/>
                <w:bCs/>
                <w:color w:val="FFFFFF"/>
              </w:rPr>
              <w:t xml:space="preserve">Notes</w:t>
            </w:r>
          </w:p>
        </w:tc>
      </w:tr>
      <w:tr>
        <w:tc>
          <w:tcPr>
            <w:tcW w:type="dxa" w:w="234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Python</w:t>
            </w:r>
          </w:p>
        </w:tc>
        <w:tc>
          <w:tcPr>
            <w:tcW w:type="dxa" w:w="351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3.10 or later</w:t>
            </w:r>
          </w:p>
        </w:tc>
        <w:tc>
          <w:tcPr>
            <w:tcW w:type="dxa" w:w="351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Check with: python --version</w:t>
            </w:r>
          </w:p>
        </w:tc>
      </w:tr>
      <w:tr>
        <w:tc>
          <w:tcPr>
            <w:tcW w:type="dxa" w:w="234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pip</w:t>
            </w:r>
          </w:p>
        </w:tc>
        <w:tc>
          <w:tcPr>
            <w:tcW w:type="dxa" w:w="351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Any modern version</w:t>
            </w:r>
          </w:p>
        </w:tc>
        <w:tc>
          <w:tcPr>
            <w:tcW w:type="dxa" w:w="351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Comes bundled with Python</w:t>
            </w:r>
          </w:p>
        </w:tc>
      </w:tr>
      <w:tr>
        <w:tc>
          <w:tcPr>
            <w:tcW w:type="dxa" w:w="234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Browser</w:t>
            </w:r>
          </w:p>
        </w:tc>
        <w:tc>
          <w:tcPr>
            <w:tcW w:type="dxa" w:w="351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Chrome / Firefox / Edge</w:t>
            </w:r>
          </w:p>
        </w:tc>
        <w:tc>
          <w:tcPr>
            <w:tcW w:type="dxa" w:w="351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Safari works but less tested</w:t>
            </w:r>
          </w:p>
        </w:tc>
      </w:tr>
      <w:tr>
        <w:tc>
          <w:tcPr>
            <w:tcW w:type="dxa" w:w="234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OANDA account</w:t>
            </w:r>
          </w:p>
        </w:tc>
        <w:tc>
          <w:tcPr>
            <w:tcW w:type="dxa" w:w="351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Practice or Live</w:t>
            </w:r>
          </w:p>
        </w:tc>
        <w:tc>
          <w:tcPr>
            <w:tcW w:type="dxa" w:w="351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Free practice account at oanda.com</w:t>
            </w:r>
          </w:p>
        </w:tc>
      </w:tr>
    </w:tbl>
    <w:p>
      <w:pPr>
        <w:spacing w:after="120"/>
      </w:pPr>
    </w:p>
    <w:p>
      <w:pPr>
        <w:pStyle w:val="Heading2"/>
        <w:spacing w:after="120" w:before="200"/>
      </w:pPr>
      <w:r>
        <w:rPr>
          <w:b/>
          <w:bCs/>
          <w:color w:val="2C3E50"/>
        </w:rPr>
        <w:t xml:space="preserve">2.2  Installation</w:t>
      </w:r>
    </w:p>
    <w:p>
      <w:pPr>
        <w:spacing w:after="100"/>
      </w:pPr>
      <w:r>
        <w:t xml:space="preserve">Clone or download the project folder, then install Python dependencies: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5C99" w:sz="8"/>
              <w:bottom w:val="single" w:color="CCCCCC" w:sz="1"/>
              <w:right w:val="none" w:color="FFFFFF" w:sz="0"/>
            </w:tcBorders>
            <w:shd w:fill="F4F7FB" w:val="clear"/>
            <w:tcMar>
              <w:top w:type="dxa" w:w="100"/>
              <w:left w:type="dxa" w:w="180"/>
              <w:bottom w:type="dxa" w:w="100"/>
              <w:right w:type="dxa" w:w="180"/>
            </w:tcMar>
          </w:tcPr>
          <w:p>
            <w:pPr>
              <w:spacing w:after="0"/>
            </w:pPr>
            <w:r>
              <w:rPr>
                <w:rFonts w:ascii="Courier New" w:cs="Courier New" w:eastAsia="Courier New" w:hAnsi="Courier New"/>
                <w:color w:val="2C2C2C"/>
                <w:sz w:val="18"/>
                <w:szCs w:val="18"/>
              </w:rPr>
              <w:t xml:space="preserve">cd joshua_terminal</w:t>
            </w:r>
          </w:p>
          <w:p>
            <w:pPr>
              <w:spacing w:after="0"/>
            </w:pPr>
            <w:r>
              <w:rPr>
                <w:rFonts w:ascii="Courier New" w:cs="Courier New" w:eastAsia="Courier New" w:hAnsi="Courier New"/>
                <w:color w:val="2C2C2C"/>
                <w:sz w:val="18"/>
                <w:szCs w:val="18"/>
              </w:rPr>
              <w:t xml:space="preserve">pip install -r requirements.txt</w:t>
            </w:r>
          </w:p>
        </w:tc>
      </w:tr>
    </w:tbl>
    <w:p>
      <w:pPr>
        <w:spacing w:after="120"/>
      </w:pPr>
    </w:p>
    <w:p>
      <w:pPr>
        <w:pStyle w:val="Heading2"/>
        <w:spacing w:after="120" w:before="200"/>
      </w:pPr>
      <w:r>
        <w:rPr>
          <w:b/>
          <w:bCs/>
          <w:color w:val="2C3E50"/>
        </w:rPr>
        <w:t xml:space="preserve">2.3  Environment Configuration</w:t>
      </w:r>
    </w:p>
    <w:p>
      <w:pPr>
        <w:spacing w:after="100"/>
      </w:pPr>
      <w:r>
        <w:t xml:space="preserve">Copy the template and fill in your credentials: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5C99" w:sz="8"/>
              <w:bottom w:val="single" w:color="CCCCCC" w:sz="1"/>
              <w:right w:val="none" w:color="FFFFFF" w:sz="0"/>
            </w:tcBorders>
            <w:shd w:fill="F4F7FB" w:val="clear"/>
            <w:tcMar>
              <w:top w:type="dxa" w:w="100"/>
              <w:left w:type="dxa" w:w="180"/>
              <w:bottom w:type="dxa" w:w="100"/>
              <w:right w:type="dxa" w:w="180"/>
            </w:tcMar>
          </w:tcPr>
          <w:p>
            <w:pPr>
              <w:spacing w:after="0"/>
            </w:pPr>
            <w:r>
              <w:rPr>
                <w:rFonts w:ascii="Courier New" w:cs="Courier New" w:eastAsia="Courier New" w:hAnsi="Courier New"/>
                <w:color w:val="2C2C2C"/>
                <w:sz w:val="18"/>
                <w:szCs w:val="18"/>
              </w:rPr>
              <w:t xml:space="preserve">cp .env.example .env</w:t>
            </w:r>
          </w:p>
        </w:tc>
      </w:tr>
    </w:tbl>
    <w:p>
      <w:pPr>
        <w:spacing w:after="80"/>
      </w:pPr>
    </w:p>
    <w:p>
      <w:pPr>
        <w:spacing w:after="100"/>
      </w:pPr>
      <w:r>
        <w:t xml:space="preserve">Open .env in a text editor and fill in your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5C99" w:sz="8"/>
              <w:bottom w:val="single" w:color="CCCCCC" w:sz="1"/>
              <w:right w:val="none" w:color="FFFFFF" w:sz="0"/>
            </w:tcBorders>
            <w:shd w:fill="F4F7FB" w:val="clear"/>
            <w:tcMar>
              <w:top w:type="dxa" w:w="100"/>
              <w:left w:type="dxa" w:w="180"/>
              <w:bottom w:type="dxa" w:w="100"/>
              <w:right w:type="dxa" w:w="180"/>
            </w:tcMar>
          </w:tcPr>
          <w:p>
            <w:pPr>
              <w:spacing w:after="0"/>
            </w:pPr>
            <w:r>
              <w:rPr>
                <w:rFonts w:ascii="Courier New" w:cs="Courier New" w:eastAsia="Courier New" w:hAnsi="Courier New"/>
                <w:color w:val="2C2C2C"/>
                <w:sz w:val="18"/>
                <w:szCs w:val="18"/>
              </w:rPr>
              <w:t xml:space="preserve">OANDA_API_KEY=your_personal_access_token</w:t>
            </w:r>
          </w:p>
          <w:p>
            <w:pPr>
              <w:spacing w:after="0"/>
            </w:pPr>
            <w:r>
              <w:rPr>
                <w:rFonts w:ascii="Courier New" w:cs="Courier New" w:eastAsia="Courier New" w:hAnsi="Courier New"/>
                <w:color w:val="2C2C2C"/>
                <w:sz w:val="18"/>
                <w:szCs w:val="18"/>
              </w:rPr>
              <w:t xml:space="preserve">OANDA_ACCOUNT_ID=your_account_id</w:t>
            </w:r>
          </w:p>
          <w:p>
            <w:pPr>
              <w:spacing w:after="0"/>
            </w:pPr>
            <w:r>
              <w:rPr>
                <w:rFonts w:ascii="Courier New" w:cs="Courier New" w:eastAsia="Courier New" w:hAnsi="Courier New"/>
                <w:color w:val="2C2C2C"/>
                <w:sz w:val="18"/>
                <w:szCs w:val="18"/>
              </w:rPr>
              <w:t xml:space="preserve">OANDA_ENV=practice          # or live</w:t>
            </w:r>
          </w:p>
          <w:p>
            <w:pPr>
              <w:spacing w:after="0"/>
            </w:pPr>
            <w:r>
              <w:rPr>
                <w:rFonts w:ascii="Courier New" w:cs="Courier New" w:eastAsia="Courier New" w:hAnsi="Courier New"/>
                <w:color w:val="2C2C2C"/>
                <w:sz w:val="18"/>
                <w:szCs w:val="18"/>
              </w:rPr>
              <w:t xml:space="preserve"/>
            </w:r>
          </w:p>
          <w:p>
            <w:pPr>
              <w:spacing w:after="0"/>
            </w:pPr>
            <w:r>
              <w:rPr>
                <w:rFonts w:ascii="Courier New" w:cs="Courier New" w:eastAsia="Courier New" w:hAnsi="Courier New"/>
                <w:color w:val="2C2C2C"/>
                <w:sz w:val="18"/>
                <w:szCs w:val="18"/>
              </w:rPr>
              <w:t xml:space="preserve">TELEGRAM_BOT_TOKEN=your_bot_token   # optional</w:t>
            </w:r>
          </w:p>
          <w:p>
            <w:pPr>
              <w:spacing w:after="0"/>
            </w:pPr>
            <w:r>
              <w:rPr>
                <w:rFonts w:ascii="Courier New" w:cs="Courier New" w:eastAsia="Courier New" w:hAnsi="Courier New"/>
                <w:color w:val="2C2C2C"/>
                <w:sz w:val="18"/>
                <w:szCs w:val="18"/>
              </w:rPr>
              <w:t xml:space="preserve">TELEGRAM_CHAT_ID=-123456789          # group IDs are negative</w:t>
            </w:r>
          </w:p>
        </w:tc>
      </w:tr>
    </w:tbl>
    <w:p>
      <w:pPr>
        <w:spacing w:after="120"/>
      </w:pPr>
    </w:p>
    <w:p>
      <w:pPr>
        <w:pStyle w:val="Heading2"/>
        <w:spacing w:after="120" w:before="200"/>
      </w:pPr>
      <w:r>
        <w:rPr>
          <w:b/>
          <w:bCs/>
          <w:color w:val="2C3E50"/>
        </w:rPr>
        <w:t xml:space="preserve">2.4  Getting OANDA Credentials</w:t>
      </w:r>
    </w:p>
    <w:p>
      <w:pPr>
        <w:pStyle w:val="ListParagraph"/>
        <w:numPr>
          <w:ilvl w:val="0"/>
          <w:numId w:val="2"/>
        </w:numPr>
        <w:spacing w:after="60"/>
      </w:pPr>
      <w:r>
        <w:t xml:space="preserve">Go to oanda.com and create a free practice account</w:t>
      </w:r>
    </w:p>
    <w:p>
      <w:pPr>
        <w:pStyle w:val="ListParagraph"/>
        <w:numPr>
          <w:ilvl w:val="0"/>
          <w:numId w:val="2"/>
        </w:numPr>
        <w:spacing w:after="60"/>
      </w:pPr>
      <w:r>
        <w:t xml:space="preserve">In My Account → Manage API Access, generate a Personal Access Token</w:t>
      </w:r>
    </w:p>
    <w:p>
      <w:pPr>
        <w:pStyle w:val="ListParagraph"/>
        <w:numPr>
          <w:ilvl w:val="0"/>
          <w:numId w:val="2"/>
        </w:numPr>
        <w:spacing w:after="60"/>
      </w:pPr>
      <w:r>
        <w:t xml:space="preserve">Copy your Account ID from the account dashboard</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AF0F7" w:val="clear"/>
            <w:tcMar>
              <w:top w:type="dxa" w:w="120"/>
              <w:left w:type="dxa" w:w="180"/>
              <w:bottom w:type="dxa" w:w="120"/>
              <w:right w:type="dxa" w:w="180"/>
            </w:tcMar>
          </w:tcPr>
          <w:p>
            <w:pPr>
              <w:spacing w:after="0"/>
            </w:pPr>
            <w:r>
              <w:rPr>
                <w:i/>
                <w:iCs/>
                <w:color w:val="555555"/>
              </w:rPr>
              <w:t xml:space="preserve">Without an OANDA key the terminal still works — it falls back to Yahoo Finance (15-minute delay) and polls prices every 5 seconds instead of streaming. Hyperliquid crypto data is always real-time.</w:t>
            </w:r>
          </w:p>
        </w:tc>
      </w:tr>
    </w:tbl>
    <w:p>
      <w:pPr>
        <w:spacing w:after="120"/>
      </w:pPr>
    </w:p>
    <w:p>
      <w:pPr>
        <w:pStyle w:val="Heading2"/>
        <w:spacing w:after="120" w:before="200"/>
      </w:pPr>
      <w:r>
        <w:rPr>
          <w:b/>
          <w:bCs/>
          <w:color w:val="2C3E50"/>
        </w:rPr>
        <w:t xml:space="preserve">2.5  Getting Telegram Credentials (Optional)</w:t>
      </w:r>
    </w:p>
    <w:p>
      <w:pPr>
        <w:pStyle w:val="ListParagraph"/>
        <w:numPr>
          <w:ilvl w:val="0"/>
          <w:numId w:val="2"/>
        </w:numPr>
        <w:spacing w:after="60"/>
      </w:pPr>
      <w:r>
        <w:t xml:space="preserve">Message @BotFather on Telegram → /newbot → follow the prompts → copy the token</w:t>
      </w:r>
    </w:p>
    <w:p>
      <w:pPr>
        <w:pStyle w:val="ListParagraph"/>
        <w:numPr>
          <w:ilvl w:val="0"/>
          <w:numId w:val="2"/>
        </w:numPr>
        <w:spacing w:after="60"/>
      </w:pPr>
      <w:r>
        <w:t xml:space="preserve">Add the bot to a group or send it a message directly</w:t>
      </w:r>
    </w:p>
    <w:p>
      <w:pPr>
        <w:pStyle w:val="ListParagraph"/>
        <w:numPr>
          <w:ilvl w:val="0"/>
          <w:numId w:val="2"/>
        </w:numPr>
        <w:spacing w:after="60"/>
      </w:pPr>
      <w:r>
        <w:t xml:space="preserve">Visit: </w:t>
      </w:r>
      <w:r>
        <w:rPr>
          <w:rFonts w:ascii="Courier New" w:cs="Courier New" w:eastAsia="Courier New" w:hAnsi="Courier New"/>
          <w:color w:val="2C2C2C"/>
          <w:sz w:val="18"/>
          <w:szCs w:val="18"/>
        </w:rPr>
        <w:t xml:space="preserve">https://api.telegram.org/bot&lt;YOUR_TOKEN&gt;/getUpdates</w:t>
      </w:r>
    </w:p>
    <w:p>
      <w:pPr>
        <w:pStyle w:val="ListParagraph"/>
        <w:numPr>
          <w:ilvl w:val="0"/>
          <w:numId w:val="2"/>
        </w:numPr>
        <w:spacing w:after="60"/>
      </w:pPr>
      <w:r>
        <w:t xml:space="preserve">Find </w:t>
      </w:r>
      <w:r>
        <w:rPr>
          <w:rFonts w:ascii="Courier New" w:cs="Courier New" w:eastAsia="Courier New" w:hAnsi="Courier New"/>
          <w:color w:val="2C2C2C"/>
          <w:sz w:val="18"/>
          <w:szCs w:val="18"/>
        </w:rPr>
        <w:t xml:space="preserve">"chat":{"id": -XXXXXXX}</w:t>
      </w:r>
      <w:r>
        <w:t xml:space="preserve"> in the response — that negative number is your Chat ID</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AF0F7" w:val="clear"/>
            <w:tcMar>
              <w:top w:type="dxa" w:w="120"/>
              <w:left w:type="dxa" w:w="180"/>
              <w:bottom w:type="dxa" w:w="120"/>
              <w:right w:type="dxa" w:w="180"/>
            </w:tcMar>
          </w:tcPr>
          <w:p>
            <w:pPr>
              <w:spacing w:after="0"/>
            </w:pPr>
            <w:r>
              <w:rPr>
                <w:i/>
                <w:iCs/>
                <w:color w:val="555555"/>
              </w:rPr>
              <w:t xml:space="preserve">Group chat IDs are always negative numbers. Using the positive version will return a "chat not found" error — a very common gotcha.</w:t>
            </w:r>
          </w:p>
        </w:tc>
      </w:tr>
    </w:tbl>
    <w:p>
      <w:pPr>
        <w:spacing w:after="120"/>
      </w:pPr>
    </w:p>
    <w:p>
      <w:pPr>
        <w:pStyle w:val="Heading2"/>
        <w:spacing w:after="120" w:before="200"/>
      </w:pPr>
      <w:r>
        <w:rPr>
          <w:b/>
          <w:bCs/>
          <w:color w:val="2C3E50"/>
        </w:rPr>
        <w:t xml:space="preserve">2.6  Starting the Terminal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5C99" w:sz="8"/>
              <w:bottom w:val="single" w:color="CCCCCC" w:sz="1"/>
              <w:right w:val="none" w:color="FFFFFF" w:sz="0"/>
            </w:tcBorders>
            <w:shd w:fill="F4F7FB" w:val="clear"/>
            <w:tcMar>
              <w:top w:type="dxa" w:w="100"/>
              <w:left w:type="dxa" w:w="180"/>
              <w:bottom w:type="dxa" w:w="100"/>
              <w:right w:type="dxa" w:w="180"/>
            </w:tcMar>
          </w:tcPr>
          <w:p>
            <w:pPr>
              <w:spacing w:after="0"/>
            </w:pPr>
            <w:r>
              <w:rPr>
                <w:rFonts w:ascii="Courier New" w:cs="Courier New" w:eastAsia="Courier New" w:hAnsi="Courier New"/>
                <w:color w:val="2C2C2C"/>
                <w:sz w:val="18"/>
                <w:szCs w:val="18"/>
              </w:rPr>
              <w:t xml:space="preserve">python app.py</w:t>
            </w:r>
          </w:p>
        </w:tc>
      </w:tr>
    </w:tbl>
    <w:p>
      <w:pPr>
        <w:spacing w:after="80"/>
      </w:pPr>
    </w:p>
    <w:p>
      <w:pPr>
        <w:spacing w:after="100"/>
      </w:pPr>
      <w:r>
        <w:t xml:space="preserve">Then open your browser at: </w:t>
      </w:r>
      <w:r>
        <w:rPr>
          <w:rFonts w:ascii="Courier New" w:cs="Courier New" w:eastAsia="Courier New" w:hAnsi="Courier New"/>
          <w:color w:val="2C2C2C"/>
          <w:sz w:val="18"/>
          <w:szCs w:val="18"/>
        </w:rPr>
        <w:t xml:space="preserve">http://localhost:5050</w:t>
      </w:r>
    </w:p>
    <w:p>
      <w:pPr>
        <w:spacing w:after="100"/>
      </w:pPr>
      <w:r>
        <w:t xml:space="preserve">Visit </w:t>
      </w:r>
      <w:r>
        <w:rPr>
          <w:rFonts w:ascii="Courier New" w:cs="Courier New" w:eastAsia="Courier New" w:hAnsi="Courier New"/>
          <w:color w:val="2C2C2C"/>
          <w:sz w:val="18"/>
          <w:szCs w:val="18"/>
        </w:rPr>
        <w:t xml:space="preserve">http://localhost:5050/debug</w:t>
      </w:r>
      <w:r>
        <w:t xml:space="preserve"> to verify all data connections are working.</w:t>
      </w:r>
    </w:p>
    <w:p>
      <w:r>
        <w:br w:type="page"/>
      </w:r>
    </w:p>
    <w:p>
      <w:pPr>
        <w:pStyle w:val="Heading1"/>
        <w:spacing w:after="120" w:before="320"/>
      </w:pPr>
      <w:r>
        <w:rPr>
          <w:b/>
          <w:bCs/>
          <w:color w:val="0F1923"/>
        </w:rPr>
        <w:t xml:space="preserve">3.  Interface Overview</w:t>
      </w:r>
    </w:p>
    <w:p>
      <w:pPr>
        <w:pStyle w:val="Heading2"/>
        <w:spacing w:after="120" w:before="200"/>
      </w:pPr>
      <w:r>
        <w:rPr>
          <w:b/>
          <w:bCs/>
          <w:color w:val="2C3E50"/>
        </w:rPr>
        <w:t xml:space="preserve">3.1  Topbar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F5C99" w:val="clear"/>
            <w:tcMar>
              <w:top w:type="dxa" w:w="80"/>
              <w:left w:type="dxa" w:w="120"/>
              <w:bottom w:type="dxa" w:w="80"/>
              <w:right w:type="dxa" w:w="120"/>
            </w:tcMar>
          </w:tcPr>
          <w:p>
            <w:pPr>
              <w:spacing w:after="0"/>
            </w:pPr>
            <w:r>
              <w:rPr>
                <w:b/>
                <w:bCs/>
                <w:color w:val="FFFFFF"/>
              </w:rPr>
              <w:t xml:space="preserve">Element</w:t>
            </w:r>
          </w:p>
        </w:tc>
        <w:tc>
          <w:tcPr>
            <w:tcW w:type="dxa" w:w="4680"/>
            <w:tcBorders>
              <w:top w:val="single" w:color="CCCCCC" w:sz="1"/>
              <w:left w:val="single" w:color="CCCCCC" w:sz="1"/>
              <w:bottom w:val="single" w:color="CCCCCC" w:sz="1"/>
              <w:right w:val="single" w:color="CCCCCC" w:sz="1"/>
            </w:tcBorders>
            <w:shd w:fill="1F5C99" w:val="clear"/>
            <w:tcMar>
              <w:top w:type="dxa" w:w="80"/>
              <w:left w:type="dxa" w:w="120"/>
              <w:bottom w:type="dxa" w:w="80"/>
              <w:right w:type="dxa" w:w="120"/>
            </w:tcMar>
          </w:tcPr>
          <w:p>
            <w:pPr>
              <w:spacing w:after="0"/>
            </w:pPr>
            <w:r>
              <w:rPr>
                <w:b/>
                <w:bCs/>
                <w:color w:val="FFFFFF"/>
              </w:rPr>
              <w:t xml:space="preserve">Description</w:t>
            </w:r>
          </w:p>
        </w:tc>
      </w:tr>
      <w:tr>
        <w:tc>
          <w:tcPr>
            <w:tcW w:type="dxa" w:w="468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JOSHUA TERMINAL logo</w:t>
            </w:r>
          </w:p>
        </w:tc>
        <w:tc>
          <w:tcPr>
            <w:tcW w:type="dxa" w:w="468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Application name and branding</w:t>
            </w:r>
          </w:p>
        </w:tc>
      </w:tr>
      <w:tr>
        <w:tc>
          <w:tcPr>
            <w:tcW w:type="dxa" w:w="468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HL / YF / OANDA dots</w:t>
            </w:r>
          </w:p>
        </w:tc>
        <w:tc>
          <w:tcPr>
            <w:tcW w:type="dxa" w:w="468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Live connection indicators — green = active, grey = disconnected</w:t>
            </w:r>
          </w:p>
        </w:tc>
      </w:tr>
      <w:tr>
        <w:tc>
          <w:tcPr>
            <w:tcW w:type="dxa" w:w="468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World Clock</w:t>
            </w:r>
          </w:p>
        </w:tc>
        <w:tc>
          <w:tcPr>
            <w:tcW w:type="dxa" w:w="468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UTC, New York, London, and Tokyo times — updates every second</w:t>
            </w:r>
          </w:p>
        </w:tc>
      </w:tr>
      <w:tr>
        <w:tc>
          <w:tcPr>
            <w:tcW w:type="dxa" w:w="468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CHARTS 1 2 4 6 8</w:t>
            </w:r>
          </w:p>
        </w:tc>
        <w:tc>
          <w:tcPr>
            <w:tcW w:type="dxa" w:w="468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Grid layout selector — click any number to set the number of visible panes</w:t>
            </w:r>
          </w:p>
        </w:tc>
      </w:tr>
      <w:tr>
        <w:tc>
          <w:tcPr>
            <w:tcW w:type="dxa" w:w="468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Theme toggle (moon/sun)</w:t>
            </w:r>
          </w:p>
        </w:tc>
        <w:tc>
          <w:tcPr>
            <w:tcW w:type="dxa" w:w="468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Switch between dark and light theme — preference is saved</w:t>
            </w:r>
          </w:p>
        </w:tc>
      </w:tr>
      <w:tr>
        <w:tc>
          <w:tcPr>
            <w:tcW w:type="dxa" w:w="468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Timezone button (🕐)</w:t>
            </w:r>
          </w:p>
        </w:tc>
        <w:tc>
          <w:tcPr>
            <w:tcW w:type="dxa" w:w="468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Open the timezone picker — set chart time to any major financial timezone</w:t>
            </w:r>
          </w:p>
        </w:tc>
      </w:tr>
      <w:tr>
        <w:tc>
          <w:tcPr>
            <w:tcW w:type="dxa" w:w="468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Second monitor button</w:t>
            </w:r>
          </w:p>
        </w:tc>
        <w:tc>
          <w:tcPr>
            <w:tcW w:type="dxa" w:w="468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Opens a full second Joshua Terminal on your second screen</w:t>
            </w:r>
          </w:p>
        </w:tc>
      </w:tr>
      <w:tr>
        <w:tc>
          <w:tcPr>
            <w:tcW w:type="dxa" w:w="468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Saved States (disk icon)</w:t>
            </w:r>
          </w:p>
        </w:tc>
        <w:tc>
          <w:tcPr>
            <w:tcW w:type="dxa" w:w="468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Opens the Saved States Manager — shows all symbols with saved drawings</w:t>
            </w:r>
          </w:p>
        </w:tc>
      </w:tr>
      <w:tr>
        <w:tc>
          <w:tcPr>
            <w:tcW w:type="dxa" w:w="468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Fullscreen button</w:t>
            </w:r>
          </w:p>
        </w:tc>
        <w:tc>
          <w:tcPr>
            <w:tcW w:type="dxa" w:w="468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Toggle fullscreen mode</w:t>
            </w:r>
          </w:p>
        </w:tc>
      </w:tr>
      <w:tr>
        <w:tc>
          <w:tcPr>
            <w:tcW w:type="dxa" w:w="468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Session indicator</w:t>
            </w:r>
          </w:p>
        </w:tc>
        <w:tc>
          <w:tcPr>
            <w:tcW w:type="dxa" w:w="468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Current market session: US OPEN, LONDON, TOKYO, overlap, PRE-MKT, AFTER HRS, WEEKEND</w:t>
            </w:r>
          </w:p>
        </w:tc>
      </w:tr>
    </w:tbl>
    <w:p>
      <w:pPr>
        <w:spacing w:after="120"/>
      </w:pPr>
    </w:p>
    <w:p>
      <w:pPr>
        <w:pStyle w:val="Heading2"/>
        <w:spacing w:after="120" w:before="200"/>
      </w:pPr>
      <w:r>
        <w:rPr>
          <w:b/>
          <w:bCs/>
          <w:color w:val="2C3E50"/>
        </w:rPr>
        <w:t xml:space="preserve">3.2  Pane Toolbar</w:t>
      </w:r>
    </w:p>
    <w:p>
      <w:pPr>
        <w:spacing w:after="100"/>
      </w:pPr>
      <w:r>
        <w:t xml:space="preserve">Each chart pane has a toolbar containing: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F5C99" w:val="clear"/>
            <w:tcMar>
              <w:top w:type="dxa" w:w="80"/>
              <w:left w:type="dxa" w:w="120"/>
              <w:bottom w:type="dxa" w:w="80"/>
              <w:right w:type="dxa" w:w="120"/>
            </w:tcMar>
          </w:tcPr>
          <w:p>
            <w:pPr>
              <w:spacing w:after="0"/>
            </w:pPr>
            <w:r>
              <w:rPr>
                <w:b/>
                <w:bCs/>
                <w:color w:val="FFFFFF"/>
              </w:rPr>
              <w:t xml:space="preserve">Control</w:t>
            </w:r>
          </w:p>
        </w:tc>
        <w:tc>
          <w:tcPr>
            <w:tcW w:type="dxa" w:w="4680"/>
            <w:tcBorders>
              <w:top w:val="single" w:color="CCCCCC" w:sz="1"/>
              <w:left w:val="single" w:color="CCCCCC" w:sz="1"/>
              <w:bottom w:val="single" w:color="CCCCCC" w:sz="1"/>
              <w:right w:val="single" w:color="CCCCCC" w:sz="1"/>
            </w:tcBorders>
            <w:shd w:fill="1F5C99" w:val="clear"/>
            <w:tcMar>
              <w:top w:type="dxa" w:w="80"/>
              <w:left w:type="dxa" w:w="120"/>
              <w:bottom w:type="dxa" w:w="80"/>
              <w:right w:type="dxa" w:w="120"/>
            </w:tcMar>
          </w:tcPr>
          <w:p>
            <w:pPr>
              <w:spacing w:after="0"/>
            </w:pPr>
            <w:r>
              <w:rPr>
                <w:b/>
                <w:bCs/>
                <w:color w:val="FFFFFF"/>
              </w:rPr>
              <w:t xml:space="preserve">Description</w:t>
            </w:r>
          </w:p>
        </w:tc>
      </w:tr>
      <w:tr>
        <w:tc>
          <w:tcPr>
            <w:tcW w:type="dxa" w:w="468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Source selector</w:t>
            </w:r>
          </w:p>
        </w:tc>
        <w:tc>
          <w:tcPr>
            <w:tcW w:type="dxa" w:w="468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OANDA / Yahoo Finance / Hyperliquid — controls the candle data source</w:t>
            </w:r>
          </w:p>
        </w:tc>
      </w:tr>
      <w:tr>
        <w:tc>
          <w:tcPr>
            <w:tcW w:type="dxa" w:w="468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Symbol input</w:t>
            </w:r>
          </w:p>
        </w:tc>
        <w:tc>
          <w:tcPr>
            <w:tcW w:type="dxa" w:w="468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Type any symbol or click to open the autocomplete dropdown. Press Enter to load.</w:t>
            </w:r>
          </w:p>
        </w:tc>
      </w:tr>
      <w:tr>
        <w:tc>
          <w:tcPr>
            <w:tcW w:type="dxa" w:w="468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Interval selector</w:t>
            </w:r>
          </w:p>
        </w:tc>
        <w:tc>
          <w:tcPr>
            <w:tcW w:type="dxa" w:w="468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1m · 3m · 5m · 15m · 30m · 1h · 2h · 4h · 8h · 12h · 1d · 1w</w:t>
            </w:r>
          </w:p>
        </w:tc>
      </w:tr>
      <w:tr>
        <w:tc>
          <w:tcPr>
            <w:tcW w:type="dxa" w:w="468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SAVE button</w:t>
            </w:r>
          </w:p>
        </w:tc>
        <w:tc>
          <w:tcPr>
            <w:tcW w:type="dxa" w:w="468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Saves drawings and indicators for this symbol. Amber dot = unsaved changes.</w:t>
            </w:r>
          </w:p>
        </w:tc>
      </w:tr>
      <w:tr>
        <w:tc>
          <w:tcPr>
            <w:tcW w:type="dxa" w:w="468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Popout button (⧉)</w:t>
            </w:r>
          </w:p>
        </w:tc>
        <w:tc>
          <w:tcPr>
            <w:tcW w:type="dxa" w:w="468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Opens this chart in a new window on your second monitor</w:t>
            </w:r>
          </w:p>
        </w:tc>
      </w:tr>
      <w:tr>
        <w:tc>
          <w:tcPr>
            <w:tcW w:type="dxa" w:w="468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Screenshot button (📷)</w:t>
            </w:r>
          </w:p>
        </w:tc>
        <w:tc>
          <w:tcPr>
            <w:tcW w:type="dxa" w:w="468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Saves the chart as a PNG file with all drawings and indicators composited</w:t>
            </w:r>
          </w:p>
        </w:tc>
      </w:tr>
      <w:tr>
        <w:tc>
          <w:tcPr>
            <w:tcW w:type="dxa" w:w="468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Notes button (📝)</w:t>
            </w:r>
          </w:p>
        </w:tc>
        <w:tc>
          <w:tcPr>
            <w:tcW w:type="dxa" w:w="468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Opens the notes/journal panel for this symbol</w:t>
            </w:r>
          </w:p>
        </w:tc>
      </w:tr>
      <w:tr>
        <w:tc>
          <w:tcPr>
            <w:tcW w:type="dxa" w:w="468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DRAW button</w:t>
            </w:r>
          </w:p>
        </w:tc>
        <w:tc>
          <w:tcPr>
            <w:tcW w:type="dxa" w:w="468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Opens the drawing tools flyout</w:t>
            </w:r>
          </w:p>
        </w:tc>
      </w:tr>
      <w:tr>
        <w:tc>
          <w:tcPr>
            <w:tcW w:type="dxa" w:w="468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INDICATORS button</w:t>
            </w:r>
          </w:p>
        </w:tc>
        <w:tc>
          <w:tcPr>
            <w:tcW w:type="dxa" w:w="468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Opens the indicator selector flyout</w:t>
            </w:r>
          </w:p>
        </w:tc>
      </w:tr>
    </w:tbl>
    <w:p>
      <w:pPr>
        <w:spacing w:after="120"/>
      </w:pPr>
    </w:p>
    <w:p>
      <w:pPr>
        <w:pStyle w:val="Heading2"/>
        <w:spacing w:after="120" w:before="200"/>
      </w:pPr>
      <w:r>
        <w:rPr>
          <w:b/>
          <w:bCs/>
          <w:color w:val="2C3E50"/>
        </w:rPr>
        <w:t xml:space="preserve">3.3  Timezone Picker</w:t>
      </w:r>
    </w:p>
    <w:p>
      <w:pPr>
        <w:spacing w:after="100"/>
      </w:pPr>
      <w:r>
        <w:t xml:space="preserve">Click the 🕐 button in the topbar to open the timezone picker. The selected timezone applies to all open panes simultaneously and persists across sessions. Both the bottom axis labels and the crosshair tooltip display time in the chosen timezone. DST transitions are handled automatically.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F5C99" w:val="clear"/>
            <w:tcMar>
              <w:top w:type="dxa" w:w="80"/>
              <w:left w:type="dxa" w:w="120"/>
              <w:bottom w:type="dxa" w:w="80"/>
              <w:right w:type="dxa" w:w="120"/>
            </w:tcMar>
          </w:tcPr>
          <w:p>
            <w:pPr>
              <w:spacing w:after="0"/>
            </w:pPr>
            <w:r>
              <w:rPr>
                <w:b/>
                <w:bCs/>
                <w:color w:val="FFFFFF"/>
              </w:rPr>
              <w:t xml:space="preserve">Label</w:t>
            </w:r>
          </w:p>
        </w:tc>
        <w:tc>
          <w:tcPr>
            <w:tcW w:type="dxa" w:w="4680"/>
            <w:tcBorders>
              <w:top w:val="single" w:color="CCCCCC" w:sz="1"/>
              <w:left w:val="single" w:color="CCCCCC" w:sz="1"/>
              <w:bottom w:val="single" w:color="CCCCCC" w:sz="1"/>
              <w:right w:val="single" w:color="CCCCCC" w:sz="1"/>
            </w:tcBorders>
            <w:shd w:fill="1F5C99" w:val="clear"/>
            <w:tcMar>
              <w:top w:type="dxa" w:w="80"/>
              <w:left w:type="dxa" w:w="120"/>
              <w:bottom w:type="dxa" w:w="80"/>
              <w:right w:type="dxa" w:w="120"/>
            </w:tcMar>
          </w:tcPr>
          <w:p>
            <w:pPr>
              <w:spacing w:after="0"/>
            </w:pPr>
            <w:r>
              <w:rPr>
                <w:b/>
                <w:bCs/>
                <w:color w:val="FFFFFF"/>
              </w:rPr>
              <w:t xml:space="preserve">Timezone</w:t>
            </w:r>
          </w:p>
        </w:tc>
      </w:tr>
      <w:tr>
        <w:tc>
          <w:tcPr>
            <w:tcW w:type="dxa" w:w="468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UTC</w:t>
            </w:r>
          </w:p>
        </w:tc>
        <w:tc>
          <w:tcPr>
            <w:tcW w:type="dxa" w:w="468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UTC</w:t>
            </w:r>
          </w:p>
        </w:tc>
      </w:tr>
      <w:tr>
        <w:tc>
          <w:tcPr>
            <w:tcW w:type="dxa" w:w="468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New York (ET)</w:t>
            </w:r>
          </w:p>
        </w:tc>
        <w:tc>
          <w:tcPr>
            <w:tcW w:type="dxa" w:w="468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America/New_York</w:t>
            </w:r>
          </w:p>
        </w:tc>
      </w:tr>
      <w:tr>
        <w:tc>
          <w:tcPr>
            <w:tcW w:type="dxa" w:w="468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London (GMT/BST)</w:t>
            </w:r>
          </w:p>
        </w:tc>
        <w:tc>
          <w:tcPr>
            <w:tcW w:type="dxa" w:w="468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Europe/London</w:t>
            </w:r>
          </w:p>
        </w:tc>
      </w:tr>
      <w:tr>
        <w:tc>
          <w:tcPr>
            <w:tcW w:type="dxa" w:w="468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Frankfurt (CET)</w:t>
            </w:r>
          </w:p>
        </w:tc>
        <w:tc>
          <w:tcPr>
            <w:tcW w:type="dxa" w:w="468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Europe/Berlin</w:t>
            </w:r>
          </w:p>
        </w:tc>
      </w:tr>
      <w:tr>
        <w:tc>
          <w:tcPr>
            <w:tcW w:type="dxa" w:w="468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Dubai (GST)</w:t>
            </w:r>
          </w:p>
        </w:tc>
        <w:tc>
          <w:tcPr>
            <w:tcW w:type="dxa" w:w="468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Asia/Dubai</w:t>
            </w:r>
          </w:p>
        </w:tc>
      </w:tr>
      <w:tr>
        <w:tc>
          <w:tcPr>
            <w:tcW w:type="dxa" w:w="468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Singapore (SGT)</w:t>
            </w:r>
          </w:p>
        </w:tc>
        <w:tc>
          <w:tcPr>
            <w:tcW w:type="dxa" w:w="468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Asia/Singapore</w:t>
            </w:r>
          </w:p>
        </w:tc>
      </w:tr>
      <w:tr>
        <w:tc>
          <w:tcPr>
            <w:tcW w:type="dxa" w:w="468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Tokyo (JST)</w:t>
            </w:r>
          </w:p>
        </w:tc>
        <w:tc>
          <w:tcPr>
            <w:tcW w:type="dxa" w:w="468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Asia/Tokyo</w:t>
            </w:r>
          </w:p>
        </w:tc>
      </w:tr>
      <w:tr>
        <w:tc>
          <w:tcPr>
            <w:tcW w:type="dxa" w:w="468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Sydney (AEDT)</w:t>
            </w:r>
          </w:p>
        </w:tc>
        <w:tc>
          <w:tcPr>
            <w:tcW w:type="dxa" w:w="468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Australia/Sydney</w:t>
            </w:r>
          </w:p>
        </w:tc>
      </w:tr>
    </w:tbl>
    <w:p>
      <w:r>
        <w:br w:type="page"/>
      </w:r>
    </w:p>
    <w:p>
      <w:pPr>
        <w:pStyle w:val="Heading1"/>
        <w:spacing w:after="120" w:before="320"/>
      </w:pPr>
      <w:r>
        <w:rPr>
          <w:b/>
          <w:bCs/>
          <w:color w:val="0F1923"/>
        </w:rPr>
        <w:t xml:space="preserve">4.  Technical Indicators</w:t>
      </w:r>
    </w:p>
    <w:p>
      <w:pPr>
        <w:spacing w:after="100"/>
      </w:pPr>
      <w:r>
        <w:t xml:space="preserve">Click INDICATORS in any pane toolbar to open the indicator panel. Indicator selections are saved automatically per symbol per timeframe — no save button needed.</w:t>
      </w:r>
    </w:p>
    <w:p>
      <w:pPr>
        <w:pStyle w:val="Heading2"/>
        <w:spacing w:after="120" w:before="200"/>
      </w:pPr>
      <w:r>
        <w:rPr>
          <w:b/>
          <w:bCs/>
          <w:color w:val="2C3E50"/>
        </w:rPr>
        <w:t xml:space="preserve">4.1  Moving Averages &amp; Overlays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510"/>
        <w:gridCol w:w="3510"/>
      </w:tblGrid>
      <w:tr>
        <w:trPr>
          <w:tblHeader/>
        </w:trPr>
        <w:tc>
          <w:tcPr>
            <w:tcW w:type="dxa" w:w="2340"/>
            <w:tcBorders>
              <w:top w:val="single" w:color="CCCCCC" w:sz="1"/>
              <w:left w:val="single" w:color="CCCCCC" w:sz="1"/>
              <w:bottom w:val="single" w:color="CCCCCC" w:sz="1"/>
              <w:right w:val="single" w:color="CCCCCC" w:sz="1"/>
            </w:tcBorders>
            <w:shd w:fill="1F5C99" w:val="clear"/>
            <w:tcMar>
              <w:top w:type="dxa" w:w="80"/>
              <w:left w:type="dxa" w:w="120"/>
              <w:bottom w:type="dxa" w:w="80"/>
              <w:right w:type="dxa" w:w="120"/>
            </w:tcMar>
          </w:tcPr>
          <w:p>
            <w:pPr>
              <w:spacing w:after="0"/>
            </w:pPr>
            <w:r>
              <w:rPr>
                <w:b/>
                <w:bCs/>
                <w:color w:val="FFFFFF"/>
              </w:rPr>
              <w:t xml:space="preserve">Indicator</w:t>
            </w:r>
          </w:p>
        </w:tc>
        <w:tc>
          <w:tcPr>
            <w:tcW w:type="dxa" w:w="3510"/>
            <w:tcBorders>
              <w:top w:val="single" w:color="CCCCCC" w:sz="1"/>
              <w:left w:val="single" w:color="CCCCCC" w:sz="1"/>
              <w:bottom w:val="single" w:color="CCCCCC" w:sz="1"/>
              <w:right w:val="single" w:color="CCCCCC" w:sz="1"/>
            </w:tcBorders>
            <w:shd w:fill="1F5C99" w:val="clear"/>
            <w:tcMar>
              <w:top w:type="dxa" w:w="80"/>
              <w:left w:type="dxa" w:w="120"/>
              <w:bottom w:type="dxa" w:w="80"/>
              <w:right w:type="dxa" w:w="120"/>
            </w:tcMar>
          </w:tcPr>
          <w:p>
            <w:pPr>
              <w:spacing w:after="0"/>
            </w:pPr>
            <w:r>
              <w:rPr>
                <w:b/>
                <w:bCs/>
                <w:color w:val="FFFFFF"/>
              </w:rPr>
              <w:t xml:space="preserve">Settings</w:t>
            </w:r>
          </w:p>
        </w:tc>
        <w:tc>
          <w:tcPr>
            <w:tcW w:type="dxa" w:w="3510"/>
            <w:tcBorders>
              <w:top w:val="single" w:color="CCCCCC" w:sz="1"/>
              <w:left w:val="single" w:color="CCCCCC" w:sz="1"/>
              <w:bottom w:val="single" w:color="CCCCCC" w:sz="1"/>
              <w:right w:val="single" w:color="CCCCCC" w:sz="1"/>
            </w:tcBorders>
            <w:shd w:fill="1F5C99" w:val="clear"/>
            <w:tcMar>
              <w:top w:type="dxa" w:w="80"/>
              <w:left w:type="dxa" w:w="120"/>
              <w:bottom w:type="dxa" w:w="80"/>
              <w:right w:type="dxa" w:w="120"/>
            </w:tcMar>
          </w:tcPr>
          <w:p>
            <w:pPr>
              <w:spacing w:after="0"/>
            </w:pPr>
            <w:r>
              <w:rPr>
                <w:b/>
                <w:bCs/>
                <w:color w:val="FFFFFF"/>
              </w:rPr>
              <w:t xml:space="preserve">Description</w:t>
            </w:r>
          </w:p>
        </w:tc>
      </w:tr>
      <w:tr>
        <w:tc>
          <w:tcPr>
            <w:tcW w:type="dxa" w:w="234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SMA 20</w:t>
            </w:r>
          </w:p>
        </w:tc>
        <w:tc>
          <w:tcPr>
            <w:tcW w:type="dxa" w:w="351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Period: 20</w:t>
            </w:r>
          </w:p>
        </w:tc>
        <w:tc>
          <w:tcPr>
            <w:tcW w:type="dxa" w:w="351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Simple moving average — equal weight to all periods</w:t>
            </w:r>
          </w:p>
        </w:tc>
      </w:tr>
      <w:tr>
        <w:tc>
          <w:tcPr>
            <w:tcW w:type="dxa" w:w="234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SMA 50</w:t>
            </w:r>
          </w:p>
        </w:tc>
        <w:tc>
          <w:tcPr>
            <w:tcW w:type="dxa" w:w="351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Period: 50</w:t>
            </w:r>
          </w:p>
        </w:tc>
        <w:tc>
          <w:tcPr>
            <w:tcW w:type="dxa" w:w="351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Medium-term trend reference</w:t>
            </w:r>
          </w:p>
        </w:tc>
      </w:tr>
      <w:tr>
        <w:tc>
          <w:tcPr>
            <w:tcW w:type="dxa" w:w="234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SMA 200</w:t>
            </w:r>
          </w:p>
        </w:tc>
        <w:tc>
          <w:tcPr>
            <w:tcW w:type="dxa" w:w="351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Period: 200</w:t>
            </w:r>
          </w:p>
        </w:tc>
        <w:tc>
          <w:tcPr>
            <w:tcW w:type="dxa" w:w="351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Long-term trend indicator. Price above = bullish bias.</w:t>
            </w:r>
          </w:p>
        </w:tc>
      </w:tr>
      <w:tr>
        <w:tc>
          <w:tcPr>
            <w:tcW w:type="dxa" w:w="234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EMA 20</w:t>
            </w:r>
          </w:p>
        </w:tc>
        <w:tc>
          <w:tcPr>
            <w:tcW w:type="dxa" w:w="351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Period: 20</w:t>
            </w:r>
          </w:p>
        </w:tc>
        <w:tc>
          <w:tcPr>
            <w:tcW w:type="dxa" w:w="351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Exponential MA — weights recent prices more heavily</w:t>
            </w:r>
          </w:p>
        </w:tc>
      </w:tr>
      <w:tr>
        <w:tc>
          <w:tcPr>
            <w:tcW w:type="dxa" w:w="234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EMA 50</w:t>
            </w:r>
          </w:p>
        </w:tc>
        <w:tc>
          <w:tcPr>
            <w:tcW w:type="dxa" w:w="351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Period: 50</w:t>
            </w:r>
          </w:p>
        </w:tc>
        <w:tc>
          <w:tcPr>
            <w:tcW w:type="dxa" w:w="351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Medium-term EMA. Common crossover signal pair with EMA 20.</w:t>
            </w:r>
          </w:p>
        </w:tc>
      </w:tr>
      <w:tr>
        <w:tc>
          <w:tcPr>
            <w:tcW w:type="dxa" w:w="234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EMA 200</w:t>
            </w:r>
          </w:p>
        </w:tc>
        <w:tc>
          <w:tcPr>
            <w:tcW w:type="dxa" w:w="351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Period: 200</w:t>
            </w:r>
          </w:p>
        </w:tc>
        <w:tc>
          <w:tcPr>
            <w:tcW w:type="dxa" w:w="351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The most-watched moving average in forex trading</w:t>
            </w:r>
          </w:p>
        </w:tc>
      </w:tr>
      <w:tr>
        <w:tc>
          <w:tcPr>
            <w:tcW w:type="dxa" w:w="234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VWAP</w:t>
            </w:r>
          </w:p>
        </w:tc>
        <w:tc>
          <w:tcPr>
            <w:tcW w:type="dxa" w:w="351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Daily reset</w:t>
            </w:r>
          </w:p>
        </w:tc>
        <w:tc>
          <w:tcPr>
            <w:tcW w:type="dxa" w:w="351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Volume-weighted average price. Most useful on intraday timeframes.</w:t>
            </w:r>
          </w:p>
        </w:tc>
      </w:tr>
      <w:tr>
        <w:tc>
          <w:tcPr>
            <w:tcW w:type="dxa" w:w="234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VWMA 20</w:t>
            </w:r>
          </w:p>
        </w:tc>
        <w:tc>
          <w:tcPr>
            <w:tcW w:type="dxa" w:w="351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Period: 20</w:t>
            </w:r>
          </w:p>
        </w:tc>
        <w:tc>
          <w:tcPr>
            <w:tcW w:type="dxa" w:w="351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Volume-weighted moving average — adapts to volume profile</w:t>
            </w:r>
          </w:p>
        </w:tc>
      </w:tr>
    </w:tbl>
    <w:p>
      <w:pPr>
        <w:spacing w:after="120"/>
      </w:pPr>
    </w:p>
    <w:p>
      <w:pPr>
        <w:pStyle w:val="Heading2"/>
        <w:spacing w:after="120" w:before="200"/>
      </w:pPr>
      <w:r>
        <w:rPr>
          <w:b/>
          <w:bCs/>
          <w:color w:val="2C3E50"/>
        </w:rPr>
        <w:t xml:space="preserve">4.2  Bands &amp; Channels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510"/>
        <w:gridCol w:w="3510"/>
      </w:tblGrid>
      <w:tr>
        <w:trPr>
          <w:tblHeader/>
        </w:trPr>
        <w:tc>
          <w:tcPr>
            <w:tcW w:type="dxa" w:w="2340"/>
            <w:tcBorders>
              <w:top w:val="single" w:color="CCCCCC" w:sz="1"/>
              <w:left w:val="single" w:color="CCCCCC" w:sz="1"/>
              <w:bottom w:val="single" w:color="CCCCCC" w:sz="1"/>
              <w:right w:val="single" w:color="CCCCCC" w:sz="1"/>
            </w:tcBorders>
            <w:shd w:fill="1F5C99" w:val="clear"/>
            <w:tcMar>
              <w:top w:type="dxa" w:w="80"/>
              <w:left w:type="dxa" w:w="120"/>
              <w:bottom w:type="dxa" w:w="80"/>
              <w:right w:type="dxa" w:w="120"/>
            </w:tcMar>
          </w:tcPr>
          <w:p>
            <w:pPr>
              <w:spacing w:after="0"/>
            </w:pPr>
            <w:r>
              <w:rPr>
                <w:b/>
                <w:bCs/>
                <w:color w:val="FFFFFF"/>
              </w:rPr>
              <w:t xml:space="preserve">Indicator</w:t>
            </w:r>
          </w:p>
        </w:tc>
        <w:tc>
          <w:tcPr>
            <w:tcW w:type="dxa" w:w="3510"/>
            <w:tcBorders>
              <w:top w:val="single" w:color="CCCCCC" w:sz="1"/>
              <w:left w:val="single" w:color="CCCCCC" w:sz="1"/>
              <w:bottom w:val="single" w:color="CCCCCC" w:sz="1"/>
              <w:right w:val="single" w:color="CCCCCC" w:sz="1"/>
            </w:tcBorders>
            <w:shd w:fill="1F5C99" w:val="clear"/>
            <w:tcMar>
              <w:top w:type="dxa" w:w="80"/>
              <w:left w:type="dxa" w:w="120"/>
              <w:bottom w:type="dxa" w:w="80"/>
              <w:right w:type="dxa" w:w="120"/>
            </w:tcMar>
          </w:tcPr>
          <w:p>
            <w:pPr>
              <w:spacing w:after="0"/>
            </w:pPr>
            <w:r>
              <w:rPr>
                <w:b/>
                <w:bCs/>
                <w:color w:val="FFFFFF"/>
              </w:rPr>
              <w:t xml:space="preserve">Settings</w:t>
            </w:r>
          </w:p>
        </w:tc>
        <w:tc>
          <w:tcPr>
            <w:tcW w:type="dxa" w:w="3510"/>
            <w:tcBorders>
              <w:top w:val="single" w:color="CCCCCC" w:sz="1"/>
              <w:left w:val="single" w:color="CCCCCC" w:sz="1"/>
              <w:bottom w:val="single" w:color="CCCCCC" w:sz="1"/>
              <w:right w:val="single" w:color="CCCCCC" w:sz="1"/>
            </w:tcBorders>
            <w:shd w:fill="1F5C99" w:val="clear"/>
            <w:tcMar>
              <w:top w:type="dxa" w:w="80"/>
              <w:left w:type="dxa" w:w="120"/>
              <w:bottom w:type="dxa" w:w="80"/>
              <w:right w:type="dxa" w:w="120"/>
            </w:tcMar>
          </w:tcPr>
          <w:p>
            <w:pPr>
              <w:spacing w:after="0"/>
            </w:pPr>
            <w:r>
              <w:rPr>
                <w:b/>
                <w:bCs/>
                <w:color w:val="FFFFFF"/>
              </w:rPr>
              <w:t xml:space="preserve">Description</w:t>
            </w:r>
          </w:p>
        </w:tc>
      </w:tr>
      <w:tr>
        <w:tc>
          <w:tcPr>
            <w:tcW w:type="dxa" w:w="234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Bollinger Bands</w:t>
            </w:r>
          </w:p>
        </w:tc>
        <w:tc>
          <w:tcPr>
            <w:tcW w:type="dxa" w:w="351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20 period, 2 std dev</w:t>
            </w:r>
          </w:p>
        </w:tc>
        <w:tc>
          <w:tcPr>
            <w:tcW w:type="dxa" w:w="351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Upper/lower bands 2 standard deviations from SMA. Wide = high volatility.</w:t>
            </w:r>
          </w:p>
        </w:tc>
      </w:tr>
      <w:tr>
        <w:tc>
          <w:tcPr>
            <w:tcW w:type="dxa" w:w="234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Donchian Channel</w:t>
            </w:r>
          </w:p>
        </w:tc>
        <w:tc>
          <w:tcPr>
            <w:tcW w:type="dxa" w:w="351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20 period</w:t>
            </w:r>
          </w:p>
        </w:tc>
        <w:tc>
          <w:tcPr>
            <w:tcW w:type="dxa" w:w="351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Highest high and lowest low. Classic breakout indicator.</w:t>
            </w:r>
          </w:p>
        </w:tc>
      </w:tr>
      <w:tr>
        <w:tc>
          <w:tcPr>
            <w:tcW w:type="dxa" w:w="234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Keltner Channel</w:t>
            </w:r>
          </w:p>
        </w:tc>
        <w:tc>
          <w:tcPr>
            <w:tcW w:type="dxa" w:w="351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20 period, 1.5x ATR</w:t>
            </w:r>
          </w:p>
        </w:tc>
        <w:tc>
          <w:tcPr>
            <w:tcW w:type="dxa" w:w="351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EMA-based channel using ATR for width. Often combined with BB to identify squeezes.</w:t>
            </w:r>
          </w:p>
        </w:tc>
      </w:tr>
    </w:tbl>
    <w:p>
      <w:pPr>
        <w:spacing w:after="120"/>
      </w:pPr>
    </w:p>
    <w:p>
      <w:pPr>
        <w:pStyle w:val="Heading2"/>
        <w:spacing w:after="120" w:before="200"/>
      </w:pPr>
      <w:r>
        <w:rPr>
          <w:b/>
          <w:bCs/>
          <w:color w:val="2C3E50"/>
        </w:rPr>
        <w:t xml:space="preserve">4.3  Trend Indicators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510"/>
        <w:gridCol w:w="3510"/>
      </w:tblGrid>
      <w:tr>
        <w:trPr>
          <w:tblHeader/>
        </w:trPr>
        <w:tc>
          <w:tcPr>
            <w:tcW w:type="dxa" w:w="2340"/>
            <w:tcBorders>
              <w:top w:val="single" w:color="CCCCCC" w:sz="1"/>
              <w:left w:val="single" w:color="CCCCCC" w:sz="1"/>
              <w:bottom w:val="single" w:color="CCCCCC" w:sz="1"/>
              <w:right w:val="single" w:color="CCCCCC" w:sz="1"/>
            </w:tcBorders>
            <w:shd w:fill="1F5C99" w:val="clear"/>
            <w:tcMar>
              <w:top w:type="dxa" w:w="80"/>
              <w:left w:type="dxa" w:w="120"/>
              <w:bottom w:type="dxa" w:w="80"/>
              <w:right w:type="dxa" w:w="120"/>
            </w:tcMar>
          </w:tcPr>
          <w:p>
            <w:pPr>
              <w:spacing w:after="0"/>
            </w:pPr>
            <w:r>
              <w:rPr>
                <w:b/>
                <w:bCs/>
                <w:color w:val="FFFFFF"/>
              </w:rPr>
              <w:t xml:space="preserve">Indicator</w:t>
            </w:r>
          </w:p>
        </w:tc>
        <w:tc>
          <w:tcPr>
            <w:tcW w:type="dxa" w:w="3510"/>
            <w:tcBorders>
              <w:top w:val="single" w:color="CCCCCC" w:sz="1"/>
              <w:left w:val="single" w:color="CCCCCC" w:sz="1"/>
              <w:bottom w:val="single" w:color="CCCCCC" w:sz="1"/>
              <w:right w:val="single" w:color="CCCCCC" w:sz="1"/>
            </w:tcBorders>
            <w:shd w:fill="1F5C99" w:val="clear"/>
            <w:tcMar>
              <w:top w:type="dxa" w:w="80"/>
              <w:left w:type="dxa" w:w="120"/>
              <w:bottom w:type="dxa" w:w="80"/>
              <w:right w:type="dxa" w:w="120"/>
            </w:tcMar>
          </w:tcPr>
          <w:p>
            <w:pPr>
              <w:spacing w:after="0"/>
            </w:pPr>
            <w:r>
              <w:rPr>
                <w:b/>
                <w:bCs/>
                <w:color w:val="FFFFFF"/>
              </w:rPr>
              <w:t xml:space="preserve">Settings</w:t>
            </w:r>
          </w:p>
        </w:tc>
        <w:tc>
          <w:tcPr>
            <w:tcW w:type="dxa" w:w="3510"/>
            <w:tcBorders>
              <w:top w:val="single" w:color="CCCCCC" w:sz="1"/>
              <w:left w:val="single" w:color="CCCCCC" w:sz="1"/>
              <w:bottom w:val="single" w:color="CCCCCC" w:sz="1"/>
              <w:right w:val="single" w:color="CCCCCC" w:sz="1"/>
            </w:tcBorders>
            <w:shd w:fill="1F5C99" w:val="clear"/>
            <w:tcMar>
              <w:top w:type="dxa" w:w="80"/>
              <w:left w:type="dxa" w:w="120"/>
              <w:bottom w:type="dxa" w:w="80"/>
              <w:right w:type="dxa" w:w="120"/>
            </w:tcMar>
          </w:tcPr>
          <w:p>
            <w:pPr>
              <w:spacing w:after="0"/>
            </w:pPr>
            <w:r>
              <w:rPr>
                <w:b/>
                <w:bCs/>
                <w:color w:val="FFFFFF"/>
              </w:rPr>
              <w:t xml:space="preserve">Description</w:t>
            </w:r>
          </w:p>
        </w:tc>
      </w:tr>
      <w:tr>
        <w:tc>
          <w:tcPr>
            <w:tcW w:type="dxa" w:w="234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Supertrend</w:t>
            </w:r>
          </w:p>
        </w:tc>
        <w:tc>
          <w:tcPr>
            <w:tcW w:type="dxa" w:w="351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10 period, factor 3</w:t>
            </w:r>
          </w:p>
        </w:tc>
        <w:tc>
          <w:tcPr>
            <w:tcW w:type="dxa" w:w="351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ATR-based. Green line = uptrend; red line = downtrend. Flips on trend change.</w:t>
            </w:r>
          </w:p>
        </w:tc>
      </w:tr>
      <w:tr>
        <w:tc>
          <w:tcPr>
            <w:tcW w:type="dxa" w:w="234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Ichimoku Cloud</w:t>
            </w:r>
          </w:p>
        </w:tc>
        <w:tc>
          <w:tcPr>
            <w:tcW w:type="dxa" w:w="351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9/26/52 default</w:t>
            </w:r>
          </w:p>
        </w:tc>
        <w:tc>
          <w:tcPr>
            <w:tcW w:type="dxa" w:w="351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Full Ichimoku system: Tenkan (pink), Kijun (blue), Chikou (green), Senkou A/B cloud.</w:t>
            </w:r>
          </w:p>
        </w:tc>
      </w:tr>
      <w:tr>
        <w:tc>
          <w:tcPr>
            <w:tcW w:type="dxa" w:w="234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Parabolic SAR</w:t>
            </w:r>
          </w:p>
        </w:tc>
        <w:tc>
          <w:tcPr>
            <w:tcW w:type="dxa" w:w="351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0.02 step, 0.2 max</w:t>
            </w:r>
          </w:p>
        </w:tc>
        <w:tc>
          <w:tcPr>
            <w:tcW w:type="dxa" w:w="351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Dots above/below price. Green = uptrend; red = downtrend.</w:t>
            </w:r>
          </w:p>
        </w:tc>
      </w:tr>
      <w:tr>
        <w:tc>
          <w:tcPr>
            <w:tcW w:type="dxa" w:w="234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Pivot Points</w:t>
            </w:r>
          </w:p>
        </w:tc>
        <w:tc>
          <w:tcPr>
            <w:tcW w:type="dxa" w:w="351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Daily pivots</w:t>
            </w:r>
          </w:p>
        </w:tc>
        <w:tc>
          <w:tcPr>
            <w:tcW w:type="dxa" w:w="351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Standard floor trader pivots (P, S1, S2, R1, R2).</w:t>
            </w:r>
          </w:p>
        </w:tc>
      </w:tr>
    </w:tbl>
    <w:p>
      <w:pPr>
        <w:spacing w:after="120"/>
      </w:pPr>
    </w:p>
    <w:p>
      <w:pPr>
        <w:pStyle w:val="Heading2"/>
        <w:spacing w:after="120" w:before="200"/>
      </w:pPr>
      <w:r>
        <w:rPr>
          <w:b/>
          <w:bCs/>
          <w:color w:val="2C3E50"/>
        </w:rPr>
        <w:t xml:space="preserve">4.4  Sub-Pane Oscillators</w:t>
      </w:r>
    </w:p>
    <w:p>
      <w:pPr>
        <w:spacing w:after="100"/>
      </w:pPr>
      <w:r>
        <w:t xml:space="preserve">These indicators open in a separate mini-pane below the main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510"/>
        <w:gridCol w:w="3510"/>
      </w:tblGrid>
      <w:tr>
        <w:trPr>
          <w:tblHeader/>
        </w:trPr>
        <w:tc>
          <w:tcPr>
            <w:tcW w:type="dxa" w:w="2340"/>
            <w:tcBorders>
              <w:top w:val="single" w:color="CCCCCC" w:sz="1"/>
              <w:left w:val="single" w:color="CCCCCC" w:sz="1"/>
              <w:bottom w:val="single" w:color="CCCCCC" w:sz="1"/>
              <w:right w:val="single" w:color="CCCCCC" w:sz="1"/>
            </w:tcBorders>
            <w:shd w:fill="1F5C99" w:val="clear"/>
            <w:tcMar>
              <w:top w:type="dxa" w:w="80"/>
              <w:left w:type="dxa" w:w="120"/>
              <w:bottom w:type="dxa" w:w="80"/>
              <w:right w:type="dxa" w:w="120"/>
            </w:tcMar>
          </w:tcPr>
          <w:p>
            <w:pPr>
              <w:spacing w:after="0"/>
            </w:pPr>
            <w:r>
              <w:rPr>
                <w:b/>
                <w:bCs/>
                <w:color w:val="FFFFFF"/>
              </w:rPr>
              <w:t xml:space="preserve">Indicator</w:t>
            </w:r>
          </w:p>
        </w:tc>
        <w:tc>
          <w:tcPr>
            <w:tcW w:type="dxa" w:w="3510"/>
            <w:tcBorders>
              <w:top w:val="single" w:color="CCCCCC" w:sz="1"/>
              <w:left w:val="single" w:color="CCCCCC" w:sz="1"/>
              <w:bottom w:val="single" w:color="CCCCCC" w:sz="1"/>
              <w:right w:val="single" w:color="CCCCCC" w:sz="1"/>
            </w:tcBorders>
            <w:shd w:fill="1F5C99" w:val="clear"/>
            <w:tcMar>
              <w:top w:type="dxa" w:w="80"/>
              <w:left w:type="dxa" w:w="120"/>
              <w:bottom w:type="dxa" w:w="80"/>
              <w:right w:type="dxa" w:w="120"/>
            </w:tcMar>
          </w:tcPr>
          <w:p>
            <w:pPr>
              <w:spacing w:after="0"/>
            </w:pPr>
            <w:r>
              <w:rPr>
                <w:b/>
                <w:bCs/>
                <w:color w:val="FFFFFF"/>
              </w:rPr>
              <w:t xml:space="preserve">Settings</w:t>
            </w:r>
          </w:p>
        </w:tc>
        <w:tc>
          <w:tcPr>
            <w:tcW w:type="dxa" w:w="3510"/>
            <w:tcBorders>
              <w:top w:val="single" w:color="CCCCCC" w:sz="1"/>
              <w:left w:val="single" w:color="CCCCCC" w:sz="1"/>
              <w:bottom w:val="single" w:color="CCCCCC" w:sz="1"/>
              <w:right w:val="single" w:color="CCCCCC" w:sz="1"/>
            </w:tcBorders>
            <w:shd w:fill="1F5C99" w:val="clear"/>
            <w:tcMar>
              <w:top w:type="dxa" w:w="80"/>
              <w:left w:type="dxa" w:w="120"/>
              <w:bottom w:type="dxa" w:w="80"/>
              <w:right w:type="dxa" w:w="120"/>
            </w:tcMar>
          </w:tcPr>
          <w:p>
            <w:pPr>
              <w:spacing w:after="0"/>
            </w:pPr>
            <w:r>
              <w:rPr>
                <w:b/>
                <w:bCs/>
                <w:color w:val="FFFFFF"/>
              </w:rPr>
              <w:t xml:space="preserve">Description</w:t>
            </w:r>
          </w:p>
        </w:tc>
      </w:tr>
      <w:tr>
        <w:tc>
          <w:tcPr>
            <w:tcW w:type="dxa" w:w="234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Volume</w:t>
            </w:r>
          </w:p>
        </w:tc>
        <w:tc>
          <w:tcPr>
            <w:tcW w:type="dxa" w:w="351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w:t>
            </w:r>
          </w:p>
        </w:tc>
        <w:tc>
          <w:tcPr>
            <w:tcW w:type="dxa" w:w="351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Bar chart of candle volume. Green = up candle, red = down candle.</w:t>
            </w:r>
          </w:p>
        </w:tc>
      </w:tr>
      <w:tr>
        <w:tc>
          <w:tcPr>
            <w:tcW w:type="dxa" w:w="234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RSI</w:t>
            </w:r>
          </w:p>
        </w:tc>
        <w:tc>
          <w:tcPr>
            <w:tcW w:type="dxa" w:w="351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14 period</w:t>
            </w:r>
          </w:p>
        </w:tc>
        <w:tc>
          <w:tcPr>
            <w:tcW w:type="dxa" w:w="351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Relative Strength Index. Above 70 = overbought; below 30 = oversold.</w:t>
            </w:r>
          </w:p>
        </w:tc>
      </w:tr>
      <w:tr>
        <w:tc>
          <w:tcPr>
            <w:tcW w:type="dxa" w:w="234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MACD</w:t>
            </w:r>
          </w:p>
        </w:tc>
        <w:tc>
          <w:tcPr>
            <w:tcW w:type="dxa" w:w="351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12/26/9</w:t>
            </w:r>
          </w:p>
        </w:tc>
        <w:tc>
          <w:tcPr>
            <w:tcW w:type="dxa" w:w="351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Histogram + MACD line + signal line.</w:t>
            </w:r>
          </w:p>
        </w:tc>
      </w:tr>
      <w:tr>
        <w:tc>
          <w:tcPr>
            <w:tcW w:type="dxa" w:w="234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Stochastic</w:t>
            </w:r>
          </w:p>
        </w:tc>
        <w:tc>
          <w:tcPr>
            <w:tcW w:type="dxa" w:w="351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14/3/3</w:t>
            </w:r>
          </w:p>
        </w:tc>
        <w:tc>
          <w:tcPr>
            <w:tcW w:type="dxa" w:w="351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%K and %D lines. Above 80/below 20 mark extremes.</w:t>
            </w:r>
          </w:p>
        </w:tc>
      </w:tr>
      <w:tr>
        <w:tc>
          <w:tcPr>
            <w:tcW w:type="dxa" w:w="234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Stoch RSI</w:t>
            </w:r>
          </w:p>
        </w:tc>
        <w:tc>
          <w:tcPr>
            <w:tcW w:type="dxa" w:w="351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14 period</w:t>
            </w:r>
          </w:p>
        </w:tc>
        <w:tc>
          <w:tcPr>
            <w:tcW w:type="dxa" w:w="351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RSI of RSI. More sensitive than standard RSI. 80/20 reference lines.</w:t>
            </w:r>
          </w:p>
        </w:tc>
      </w:tr>
      <w:tr>
        <w:tc>
          <w:tcPr>
            <w:tcW w:type="dxa" w:w="234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ATR</w:t>
            </w:r>
          </w:p>
        </w:tc>
        <w:tc>
          <w:tcPr>
            <w:tcW w:type="dxa" w:w="351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14 period</w:t>
            </w:r>
          </w:p>
        </w:tc>
        <w:tc>
          <w:tcPr>
            <w:tcW w:type="dxa" w:w="351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Average True Range. Measures volatility in price units. Useful for stop sizing.</w:t>
            </w:r>
          </w:p>
        </w:tc>
      </w:tr>
      <w:tr>
        <w:tc>
          <w:tcPr>
            <w:tcW w:type="dxa" w:w="234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ADX</w:t>
            </w:r>
          </w:p>
        </w:tc>
        <w:tc>
          <w:tcPr>
            <w:tcW w:type="dxa" w:w="351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14 period</w:t>
            </w:r>
          </w:p>
        </w:tc>
        <w:tc>
          <w:tcPr>
            <w:tcW w:type="dxa" w:w="351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Average Directional Index. Measures trend strength. Above 25 = trending.</w:t>
            </w:r>
          </w:p>
        </w:tc>
      </w:tr>
      <w:tr>
        <w:tc>
          <w:tcPr>
            <w:tcW w:type="dxa" w:w="234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CCI</w:t>
            </w:r>
          </w:p>
        </w:tc>
        <w:tc>
          <w:tcPr>
            <w:tcW w:type="dxa" w:w="351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20 period</w:t>
            </w:r>
          </w:p>
        </w:tc>
        <w:tc>
          <w:tcPr>
            <w:tcW w:type="dxa" w:w="351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Commodity Channel Index. Oscillates around zero.</w:t>
            </w:r>
          </w:p>
        </w:tc>
      </w:tr>
      <w:tr>
        <w:tc>
          <w:tcPr>
            <w:tcW w:type="dxa" w:w="234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CMF</w:t>
            </w:r>
          </w:p>
        </w:tc>
        <w:tc>
          <w:tcPr>
            <w:tcW w:type="dxa" w:w="351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20 period</w:t>
            </w:r>
          </w:p>
        </w:tc>
        <w:tc>
          <w:tcPr>
            <w:tcW w:type="dxa" w:w="351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Chaikin Money Flow. Positive = buying pressure; negative = selling pressure.</w:t>
            </w:r>
          </w:p>
        </w:tc>
      </w:tr>
      <w:tr>
        <w:tc>
          <w:tcPr>
            <w:tcW w:type="dxa" w:w="234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OBV</w:t>
            </w:r>
          </w:p>
        </w:tc>
        <w:tc>
          <w:tcPr>
            <w:tcW w:type="dxa" w:w="351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w:t>
            </w:r>
          </w:p>
        </w:tc>
        <w:tc>
          <w:tcPr>
            <w:tcW w:type="dxa" w:w="351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On-Balance Volume. Cumulative volume. Divergence from price = leading signal.</w:t>
            </w:r>
          </w:p>
        </w:tc>
      </w:tr>
      <w:tr>
        <w:tc>
          <w:tcPr>
            <w:tcW w:type="dxa" w:w="234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MFI</w:t>
            </w:r>
          </w:p>
        </w:tc>
        <w:tc>
          <w:tcPr>
            <w:tcW w:type="dxa" w:w="351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14 period</w:t>
            </w:r>
          </w:p>
        </w:tc>
        <w:tc>
          <w:tcPr>
            <w:tcW w:type="dxa" w:w="351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Money Flow Index. Volume-weighted RSI.</w:t>
            </w:r>
          </w:p>
        </w:tc>
      </w:tr>
      <w:tr>
        <w:tc>
          <w:tcPr>
            <w:tcW w:type="dxa" w:w="234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Williams %R</w:t>
            </w:r>
          </w:p>
        </w:tc>
        <w:tc>
          <w:tcPr>
            <w:tcW w:type="dxa" w:w="351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14 period</w:t>
            </w:r>
          </w:p>
        </w:tc>
        <w:tc>
          <w:tcPr>
            <w:tcW w:type="dxa" w:w="351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Inverted momentum oscillator. Near 0 = overbought; near -100 = oversold.</w:t>
            </w:r>
          </w:p>
        </w:tc>
      </w:tr>
      <w:tr>
        <w:tc>
          <w:tcPr>
            <w:tcW w:type="dxa" w:w="234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Momentum</w:t>
            </w:r>
          </w:p>
        </w:tc>
        <w:tc>
          <w:tcPr>
            <w:tcW w:type="dxa" w:w="351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10 period</w:t>
            </w:r>
          </w:p>
        </w:tc>
        <w:tc>
          <w:tcPr>
            <w:tcW w:type="dxa" w:w="351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Raw price change over N periods. Positive = upward momentum.</w:t>
            </w:r>
          </w:p>
        </w:tc>
      </w:tr>
    </w:tbl>
    <w:p>
      <w:pPr>
        <w:spacing w:after="120"/>
      </w:pPr>
    </w:p>
    <w:p>
      <w:pPr>
        <w:pStyle w:val="Heading2"/>
        <w:spacing w:after="120" w:before="200"/>
      </w:pPr>
      <w:r>
        <w:rPr>
          <w:b/>
          <w:bCs/>
          <w:color w:val="2C3E50"/>
        </w:rPr>
        <w:t xml:space="preserve">4.5  Canvas-Rendered Indicators</w:t>
      </w:r>
    </w:p>
    <w:p>
      <w:pPr>
        <w:pStyle w:val="Heading3"/>
        <w:spacing w:after="120" w:before="200"/>
      </w:pPr>
      <w:r>
        <w:rPr>
          <w:b/>
          <w:bCs/>
          <w:color w:val="2C3E50"/>
        </w:rPr>
        <w:t xml:space="preserve">S/D Zones &amp; Auto Fib</w:t>
      </w:r>
    </w:p>
    <w:p>
      <w:pPr>
        <w:spacing w:after="100"/>
      </w:pPr>
      <w:r>
        <w:t xml:space="preserve">Detects supply and demand zones from significant swing structure and automatically draws Fibonacci retracement levels between major highs and lows. Rendered as a canvas overlay — zones extend to the right edge of the chart.</w:t>
      </w:r>
    </w:p>
    <w:p>
      <w:pPr>
        <w:spacing w:after="80"/>
      </w:pPr>
    </w:p>
    <w:p>
      <w:pPr>
        <w:pStyle w:val="Heading3"/>
        <w:spacing w:after="120" w:before="200"/>
      </w:pPr>
      <w:r>
        <w:rPr>
          <w:b/>
          <w:bCs/>
          <w:color w:val="2C3E50"/>
        </w:rPr>
        <w:t xml:space="preserve">Order Blocks</w:t>
      </w:r>
    </w:p>
    <w:p>
      <w:pPr>
        <w:spacing w:after="100"/>
      </w:pPr>
      <w:r>
        <w:t xml:space="preserve">Detects bullish and bearish order blocks using Break of Structure (BOS) analysis over a 25-bar lookback. An order block marks the last candle before a significant structural break — these are areas where institutional orders are likely resting.</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510"/>
        <w:gridCol w:w="3510"/>
      </w:tblGrid>
      <w:tr>
        <w:trPr>
          <w:tblHeader/>
        </w:trPr>
        <w:tc>
          <w:tcPr>
            <w:tcW w:type="dxa" w:w="2340"/>
            <w:tcBorders>
              <w:top w:val="single" w:color="CCCCCC" w:sz="1"/>
              <w:left w:val="single" w:color="CCCCCC" w:sz="1"/>
              <w:bottom w:val="single" w:color="CCCCCC" w:sz="1"/>
              <w:right w:val="single" w:color="CCCCCC" w:sz="1"/>
            </w:tcBorders>
            <w:shd w:fill="1F5C99" w:val="clear"/>
            <w:tcMar>
              <w:top w:type="dxa" w:w="80"/>
              <w:left w:type="dxa" w:w="120"/>
              <w:bottom w:type="dxa" w:w="80"/>
              <w:right w:type="dxa" w:w="120"/>
            </w:tcMar>
          </w:tcPr>
          <w:p>
            <w:pPr>
              <w:spacing w:after="0"/>
            </w:pPr>
            <w:r>
              <w:rPr>
                <w:b/>
                <w:bCs/>
                <w:color w:val="FFFFFF"/>
              </w:rPr>
              <w:t xml:space="preserve">Element</w:t>
            </w:r>
          </w:p>
        </w:tc>
        <w:tc>
          <w:tcPr>
            <w:tcW w:type="dxa" w:w="3510"/>
            <w:tcBorders>
              <w:top w:val="single" w:color="CCCCCC" w:sz="1"/>
              <w:left w:val="single" w:color="CCCCCC" w:sz="1"/>
              <w:bottom w:val="single" w:color="CCCCCC" w:sz="1"/>
              <w:right w:val="single" w:color="CCCCCC" w:sz="1"/>
            </w:tcBorders>
            <w:shd w:fill="1F5C99" w:val="clear"/>
            <w:tcMar>
              <w:top w:type="dxa" w:w="80"/>
              <w:left w:type="dxa" w:w="120"/>
              <w:bottom w:type="dxa" w:w="80"/>
              <w:right w:type="dxa" w:w="120"/>
            </w:tcMar>
          </w:tcPr>
          <w:p>
            <w:pPr>
              <w:spacing w:after="0"/>
            </w:pPr>
            <w:r>
              <w:rPr>
                <w:b/>
                <w:bCs/>
                <w:color w:val="FFFFFF"/>
              </w:rPr>
              <w:t xml:space="preserve">Appearance</w:t>
            </w:r>
          </w:p>
        </w:tc>
        <w:tc>
          <w:tcPr>
            <w:tcW w:type="dxa" w:w="3510"/>
            <w:tcBorders>
              <w:top w:val="single" w:color="CCCCCC" w:sz="1"/>
              <w:left w:val="single" w:color="CCCCCC" w:sz="1"/>
              <w:bottom w:val="single" w:color="CCCCCC" w:sz="1"/>
              <w:right w:val="single" w:color="CCCCCC" w:sz="1"/>
            </w:tcBorders>
            <w:shd w:fill="1F5C99" w:val="clear"/>
            <w:tcMar>
              <w:top w:type="dxa" w:w="80"/>
              <w:left w:type="dxa" w:w="120"/>
              <w:bottom w:type="dxa" w:w="80"/>
              <w:right w:type="dxa" w:w="120"/>
            </w:tcMar>
          </w:tcPr>
          <w:p>
            <w:pPr>
              <w:spacing w:after="0"/>
            </w:pPr>
            <w:r>
              <w:rPr>
                <w:b/>
                <w:bCs/>
                <w:color w:val="FFFFFF"/>
              </w:rPr>
              <w:t xml:space="preserve">Meaning</w:t>
            </w:r>
          </w:p>
        </w:tc>
      </w:tr>
      <w:tr>
        <w:tc>
          <w:tcPr>
            <w:tcW w:type="dxa" w:w="234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Bearish OB (gold)</w:t>
            </w:r>
          </w:p>
        </w:tc>
        <w:tc>
          <w:tcPr>
            <w:tcW w:type="dxa" w:w="351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Gold fill, OB ▼ label</w:t>
            </w:r>
          </w:p>
        </w:tc>
        <w:tc>
          <w:tcPr>
            <w:tcW w:type="dxa" w:w="351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Last up-candle before a bearish BOS — potential supply zone</w:t>
            </w:r>
          </w:p>
        </w:tc>
      </w:tr>
      <w:tr>
        <w:tc>
          <w:tcPr>
            <w:tcW w:type="dxa" w:w="234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Bullish OB (green)</w:t>
            </w:r>
          </w:p>
        </w:tc>
        <w:tc>
          <w:tcPr>
            <w:tcW w:type="dxa" w:w="351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Green fill, OB ▲ label</w:t>
            </w:r>
          </w:p>
        </w:tc>
        <w:tc>
          <w:tcPr>
            <w:tcW w:type="dxa" w:w="351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Last down-candle before a bullish BOS — potential demand zone</w:t>
            </w:r>
          </w:p>
        </w:tc>
      </w:tr>
      <w:tr>
        <w:tc>
          <w:tcPr>
            <w:tcW w:type="dxa" w:w="234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Mitigated OB (grey)</w:t>
            </w:r>
          </w:p>
        </w:tc>
        <w:tc>
          <w:tcPr>
            <w:tcW w:type="dxa" w:w="351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Faded grey fill</w:t>
            </w:r>
          </w:p>
        </w:tc>
        <w:tc>
          <w:tcPr>
            <w:tcW w:type="dxa" w:w="351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Block where price has already traded through — weakened zone</w:t>
            </w:r>
          </w:p>
        </w:tc>
      </w:tr>
      <w:tr>
        <w:tc>
          <w:tcPr>
            <w:tcW w:type="dxa" w:w="234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BOS line</w:t>
            </w:r>
          </w:p>
        </w:tc>
        <w:tc>
          <w:tcPr>
            <w:tcW w:type="dxa" w:w="351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Dashed horizontal line</w:t>
            </w:r>
          </w:p>
        </w:tc>
        <w:tc>
          <w:tcPr>
            <w:tcW w:type="dxa" w:w="351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The structural level that was broken to create the order block</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AF0F7" w:val="clear"/>
            <w:tcMar>
              <w:top w:type="dxa" w:w="120"/>
              <w:left w:type="dxa" w:w="180"/>
              <w:bottom w:type="dxa" w:w="120"/>
              <w:right w:type="dxa" w:w="180"/>
            </w:tcMar>
          </w:tcPr>
          <w:p>
            <w:pPr>
              <w:spacing w:after="0"/>
            </w:pPr>
            <w:r>
              <w:rPr>
                <w:i/>
                <w:iCs/>
                <w:color w:val="555555"/>
              </w:rPr>
              <w:t xml:space="preserve">Order blocks are recomputed from candle data on every load. Mitigated blocks are hidden by default — price must trade through the full block body to mitigate it.</w:t>
            </w:r>
          </w:p>
        </w:tc>
      </w:tr>
    </w:tbl>
    <w:p>
      <w:r>
        <w:br w:type="page"/>
      </w:r>
    </w:p>
    <w:p>
      <w:pPr>
        <w:pStyle w:val="Heading1"/>
        <w:spacing w:after="120" w:before="320"/>
      </w:pPr>
      <w:r>
        <w:rPr>
          <w:b/>
          <w:bCs/>
          <w:color w:val="0F1923"/>
        </w:rPr>
        <w:t xml:space="preserve">5.  Drawing Tools</w:t>
      </w:r>
    </w:p>
    <w:p>
      <w:pPr>
        <w:spacing w:after="100"/>
      </w:pPr>
      <w:r>
        <w:t xml:space="preserve">Click DRAW in any pane toolbar to open the drawing tools flyout. All tools exit automatically after placing — no need to click again to deactivate. All drawings are saved per symbol and visible across every timeframe.</w:t>
      </w:r>
    </w:p>
    <w:p>
      <w:pPr>
        <w:pStyle w:val="Heading2"/>
        <w:spacing w:after="120" w:before="200"/>
      </w:pPr>
      <w:r>
        <w:rPr>
          <w:b/>
          <w:bCs/>
          <w:color w:val="2C3E50"/>
        </w:rPr>
        <w:t xml:space="preserve">5.1  Fibonacci Retracement</w:t>
      </w:r>
    </w:p>
    <w:p>
      <w:pPr>
        <w:pStyle w:val="ListParagraph"/>
        <w:numPr>
          <w:ilvl w:val="0"/>
          <w:numId w:val="2"/>
        </w:numPr>
        <w:spacing w:after="60"/>
      </w:pPr>
      <w:r>
        <w:t xml:space="preserve">Select Fibonacci from the DRAW flyout</w:t>
      </w:r>
    </w:p>
    <w:p>
      <w:pPr>
        <w:pStyle w:val="ListParagraph"/>
        <w:numPr>
          <w:ilvl w:val="0"/>
          <w:numId w:val="2"/>
        </w:numPr>
        <w:spacing w:after="60"/>
      </w:pPr>
      <w:r>
        <w:t xml:space="preserve">Click and drag from swing low to swing high (or high to low for bearish)</w:t>
      </w:r>
    </w:p>
    <w:p>
      <w:pPr>
        <w:pStyle w:val="ListParagraph"/>
        <w:numPr>
          <w:ilvl w:val="0"/>
          <w:numId w:val="2"/>
        </w:numPr>
        <w:spacing w:after="60"/>
      </w:pPr>
      <w:r>
        <w:t xml:space="preserve">Release to commit — the flyout closes automatically</w:t>
      </w:r>
    </w:p>
    <w:p>
      <w:pPr>
        <w:pStyle w:val="ListParagraph"/>
        <w:numPr>
          <w:ilvl w:val="0"/>
          <w:numId w:val="2"/>
        </w:numPr>
        <w:spacing w:after="60"/>
      </w:pPr>
      <w:r>
        <w:t xml:space="preserve">Click any level line to open the edit panel</w:t>
      </w:r>
    </w:p>
    <w:p>
      <w:pPr>
        <w:spacing w:after="80"/>
      </w:pPr>
    </w:p>
    <w:p>
      <w:pPr>
        <w:spacing w:after="100"/>
      </w:pPr>
      <w:r>
        <w:rPr>
          <w:b/>
          <w:bCs/>
        </w:rPr>
        <w:t xml:space="preserve">Default levels: </w:t>
      </w:r>
      <w:r>
        <w:t xml:space="preserve">0%, 23.6%, 38.2%, 50%, 61.8%, 78.6%, 100%</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AF0F7" w:val="clear"/>
            <w:tcMar>
              <w:top w:type="dxa" w:w="120"/>
              <w:left w:type="dxa" w:w="180"/>
              <w:bottom w:type="dxa" w:w="120"/>
              <w:right w:type="dxa" w:w="180"/>
            </w:tcMar>
          </w:tcPr>
          <w:p>
            <w:pPr>
              <w:spacing w:after="0"/>
            </w:pPr>
            <w:r>
              <w:rPr>
                <w:i/>
                <w:iCs/>
                <w:color w:val="555555"/>
              </w:rPr>
              <w:t xml:space="preserve">Fibonacci level values are stored per symbol — all Fibonacci drawings on EURUSD share the same level set. Customising levels applies to every fib on that symbol.</w:t>
            </w:r>
          </w:p>
        </w:tc>
      </w:tr>
    </w:tbl>
    <w:p>
      <w:pPr>
        <w:spacing w:after="120"/>
      </w:pPr>
    </w:p>
    <w:p>
      <w:pPr>
        <w:pStyle w:val="Heading2"/>
        <w:spacing w:after="120" w:before="200"/>
      </w:pPr>
      <w:r>
        <w:rPr>
          <w:b/>
          <w:bCs/>
          <w:color w:val="2C3E50"/>
        </w:rPr>
        <w:t xml:space="preserve">5.2  Trendlines</w:t>
      </w:r>
    </w:p>
    <w:p>
      <w:pPr>
        <w:pStyle w:val="ListParagraph"/>
        <w:numPr>
          <w:ilvl w:val="0"/>
          <w:numId w:val="2"/>
        </w:numPr>
        <w:spacing w:after="60"/>
      </w:pPr>
      <w:r>
        <w:t xml:space="preserve">Click and drag from point A to point B on the chart</w:t>
      </w:r>
    </w:p>
    <w:p>
      <w:pPr>
        <w:pStyle w:val="ListParagraph"/>
        <w:numPr>
          <w:ilvl w:val="0"/>
          <w:numId w:val="2"/>
        </w:numPr>
        <w:spacing w:after="60"/>
      </w:pPr>
      <w:r>
        <w:t xml:space="preserve">Release to commit — mode exits automatically</w:t>
      </w:r>
    </w:p>
    <w:p>
      <w:pPr>
        <w:pStyle w:val="ListParagraph"/>
        <w:numPr>
          <w:ilvl w:val="0"/>
          <w:numId w:val="2"/>
        </w:numPr>
        <w:spacing w:after="60"/>
      </w:pPr>
      <w:r>
        <w:t xml:space="preserve">Click the line to open its edit panel (colour, delete)</w:t>
      </w:r>
    </w:p>
    <w:p>
      <w:pPr>
        <w:pStyle w:val="ListParagraph"/>
        <w:numPr>
          <w:ilvl w:val="0"/>
          <w:numId w:val="2"/>
        </w:numPr>
        <w:spacing w:after="60"/>
      </w:pPr>
      <w:r>
        <w:t xml:space="preserve">Drag either endpoint handle to adjust after drawing</w:t>
      </w:r>
    </w:p>
    <w:p>
      <w:pPr>
        <w:spacing w:after="120"/>
      </w:pPr>
    </w:p>
    <w:p>
      <w:pPr>
        <w:pStyle w:val="Heading2"/>
        <w:spacing w:after="120" w:before="200"/>
      </w:pPr>
      <w:r>
        <w:rPr>
          <w:b/>
          <w:bCs/>
          <w:color w:val="2C3E50"/>
        </w:rPr>
        <w:t xml:space="preserve">5.3  Horizontal Lines</w:t>
      </w:r>
    </w:p>
    <w:p>
      <w:pPr>
        <w:pStyle w:val="ListParagraph"/>
        <w:numPr>
          <w:ilvl w:val="0"/>
          <w:numId w:val="2"/>
        </w:numPr>
        <w:spacing w:after="60"/>
      </w:pPr>
      <w:r>
        <w:t xml:space="preserve">Click anywhere on the chart at the desired price level</w:t>
      </w:r>
    </w:p>
    <w:p>
      <w:pPr>
        <w:pStyle w:val="ListParagraph"/>
        <w:numPr>
          <w:ilvl w:val="0"/>
          <w:numId w:val="2"/>
        </w:numPr>
        <w:spacing w:after="60"/>
      </w:pPr>
      <w:r>
        <w:t xml:space="preserve">Click the line to open its edit panel</w:t>
      </w:r>
    </w:p>
    <w:p>
      <w:pPr>
        <w:pStyle w:val="ListParagraph"/>
        <w:numPr>
          <w:ilvl w:val="0"/>
          <w:numId w:val="2"/>
        </w:numPr>
        <w:spacing w:after="60"/>
      </w:pPr>
      <w:r>
        <w:t xml:space="preserve">From the edit panel you can change colour, set a price alert, or delete</w:t>
      </w:r>
    </w:p>
    <w:p>
      <w:pPr>
        <w:pStyle w:val="ListParagraph"/>
        <w:numPr>
          <w:ilvl w:val="0"/>
          <w:numId w:val="2"/>
        </w:numPr>
        <w:spacing w:after="60"/>
      </w:pPr>
      <w:r>
        <w:t xml:space="preserve">Drag the line up or down to reposition</w:t>
      </w:r>
    </w:p>
    <w:p>
      <w:pPr>
        <w:spacing w:after="120"/>
      </w:pPr>
    </w:p>
    <w:p>
      <w:pPr>
        <w:pStyle w:val="Heading2"/>
        <w:spacing w:after="120" w:before="200"/>
      </w:pPr>
      <w:r>
        <w:rPr>
          <w:b/>
          <w:bCs/>
          <w:color w:val="2C3E50"/>
        </w:rPr>
        <w:t xml:space="preserve">5.4  Vertical Lines</w:t>
      </w:r>
    </w:p>
    <w:p>
      <w:pPr>
        <w:pStyle w:val="ListParagraph"/>
        <w:numPr>
          <w:ilvl w:val="0"/>
          <w:numId w:val="2"/>
        </w:numPr>
        <w:spacing w:after="60"/>
      </w:pPr>
      <w:r>
        <w:t xml:space="preserve">Click on the chart at the desired time position</w:t>
      </w:r>
    </w:p>
    <w:p>
      <w:pPr>
        <w:pStyle w:val="ListParagraph"/>
        <w:numPr>
          <w:ilvl w:val="0"/>
          <w:numId w:val="2"/>
        </w:numPr>
        <w:spacing w:after="60"/>
      </w:pPr>
      <w:r>
        <w:t xml:space="preserve">Click the line to open its edit panel (colour, delete)</w:t>
      </w:r>
    </w:p>
    <w:p>
      <w:pPr>
        <w:pStyle w:val="ListParagraph"/>
        <w:numPr>
          <w:ilvl w:val="0"/>
          <w:numId w:val="2"/>
        </w:numPr>
        <w:spacing w:after="60"/>
      </w:pPr>
      <w:r>
        <w:t xml:space="preserve">Drag left or right to reposition</w:t>
      </w:r>
    </w:p>
    <w:p>
      <w:pPr>
        <w:spacing w:after="120"/>
      </w:pPr>
    </w:p>
    <w:p>
      <w:pPr>
        <w:pStyle w:val="Heading2"/>
        <w:spacing w:after="120" w:before="200"/>
      </w:pPr>
      <w:r>
        <w:rPr>
          <w:b/>
          <w:bCs/>
          <w:color w:val="2C3E50"/>
        </w:rPr>
        <w:t xml:space="preserve">5.5  Long / Short Position Blocks</w:t>
      </w:r>
    </w:p>
    <w:p>
      <w:pPr>
        <w:pStyle w:val="ListParagraph"/>
        <w:numPr>
          <w:ilvl w:val="0"/>
          <w:numId w:val="2"/>
        </w:numPr>
        <w:spacing w:after="60"/>
      </w:pPr>
      <w:r>
        <w:t xml:space="preserve">Select Long or Short from the DRAW flyout</w:t>
      </w:r>
    </w:p>
    <w:p>
      <w:pPr>
        <w:pStyle w:val="ListParagraph"/>
        <w:numPr>
          <w:ilvl w:val="0"/>
          <w:numId w:val="2"/>
        </w:numPr>
        <w:spacing w:after="60"/>
      </w:pPr>
      <w:r>
        <w:t xml:space="preserve">Click at your entry price and drag toward your stop loss level</w:t>
      </w:r>
    </w:p>
    <w:p>
      <w:pPr>
        <w:pStyle w:val="ListParagraph"/>
        <w:numPr>
          <w:ilvl w:val="0"/>
          <w:numId w:val="2"/>
        </w:numPr>
        <w:spacing w:after="60"/>
      </w:pPr>
      <w:r>
        <w:t xml:space="preserve">Take profit is mirrored automatically at 1:1 R:R — drag to adjust</w:t>
      </w:r>
    </w:p>
    <w:p>
      <w:pPr>
        <w:pStyle w:val="ListParagraph"/>
        <w:numPr>
          <w:ilvl w:val="0"/>
          <w:numId w:val="2"/>
        </w:numPr>
        <w:spacing w:after="60"/>
      </w:pPr>
      <w:r>
        <w:t xml:space="preserve">Release to commit — mode exits automatically</w:t>
      </w:r>
    </w:p>
    <w:p>
      <w:pPr>
        <w:spacing w:after="80"/>
      </w:pPr>
    </w:p>
    <w:p>
      <w:pPr>
        <w:spacing w:after="100"/>
      </w:pPr>
      <w:r>
        <w:t xml:space="preserve">The position panel shows entry/TP/SL prices, pips distance, and R:R ratio. The risk calculator takes account size, risk %, and lot size and outputs risk $, lots, units, and TP $.</w:t>
      </w:r>
    </w:p>
    <w:p>
      <w:pPr>
        <w:spacing w:after="120"/>
      </w:pPr>
    </w:p>
    <w:p>
      <w:pPr>
        <w:pStyle w:val="Heading2"/>
        <w:spacing w:after="120" w:before="200"/>
      </w:pPr>
      <w:r>
        <w:rPr>
          <w:b/>
          <w:bCs/>
          <w:color w:val="2C3E50"/>
        </w:rPr>
        <w:t xml:space="preserve">5.6  Price Alerts on Horizontal Lines</w:t>
      </w:r>
    </w:p>
    <w:p>
      <w:pPr>
        <w:pStyle w:val="ListParagraph"/>
        <w:numPr>
          <w:ilvl w:val="0"/>
          <w:numId w:val="2"/>
        </w:numPr>
        <w:spacing w:after="60"/>
      </w:pPr>
      <w:r>
        <w:t xml:space="preserve">Draw a horizontal line and click it to open the edit panel</w:t>
      </w:r>
    </w:p>
    <w:p>
      <w:pPr>
        <w:pStyle w:val="ListParagraph"/>
        <w:numPr>
          <w:ilvl w:val="0"/>
          <w:numId w:val="2"/>
        </w:numPr>
        <w:spacing w:after="60"/>
      </w:pPr>
      <w:r>
        <w:t xml:space="preserve">Click the bell icon — it turns to an armed bell with a gold glow</w:t>
      </w:r>
    </w:p>
    <w:p>
      <w:pPr>
        <w:pStyle w:val="ListParagraph"/>
        <w:numPr>
          <w:ilvl w:val="0"/>
          <w:numId w:val="2"/>
        </w:numPr>
        <w:spacing w:after="60"/>
      </w:pPr>
      <w:r>
        <w:t xml:space="preserve">Allow browser notifications when prompted</w:t>
      </w:r>
    </w:p>
    <w:p>
      <w:pPr>
        <w:pStyle w:val="ListParagraph"/>
        <w:numPr>
          <w:ilvl w:val="0"/>
          <w:numId w:val="2"/>
        </w:numPr>
        <w:spacing w:after="60"/>
      </w:pPr>
      <w:r>
        <w:t xml:space="preserve">When price crosses the line, a browser notification fires immediately and a Telegram message is sent</w:t>
      </w:r>
    </w:p>
    <w:p>
      <w:pPr>
        <w:pStyle w:val="ListParagraph"/>
        <w:numPr>
          <w:ilvl w:val="0"/>
          <w:numId w:val="2"/>
        </w:numPr>
        <w:spacing w:after="60"/>
      </w:pPr>
      <w:r>
        <w:t xml:space="preserve">A 60-second cooldown prevents repeated alerts on the same level</w:t>
      </w:r>
    </w:p>
    <w:p>
      <w:pPr>
        <w:pStyle w:val="ListParagraph"/>
        <w:numPr>
          <w:ilvl w:val="0"/>
          <w:numId w:val="2"/>
        </w:numPr>
        <w:spacing w:after="60"/>
      </w:pPr>
      <w:r>
        <w:t xml:space="preserve">Alert state is saved — the bell stays armed after page reload</w:t>
      </w:r>
    </w:p>
    <w:p>
      <w:r>
        <w:br w:type="page"/>
      </w:r>
    </w:p>
    <w:p>
      <w:pPr>
        <w:pStyle w:val="Heading1"/>
        <w:spacing w:after="120" w:before="320"/>
      </w:pPr>
      <w:r>
        <w:rPr>
          <w:b/>
          <w:bCs/>
          <w:color w:val="0F1923"/>
        </w:rPr>
        <w:t xml:space="preserve">6.  Notes &amp; Journal</w:t>
      </w:r>
    </w:p>
    <w:p>
      <w:pPr>
        <w:spacing w:after="100"/>
      </w:pPr>
      <w:r>
        <w:t xml:space="preserve">Each chart pane has a notes button in its toolbar. Click it to open the notes panel for that pane's symbol.</w:t>
      </w:r>
    </w:p>
    <w:p>
      <w:pPr>
        <w:pStyle w:val="Heading2"/>
        <w:spacing w:after="120" w:before="200"/>
      </w:pPr>
      <w:r>
        <w:rPr>
          <w:b/>
          <w:bCs/>
          <w:color w:val="2C3E50"/>
        </w:rPr>
        <w:t xml:space="preserve">6.1  Adding Notes</w:t>
      </w:r>
    </w:p>
    <w:p>
      <w:pPr>
        <w:pStyle w:val="ListParagraph"/>
        <w:numPr>
          <w:ilvl w:val="0"/>
          <w:numId w:val="2"/>
        </w:numPr>
        <w:spacing w:after="60"/>
      </w:pPr>
      <w:r>
        <w:t xml:space="preserve">Select a tag type: Idea, Trade, Risk, or Misc</w:t>
      </w:r>
    </w:p>
    <w:p>
      <w:pPr>
        <w:pStyle w:val="ListParagraph"/>
        <w:numPr>
          <w:ilvl w:val="0"/>
          <w:numId w:val="2"/>
        </w:numPr>
        <w:spacing w:after="60"/>
      </w:pPr>
      <w:r>
        <w:t xml:space="preserve">Type your note in the text area</w:t>
      </w:r>
    </w:p>
    <w:p>
      <w:pPr>
        <w:pStyle w:val="ListParagraph"/>
        <w:numPr>
          <w:ilvl w:val="0"/>
          <w:numId w:val="2"/>
        </w:numPr>
        <w:spacing w:after="60"/>
      </w:pPr>
      <w:r>
        <w:t xml:space="preserve">Click ADD NOTE or press Ctrl+Enter (Cmd+Enter on Mac)</w:t>
      </w:r>
    </w:p>
    <w:p>
      <w:pPr>
        <w:pStyle w:val="ListParagraph"/>
        <w:numPr>
          <w:ilvl w:val="0"/>
          <w:numId w:val="2"/>
        </w:numPr>
        <w:spacing w:after="60"/>
      </w:pPr>
      <w:r>
        <w:t xml:space="preserve">Notes appear in the list above, most recent first</w:t>
      </w:r>
    </w:p>
    <w:p>
      <w:pPr>
        <w:spacing w:after="120"/>
      </w:pPr>
    </w:p>
    <w:p>
      <w:pPr>
        <w:pStyle w:val="Heading2"/>
        <w:spacing w:after="120" w:before="200"/>
      </w:pPr>
      <w:r>
        <w:rPr>
          <w:b/>
          <w:bCs/>
          <w:color w:val="2C3E50"/>
        </w:rPr>
        <w:t xml:space="preserve">6.2  Note Tags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F5C99" w:val="clear"/>
            <w:tcMar>
              <w:top w:type="dxa" w:w="80"/>
              <w:left w:type="dxa" w:w="120"/>
              <w:bottom w:type="dxa" w:w="80"/>
              <w:right w:type="dxa" w:w="120"/>
            </w:tcMar>
          </w:tcPr>
          <w:p>
            <w:pPr>
              <w:spacing w:after="0"/>
            </w:pPr>
            <w:r>
              <w:rPr>
                <w:b/>
                <w:bCs/>
                <w:color w:val="FFFFFF"/>
              </w:rPr>
              <w:t xml:space="preserve">Tag</w:t>
            </w:r>
          </w:p>
        </w:tc>
        <w:tc>
          <w:tcPr>
            <w:tcW w:type="dxa" w:w="4680"/>
            <w:tcBorders>
              <w:top w:val="single" w:color="CCCCCC" w:sz="1"/>
              <w:left w:val="single" w:color="CCCCCC" w:sz="1"/>
              <w:bottom w:val="single" w:color="CCCCCC" w:sz="1"/>
              <w:right w:val="single" w:color="CCCCCC" w:sz="1"/>
            </w:tcBorders>
            <w:shd w:fill="1F5C99" w:val="clear"/>
            <w:tcMar>
              <w:top w:type="dxa" w:w="80"/>
              <w:left w:type="dxa" w:w="120"/>
              <w:bottom w:type="dxa" w:w="80"/>
              <w:right w:type="dxa" w:w="120"/>
            </w:tcMar>
          </w:tcPr>
          <w:p>
            <w:pPr>
              <w:spacing w:after="0"/>
            </w:pPr>
            <w:r>
              <w:rPr>
                <w:b/>
                <w:bCs/>
                <w:color w:val="FFFFFF"/>
              </w:rPr>
              <w:t xml:space="preserve">Intended Use</w:t>
            </w:r>
          </w:p>
        </w:tc>
      </w:tr>
      <w:tr>
        <w:tc>
          <w:tcPr>
            <w:tcW w:type="dxa" w:w="468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 Idea</w:t>
            </w:r>
          </w:p>
        </w:tc>
        <w:tc>
          <w:tcPr>
            <w:tcW w:type="dxa" w:w="468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Trade setup ideas, pattern observations, thesis</w:t>
            </w:r>
          </w:p>
        </w:tc>
      </w:tr>
      <w:tr>
        <w:tc>
          <w:tcPr>
            <w:tcW w:type="dxa" w:w="468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 Trade</w:t>
            </w:r>
          </w:p>
        </w:tc>
        <w:tc>
          <w:tcPr>
            <w:tcW w:type="dxa" w:w="468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Entry/exit records, execution notes</w:t>
            </w:r>
          </w:p>
        </w:tc>
      </w:tr>
      <w:tr>
        <w:tc>
          <w:tcPr>
            <w:tcW w:type="dxa" w:w="468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 Risk</w:t>
            </w:r>
          </w:p>
        </w:tc>
        <w:tc>
          <w:tcPr>
            <w:tcW w:type="dxa" w:w="468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Risk warnings, level invalidations, caution notes</w:t>
            </w:r>
          </w:p>
        </w:tc>
      </w:tr>
      <w:tr>
        <w:tc>
          <w:tcPr>
            <w:tcW w:type="dxa" w:w="468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 Misc</w:t>
            </w:r>
          </w:p>
        </w:tc>
        <w:tc>
          <w:tcPr>
            <w:tcW w:type="dxa" w:w="468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General observations, reminders</w:t>
            </w:r>
          </w:p>
        </w:tc>
      </w:tr>
    </w:tbl>
    <w:p>
      <w:pPr>
        <w:spacing w:after="120"/>
      </w:pPr>
    </w:p>
    <w:p>
      <w:pPr>
        <w:pStyle w:val="Heading2"/>
        <w:spacing w:after="120" w:before="200"/>
      </w:pPr>
      <w:r>
        <w:rPr>
          <w:b/>
          <w:bCs/>
          <w:color w:val="2C3E50"/>
        </w:rPr>
        <w:t xml:space="preserve">6.3  Storage</w:t>
      </w:r>
    </w:p>
    <w:p>
      <w:pPr>
        <w:spacing w:after="100"/>
      </w:pPr>
      <w:r>
        <w:t xml:space="preserve">Notes are stored in your browser's localStorage keyed by symbol (e.g. notes:EURUSD). They persist across sessions and page reloads. A gold dot on the notes button indicates a symbol has notes.</w:t>
      </w:r>
    </w:p>
    <w:p>
      <w:pPr>
        <w:spacing w:after="120"/>
      </w:pPr>
    </w:p>
    <w:p>
      <w:pPr>
        <w:pStyle w:val="Heading1"/>
        <w:spacing w:after="120" w:before="320"/>
      </w:pPr>
      <w:r>
        <w:rPr>
          <w:b/>
          <w:bCs/>
          <w:color w:val="0F1923"/>
        </w:rPr>
        <w:t xml:space="preserve">7.  Multi-Monitor Support</w:t>
      </w:r>
    </w:p>
    <w:p>
      <w:pPr>
        <w:spacing w:after="100"/>
      </w:pPr>
      <w:r>
        <w:t xml:space="preserve">Joshua Terminal has two modes for using a second monitor:</w:t>
      </w:r>
    </w:p>
    <w:p>
      <w:pPr>
        <w:pStyle w:val="Heading2"/>
        <w:spacing w:after="120" w:before="200"/>
      </w:pPr>
      <w:r>
        <w:rPr>
          <w:b/>
          <w:bCs/>
          <w:color w:val="2C3E50"/>
        </w:rPr>
        <w:t xml:space="preserve">7.1  Pane Popout (Single Chart)</w:t>
      </w:r>
    </w:p>
    <w:p>
      <w:pPr>
        <w:pStyle w:val="ListParagraph"/>
        <w:numPr>
          <w:ilvl w:val="0"/>
          <w:numId w:val="2"/>
        </w:numPr>
        <w:spacing w:after="60"/>
      </w:pPr>
      <w:r>
        <w:t xml:space="preserve">Click the popout button (⧉) in any pane toolbar</w:t>
      </w:r>
    </w:p>
    <w:p>
      <w:pPr>
        <w:pStyle w:val="ListParagraph"/>
        <w:numPr>
          <w:ilvl w:val="0"/>
          <w:numId w:val="2"/>
        </w:numPr>
        <w:spacing w:after="60"/>
      </w:pPr>
      <w:r>
        <w:t xml:space="preserve">The chart opens in a new window, positioned on your second screen</w:t>
      </w:r>
    </w:p>
    <w:p>
      <w:pPr>
        <w:pStyle w:val="ListParagraph"/>
        <w:numPr>
          <w:ilvl w:val="0"/>
          <w:numId w:val="2"/>
        </w:numPr>
        <w:spacing w:after="60"/>
      </w:pPr>
      <w:r>
        <w:t xml:space="preserve">The popout has a slim topbar with connection dots, clock, theme toggle, and fullscreen</w:t>
      </w:r>
    </w:p>
    <w:p>
      <w:pPr>
        <w:pStyle w:val="ListParagraph"/>
        <w:numPr>
          <w:ilvl w:val="0"/>
          <w:numId w:val="2"/>
        </w:numPr>
        <w:spacing w:after="60"/>
      </w:pPr>
      <w:r>
        <w:t xml:space="preserve">Connects to the same socket — live prices update in real time</w:t>
      </w:r>
    </w:p>
    <w:p>
      <w:pPr>
        <w:pStyle w:val="ListParagraph"/>
        <w:numPr>
          <w:ilvl w:val="0"/>
          <w:numId w:val="2"/>
        </w:numPr>
        <w:spacing w:after="60"/>
      </w:pPr>
      <w:r>
        <w:t xml:space="preserve">Full drawing tools, indicators, and alert system work in the popout</w:t>
      </w:r>
    </w:p>
    <w:p>
      <w:pPr>
        <w:pStyle w:val="ListParagraph"/>
        <w:numPr>
          <w:ilvl w:val="0"/>
          <w:numId w:val="2"/>
        </w:numPr>
        <w:spacing w:after="60"/>
      </w:pPr>
      <w:r>
        <w:t xml:space="preserve">Timezone and candle width settings are shared with the main terminal</w:t>
      </w:r>
    </w:p>
    <w:p>
      <w:pPr>
        <w:spacing w:after="120"/>
      </w:pPr>
    </w:p>
    <w:p>
      <w:pPr>
        <w:pStyle w:val="Heading2"/>
        <w:spacing w:after="120" w:before="200"/>
      </w:pPr>
      <w:r>
        <w:rPr>
          <w:b/>
          <w:bCs/>
          <w:color w:val="2C3E50"/>
        </w:rPr>
        <w:t xml:space="preserve">7.2  Full Second Terminal</w:t>
      </w:r>
    </w:p>
    <w:p>
      <w:pPr>
        <w:pStyle w:val="ListParagraph"/>
        <w:numPr>
          <w:ilvl w:val="0"/>
          <w:numId w:val="2"/>
        </w:numPr>
        <w:spacing w:after="60"/>
      </w:pPr>
      <w:r>
        <w:t xml:space="preserve">Click the popout button (⧉) in the main topbar</w:t>
      </w:r>
    </w:p>
    <w:p>
      <w:pPr>
        <w:pStyle w:val="ListParagraph"/>
        <w:numPr>
          <w:ilvl w:val="0"/>
          <w:numId w:val="2"/>
        </w:numPr>
        <w:spacing w:after="60"/>
      </w:pPr>
      <w:r>
        <w:t xml:space="preserve">Opens a complete Joshua Terminal with its own grid layout on the second screen</w:t>
      </w:r>
    </w:p>
    <w:p>
      <w:pPr>
        <w:pStyle w:val="ListParagraph"/>
        <w:numPr>
          <w:ilvl w:val="0"/>
          <w:numId w:val="2"/>
        </w:numPr>
        <w:spacing w:after="60"/>
      </w:pPr>
      <w:r>
        <w:t xml:space="preserve">Fully independent — different symbols, different indicators, its own layout</w:t>
      </w:r>
    </w:p>
    <w:p>
      <w:r>
        <w:br w:type="page"/>
      </w:r>
    </w:p>
    <w:p>
      <w:pPr>
        <w:pStyle w:val="Heading1"/>
        <w:spacing w:after="120" w:before="320"/>
      </w:pPr>
      <w:r>
        <w:rPr>
          <w:b/>
          <w:bCs/>
          <w:color w:val="0F1923"/>
        </w:rPr>
        <w:t xml:space="preserve">8.  Saving &amp; Restoring Your Work</w:t>
      </w:r>
    </w:p>
    <w:p>
      <w:pPr>
        <w:pStyle w:val="Heading2"/>
        <w:spacing w:after="120" w:before="200"/>
      </w:pPr>
      <w:r>
        <w:rPr>
          <w:b/>
          <w:bCs/>
          <w:color w:val="2C3E50"/>
        </w:rPr>
        <w:t xml:space="preserve">8.1  What Is Saved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F5C99" w:val="clear"/>
            <w:tcMar>
              <w:top w:type="dxa" w:w="80"/>
              <w:left w:type="dxa" w:w="120"/>
              <w:bottom w:type="dxa" w:w="80"/>
              <w:right w:type="dxa" w:w="120"/>
            </w:tcMar>
          </w:tcPr>
          <w:p>
            <w:pPr>
              <w:spacing w:after="0"/>
            </w:pPr>
            <w:r>
              <w:rPr>
                <w:b/>
                <w:bCs/>
                <w:color w:val="FFFFFF"/>
              </w:rPr>
              <w:t xml:space="preserve">Item</w:t>
            </w:r>
          </w:p>
        </w:tc>
        <w:tc>
          <w:tcPr>
            <w:tcW w:type="dxa" w:w="4680"/>
            <w:tcBorders>
              <w:top w:val="single" w:color="CCCCCC" w:sz="1"/>
              <w:left w:val="single" w:color="CCCCCC" w:sz="1"/>
              <w:bottom w:val="single" w:color="CCCCCC" w:sz="1"/>
              <w:right w:val="single" w:color="CCCCCC" w:sz="1"/>
            </w:tcBorders>
            <w:shd w:fill="1F5C99" w:val="clear"/>
            <w:tcMar>
              <w:top w:type="dxa" w:w="80"/>
              <w:left w:type="dxa" w:w="120"/>
              <w:bottom w:type="dxa" w:w="80"/>
              <w:right w:type="dxa" w:w="120"/>
            </w:tcMar>
          </w:tcPr>
          <w:p>
            <w:pPr>
              <w:spacing w:after="0"/>
            </w:pPr>
            <w:r>
              <w:rPr>
                <w:b/>
                <w:bCs/>
                <w:color w:val="FFFFFF"/>
              </w:rPr>
              <w:t xml:space="preserve">How It Is Saved</w:t>
            </w:r>
          </w:p>
        </w:tc>
      </w:tr>
      <w:tr>
        <w:tc>
          <w:tcPr>
            <w:tcW w:type="dxa" w:w="468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Drawings (fibs, trendlines, lines, positions, alerts)</w:t>
            </w:r>
          </w:p>
        </w:tc>
        <w:tc>
          <w:tcPr>
            <w:tcW w:type="dxa" w:w="468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Manually — click the SAVE button when ready</w:t>
            </w:r>
          </w:p>
        </w:tc>
      </w:tr>
      <w:tr>
        <w:tc>
          <w:tcPr>
            <w:tcW w:type="dxa" w:w="468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Indicators</w:t>
            </w:r>
          </w:p>
        </w:tc>
        <w:tc>
          <w:tcPr>
            <w:tcW w:type="dxa" w:w="468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Automatically — saved instantly every time you toggle</w:t>
            </w:r>
          </w:p>
        </w:tc>
      </w:tr>
      <w:tr>
        <w:tc>
          <w:tcPr>
            <w:tcW w:type="dxa" w:w="468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Custom Fibonacci levels</w:t>
            </w:r>
          </w:p>
        </w:tc>
        <w:tc>
          <w:tcPr>
            <w:tcW w:type="dxa" w:w="468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Automatically with drawings on Save</w:t>
            </w:r>
          </w:p>
        </w:tc>
      </w:tr>
      <w:tr>
        <w:tc>
          <w:tcPr>
            <w:tcW w:type="dxa" w:w="468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Notes</w:t>
            </w:r>
          </w:p>
        </w:tc>
        <w:tc>
          <w:tcPr>
            <w:tcW w:type="dxa" w:w="468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Automatically — saved immediately when added or deleted</w:t>
            </w:r>
          </w:p>
        </w:tc>
      </w:tr>
      <w:tr>
        <w:tc>
          <w:tcPr>
            <w:tcW w:type="dxa" w:w="468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Pane layout (symbol/interval per slot)</w:t>
            </w:r>
          </w:p>
        </w:tc>
        <w:tc>
          <w:tcPr>
            <w:tcW w:type="dxa" w:w="468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Automatically — saved on page unload and grid change</w:t>
            </w:r>
          </w:p>
        </w:tc>
      </w:tr>
      <w:tr>
        <w:tc>
          <w:tcPr>
            <w:tcW w:type="dxa" w:w="468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Grid count (1/2/4/6/8)</w:t>
            </w:r>
          </w:p>
        </w:tc>
        <w:tc>
          <w:tcPr>
            <w:tcW w:type="dxa" w:w="468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Automatically — saved immediately when changed</w:t>
            </w:r>
          </w:p>
        </w:tc>
      </w:tr>
      <w:tr>
        <w:tc>
          <w:tcPr>
            <w:tcW w:type="dxa" w:w="468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Theme (dark/light)</w:t>
            </w:r>
          </w:p>
        </w:tc>
        <w:tc>
          <w:tcPr>
            <w:tcW w:type="dxa" w:w="468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Automatically — saved immediately when toggled</w:t>
            </w:r>
          </w:p>
        </w:tc>
      </w:tr>
      <w:tr>
        <w:tc>
          <w:tcPr>
            <w:tcW w:type="dxa" w:w="468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Chart timezone</w:t>
            </w:r>
          </w:p>
        </w:tc>
        <w:tc>
          <w:tcPr>
            <w:tcW w:type="dxa" w:w="468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Automatically — saved immediately when changed</w:t>
            </w:r>
          </w:p>
        </w:tc>
      </w:tr>
      <w:tr>
        <w:tc>
          <w:tcPr>
            <w:tcW w:type="dxa" w:w="468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Candle width (bar spacing) per symbol</w:t>
            </w:r>
          </w:p>
        </w:tc>
        <w:tc>
          <w:tcPr>
            <w:tcW w:type="dxa" w:w="468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Automatically — saved on every zoom/scroll action</w:t>
            </w:r>
          </w:p>
        </w:tc>
      </w:tr>
    </w:tbl>
    <w:p>
      <w:pPr>
        <w:spacing w:after="120"/>
      </w:pPr>
    </w:p>
    <w:p>
      <w:pPr>
        <w:pStyle w:val="Heading2"/>
        <w:spacing w:after="120" w:before="200"/>
      </w:pPr>
      <w:r>
        <w:rPr>
          <w:b/>
          <w:bCs/>
          <w:color w:val="2C3E50"/>
        </w:rPr>
        <w:t xml:space="preserve">8.2  The Symbol Workspace Model</w:t>
      </w:r>
    </w:p>
    <w:p>
      <w:pPr>
        <w:spacing w:after="100"/>
      </w:pPr>
      <w:r>
        <w:t xml:space="preserve">Drawings belong to the symbol — not the timeframe, not the pane slot. Draw a support line on EURUSD at 1h — it appears on 15m, 4h, and Daily too. Indicators are the exception: they are saved per symbol per timeframe, since RSI on 1m and RSI on daily serve different purposes.</w:t>
      </w:r>
    </w:p>
    <w:p>
      <w:pPr>
        <w:spacing w:after="120"/>
      </w:pPr>
    </w:p>
    <w:p>
      <w:pPr>
        <w:pStyle w:val="Heading2"/>
        <w:spacing w:after="120" w:before="200"/>
      </w:pPr>
      <w:r>
        <w:rPr>
          <w:b/>
          <w:bCs/>
          <w:color w:val="2C3E50"/>
        </w:rPr>
        <w:t xml:space="preserve">8.3  Candle Width Persistence</w:t>
      </w:r>
    </w:p>
    <w:p>
      <w:pPr>
        <w:spacing w:after="100"/>
      </w:pPr>
      <w:r>
        <w:t xml:space="preserve">The zoom level (candle width) you set is saved per symbol and automatically restored whenever you switch timeframes, reload the page, or navigate back to that symbol. You never need to re-zoom after changing a timeframe. A comfortable right-side offset is also applied by default so the most recent candle always has breathing room from the price scale.</w:t>
      </w:r>
    </w:p>
    <w:p>
      <w:pPr>
        <w:spacing w:after="120"/>
      </w:pPr>
    </w:p>
    <w:p>
      <w:pPr>
        <w:pStyle w:val="Heading2"/>
        <w:spacing w:after="120" w:before="200"/>
      </w:pPr>
      <w:r>
        <w:rPr>
          <w:b/>
          <w:bCs/>
          <w:color w:val="2C3E50"/>
        </w:rPr>
        <w:t xml:space="preserve">8.4  Saved States Manager</w:t>
      </w:r>
    </w:p>
    <w:p>
      <w:pPr>
        <w:spacing w:after="100"/>
      </w:pPr>
      <w:r>
        <w:t xml:space="preserve">Click the disk icon in the topbar to open the Saved States Manager. It shows every symbol with saved state: drawing count, timeframe count, and last saved date. Click the X button to permanently delete all saved data for a symbol.</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AF0F7" w:val="clear"/>
            <w:tcMar>
              <w:top w:type="dxa" w:w="120"/>
              <w:left w:type="dxa" w:w="180"/>
              <w:bottom w:type="dxa" w:w="120"/>
              <w:right w:type="dxa" w:w="180"/>
            </w:tcMar>
          </w:tcPr>
          <w:p>
            <w:pPr>
              <w:spacing w:after="0"/>
            </w:pPr>
            <w:r>
              <w:rPr>
                <w:i/>
                <w:iCs/>
                <w:color w:val="555555"/>
              </w:rPr>
              <w:t xml:space="preserve">All state is stored in your browser's localStorage — a private, per-browser store that is never sent to any server. Your drawings, indicators, notes, and analysis are entirely local to your machine and your browser. Clearing browser data or using a different browser will not show the same saved state.</w:t>
            </w:r>
          </w:p>
        </w:tc>
      </w:tr>
    </w:tbl>
    <w:p>
      <w:r>
        <w:br w:type="page"/>
      </w:r>
    </w:p>
    <w:p>
      <w:pPr>
        <w:pStyle w:val="Heading1"/>
        <w:spacing w:after="120" w:before="320"/>
      </w:pPr>
      <w:r>
        <w:rPr>
          <w:b/>
          <w:bCs/>
          <w:color w:val="0F1923"/>
        </w:rPr>
        <w:t xml:space="preserve">9.  Project Architecture</w:t>
      </w:r>
    </w:p>
    <w:p>
      <w:pPr>
        <w:pStyle w:val="Heading2"/>
        <w:spacing w:after="120" w:before="200"/>
      </w:pPr>
      <w:r>
        <w:rPr>
          <w:b/>
          <w:bCs/>
          <w:color w:val="2C3E50"/>
        </w:rPr>
        <w:t xml:space="preserve">9.1  File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510"/>
        <w:gridCol w:w="3510"/>
      </w:tblGrid>
      <w:tr>
        <w:trPr>
          <w:tblHeader/>
        </w:trPr>
        <w:tc>
          <w:tcPr>
            <w:tcW w:type="dxa" w:w="2340"/>
            <w:tcBorders>
              <w:top w:val="single" w:color="CCCCCC" w:sz="1"/>
              <w:left w:val="single" w:color="CCCCCC" w:sz="1"/>
              <w:bottom w:val="single" w:color="CCCCCC" w:sz="1"/>
              <w:right w:val="single" w:color="CCCCCC" w:sz="1"/>
            </w:tcBorders>
            <w:shd w:fill="1F5C99" w:val="clear"/>
            <w:tcMar>
              <w:top w:type="dxa" w:w="80"/>
              <w:left w:type="dxa" w:w="120"/>
              <w:bottom w:type="dxa" w:w="80"/>
              <w:right w:type="dxa" w:w="120"/>
            </w:tcMar>
          </w:tcPr>
          <w:p>
            <w:pPr>
              <w:spacing w:after="0"/>
            </w:pPr>
            <w:r>
              <w:rPr>
                <w:b/>
                <w:bCs/>
                <w:color w:val="FFFFFF"/>
              </w:rPr>
              <w:t xml:space="preserve">File</w:t>
            </w:r>
          </w:p>
        </w:tc>
        <w:tc>
          <w:tcPr>
            <w:tcW w:type="dxa" w:w="3510"/>
            <w:tcBorders>
              <w:top w:val="single" w:color="CCCCCC" w:sz="1"/>
              <w:left w:val="single" w:color="CCCCCC" w:sz="1"/>
              <w:bottom w:val="single" w:color="CCCCCC" w:sz="1"/>
              <w:right w:val="single" w:color="CCCCCC" w:sz="1"/>
            </w:tcBorders>
            <w:shd w:fill="1F5C99" w:val="clear"/>
            <w:tcMar>
              <w:top w:type="dxa" w:w="80"/>
              <w:left w:type="dxa" w:w="120"/>
              <w:bottom w:type="dxa" w:w="80"/>
              <w:right w:type="dxa" w:w="120"/>
            </w:tcMar>
          </w:tcPr>
          <w:p>
            <w:pPr>
              <w:spacing w:after="0"/>
            </w:pPr>
            <w:r>
              <w:rPr>
                <w:b/>
                <w:bCs/>
                <w:color w:val="FFFFFF"/>
              </w:rPr>
              <w:t xml:space="preserve">Location</w:t>
            </w:r>
          </w:p>
        </w:tc>
        <w:tc>
          <w:tcPr>
            <w:tcW w:type="dxa" w:w="3510"/>
            <w:tcBorders>
              <w:top w:val="single" w:color="CCCCCC" w:sz="1"/>
              <w:left w:val="single" w:color="CCCCCC" w:sz="1"/>
              <w:bottom w:val="single" w:color="CCCCCC" w:sz="1"/>
              <w:right w:val="single" w:color="CCCCCC" w:sz="1"/>
            </w:tcBorders>
            <w:shd w:fill="1F5C99" w:val="clear"/>
            <w:tcMar>
              <w:top w:type="dxa" w:w="80"/>
              <w:left w:type="dxa" w:w="120"/>
              <w:bottom w:type="dxa" w:w="80"/>
              <w:right w:type="dxa" w:w="120"/>
            </w:tcMar>
          </w:tcPr>
          <w:p>
            <w:pPr>
              <w:spacing w:after="0"/>
            </w:pPr>
            <w:r>
              <w:rPr>
                <w:b/>
                <w:bCs/>
                <w:color w:val="FFFFFF"/>
              </w:rPr>
              <w:t xml:space="preserve">Purpose</w:t>
            </w:r>
          </w:p>
        </w:tc>
      </w:tr>
      <w:tr>
        <w:tc>
          <w:tcPr>
            <w:tcW w:type="dxa" w:w="234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app.py</w:t>
            </w:r>
          </w:p>
        </w:tc>
        <w:tc>
          <w:tcPr>
            <w:tcW w:type="dxa" w:w="351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root</w:t>
            </w:r>
          </w:p>
        </w:tc>
        <w:tc>
          <w:tcPr>
            <w:tcW w:type="dxa" w:w="351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Flask server, OANDA stream, Hyperliquid WS, alert endpoint, all API routes</w:t>
            </w:r>
          </w:p>
        </w:tc>
      </w:tr>
      <w:tr>
        <w:tc>
          <w:tcPr>
            <w:tcW w:type="dxa" w:w="234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data_source.py</w:t>
            </w:r>
          </w:p>
        </w:tc>
        <w:tc>
          <w:tcPr>
            <w:tcW w:type="dxa" w:w="351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root</w:t>
            </w:r>
          </w:p>
        </w:tc>
        <w:tc>
          <w:tcPr>
            <w:tcW w:type="dxa" w:w="351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Pluggable data layer — OANDA v20 REST, yfinance fallback, symbol normalisation</w:t>
            </w:r>
          </w:p>
        </w:tc>
      </w:tr>
      <w:tr>
        <w:tc>
          <w:tcPr>
            <w:tcW w:type="dxa" w:w="234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requirements.txt</w:t>
            </w:r>
          </w:p>
        </w:tc>
        <w:tc>
          <w:tcPr>
            <w:tcW w:type="dxa" w:w="351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root</w:t>
            </w:r>
          </w:p>
        </w:tc>
        <w:tc>
          <w:tcPr>
            <w:tcW w:type="dxa" w:w="351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Python dependencies</w:t>
            </w:r>
          </w:p>
        </w:tc>
      </w:tr>
      <w:tr>
        <w:tc>
          <w:tcPr>
            <w:tcW w:type="dxa" w:w="234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.env</w:t>
            </w:r>
          </w:p>
        </w:tc>
        <w:tc>
          <w:tcPr>
            <w:tcW w:type="dxa" w:w="351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root</w:t>
            </w:r>
          </w:p>
        </w:tc>
        <w:tc>
          <w:tcPr>
            <w:tcW w:type="dxa" w:w="351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OANDA and Telegram credentials (never commit this file)</w:t>
            </w:r>
          </w:p>
        </w:tc>
      </w:tr>
      <w:tr>
        <w:tc>
          <w:tcPr>
            <w:tcW w:type="dxa" w:w="234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.env.example</w:t>
            </w:r>
          </w:p>
        </w:tc>
        <w:tc>
          <w:tcPr>
            <w:tcW w:type="dxa" w:w="351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root</w:t>
            </w:r>
          </w:p>
        </w:tc>
        <w:tc>
          <w:tcPr>
            <w:tcW w:type="dxa" w:w="351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Credential template — safe to commit</w:t>
            </w:r>
          </w:p>
        </w:tc>
      </w:tr>
      <w:tr>
        <w:tc>
          <w:tcPr>
            <w:tcW w:type="dxa" w:w="234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index.html</w:t>
            </w:r>
          </w:p>
        </w:tc>
        <w:tc>
          <w:tcPr>
            <w:tcW w:type="dxa" w:w="351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templates/</w:t>
            </w:r>
          </w:p>
        </w:tc>
        <w:tc>
          <w:tcPr>
            <w:tcW w:type="dxa" w:w="351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Single-page shell — topbar, grid, flyouts, script tags</w:t>
            </w:r>
          </w:p>
        </w:tc>
      </w:tr>
      <w:tr>
        <w:tc>
          <w:tcPr>
            <w:tcW w:type="dxa" w:w="234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popout.html</w:t>
            </w:r>
          </w:p>
        </w:tc>
        <w:tc>
          <w:tcPr>
            <w:tcW w:type="dxa" w:w="351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templates/</w:t>
            </w:r>
          </w:p>
        </w:tc>
        <w:tc>
          <w:tcPr>
            <w:tcW w:type="dxa" w:w="351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Standalone chart window for multi-monitor popout</w:t>
            </w:r>
          </w:p>
        </w:tc>
      </w:tr>
      <w:tr>
        <w:tc>
          <w:tcPr>
            <w:tcW w:type="dxa" w:w="234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pine-converter.html</w:t>
            </w:r>
          </w:p>
        </w:tc>
        <w:tc>
          <w:tcPr>
            <w:tcW w:type="dxa" w:w="351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templates/</w:t>
            </w:r>
          </w:p>
        </w:tc>
        <w:tc>
          <w:tcPr>
            <w:tcW w:type="dxa" w:w="351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Pine Script → JS indicator converter tool</w:t>
            </w:r>
          </w:p>
        </w:tc>
      </w:tr>
      <w:tr>
        <w:tc>
          <w:tcPr>
            <w:tcW w:type="dxa" w:w="234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style.css</w:t>
            </w:r>
          </w:p>
        </w:tc>
        <w:tc>
          <w:tcPr>
            <w:tcW w:type="dxa" w:w="351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static/css/</w:t>
            </w:r>
          </w:p>
        </w:tc>
        <w:tc>
          <w:tcPr>
            <w:tcW w:type="dxa" w:w="351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All styling — dark/light theme, layout, pane, toolbar, panels, timezone picker</w:t>
            </w:r>
          </w:p>
        </w:tc>
      </w:tr>
      <w:tr>
        <w:tc>
          <w:tcPr>
            <w:tcW w:type="dxa" w:w="234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indicators.js</w:t>
            </w:r>
          </w:p>
        </w:tc>
        <w:tc>
          <w:tcPr>
            <w:tcW w:type="dxa" w:w="351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static/js/</w:t>
            </w:r>
          </w:p>
        </w:tc>
        <w:tc>
          <w:tcPr>
            <w:tcW w:type="dxa" w:w="351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All indicator maths (pure functions) — 27+ indicators</w:t>
            </w:r>
          </w:p>
        </w:tc>
      </w:tr>
      <w:tr>
        <w:tc>
          <w:tcPr>
            <w:tcW w:type="dxa" w:w="234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state_store.js</w:t>
            </w:r>
          </w:p>
        </w:tc>
        <w:tc>
          <w:tcPr>
            <w:tcW w:type="dxa" w:w="351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static/js/</w:t>
            </w:r>
          </w:p>
        </w:tc>
        <w:tc>
          <w:tcPr>
            <w:tcW w:type="dxa" w:w="351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localStorage persistence layer — drawings, indicators, fib levels</w:t>
            </w:r>
          </w:p>
        </w:tc>
      </w:tr>
      <w:tr>
        <w:tc>
          <w:tcPr>
            <w:tcW w:type="dxa" w:w="234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alert_engine.js</w:t>
            </w:r>
          </w:p>
        </w:tc>
        <w:tc>
          <w:tcPr>
            <w:tcW w:type="dxa" w:w="351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static/js/</w:t>
            </w:r>
          </w:p>
        </w:tc>
        <w:tc>
          <w:tcPr>
            <w:tcW w:type="dxa" w:w="351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Generic alert engine — browser notifications + Telegram</w:t>
            </w:r>
          </w:p>
        </w:tc>
      </w:tr>
      <w:tr>
        <w:tc>
          <w:tcPr>
            <w:tcW w:type="dxa" w:w="234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pane.js</w:t>
            </w:r>
          </w:p>
        </w:tc>
        <w:tc>
          <w:tcPr>
            <w:tcW w:type="dxa" w:w="351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static/js/</w:t>
            </w:r>
          </w:p>
        </w:tc>
        <w:tc>
          <w:tcPr>
            <w:tcW w:type="dxa" w:w="351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ChartPane class — chart init, data, drawings, indicators, state, alerts, timezone, bar spacing</w:t>
            </w:r>
          </w:p>
        </w:tc>
      </w:tr>
      <w:tr>
        <w:tc>
          <w:tcPr>
            <w:tcW w:type="dxa" w:w="234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app.js</w:t>
            </w:r>
          </w:p>
        </w:tc>
        <w:tc>
          <w:tcPr>
            <w:tcW w:type="dxa" w:w="351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static/js/</w:t>
            </w:r>
          </w:p>
        </w:tc>
        <w:tc>
          <w:tcPr>
            <w:tcW w:type="dxa" w:w="351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Orchestrator — grid, socket, flyouts, notes panel, layout persistence, timezone picker</w:t>
            </w:r>
          </w:p>
        </w:tc>
      </w:tr>
    </w:tbl>
    <w:p>
      <w:pPr>
        <w:spacing w:after="120"/>
      </w:pPr>
    </w:p>
    <w:p>
      <w:pPr>
        <w:pStyle w:val="Heading2"/>
        <w:spacing w:after="120" w:before="200"/>
      </w:pPr>
      <w:r>
        <w:rPr>
          <w:b/>
          <w:bCs/>
          <w:color w:val="2C3E50"/>
        </w:rPr>
        <w:t xml:space="preserve">9.2  Backend Routes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510"/>
        <w:gridCol w:w="3510"/>
      </w:tblGrid>
      <w:tr>
        <w:trPr>
          <w:tblHeader/>
        </w:trPr>
        <w:tc>
          <w:tcPr>
            <w:tcW w:type="dxa" w:w="2340"/>
            <w:tcBorders>
              <w:top w:val="single" w:color="CCCCCC" w:sz="1"/>
              <w:left w:val="single" w:color="CCCCCC" w:sz="1"/>
              <w:bottom w:val="single" w:color="CCCCCC" w:sz="1"/>
              <w:right w:val="single" w:color="CCCCCC" w:sz="1"/>
            </w:tcBorders>
            <w:shd w:fill="1F5C99" w:val="clear"/>
            <w:tcMar>
              <w:top w:type="dxa" w:w="80"/>
              <w:left w:type="dxa" w:w="120"/>
              <w:bottom w:type="dxa" w:w="80"/>
              <w:right w:type="dxa" w:w="120"/>
            </w:tcMar>
          </w:tcPr>
          <w:p>
            <w:pPr>
              <w:spacing w:after="0"/>
            </w:pPr>
            <w:r>
              <w:rPr>
                <w:b/>
                <w:bCs/>
                <w:color w:val="FFFFFF"/>
              </w:rPr>
              <w:t xml:space="preserve">Route</w:t>
            </w:r>
          </w:p>
        </w:tc>
        <w:tc>
          <w:tcPr>
            <w:tcW w:type="dxa" w:w="3510"/>
            <w:tcBorders>
              <w:top w:val="single" w:color="CCCCCC" w:sz="1"/>
              <w:left w:val="single" w:color="CCCCCC" w:sz="1"/>
              <w:bottom w:val="single" w:color="CCCCCC" w:sz="1"/>
              <w:right w:val="single" w:color="CCCCCC" w:sz="1"/>
            </w:tcBorders>
            <w:shd w:fill="1F5C99" w:val="clear"/>
            <w:tcMar>
              <w:top w:type="dxa" w:w="80"/>
              <w:left w:type="dxa" w:w="120"/>
              <w:bottom w:type="dxa" w:w="80"/>
              <w:right w:type="dxa" w:w="120"/>
            </w:tcMar>
          </w:tcPr>
          <w:p>
            <w:pPr>
              <w:spacing w:after="0"/>
            </w:pPr>
            <w:r>
              <w:rPr>
                <w:b/>
                <w:bCs/>
                <w:color w:val="FFFFFF"/>
              </w:rPr>
              <w:t xml:space="preserve">Method</w:t>
            </w:r>
          </w:p>
        </w:tc>
        <w:tc>
          <w:tcPr>
            <w:tcW w:type="dxa" w:w="3510"/>
            <w:tcBorders>
              <w:top w:val="single" w:color="CCCCCC" w:sz="1"/>
              <w:left w:val="single" w:color="CCCCCC" w:sz="1"/>
              <w:bottom w:val="single" w:color="CCCCCC" w:sz="1"/>
              <w:right w:val="single" w:color="CCCCCC" w:sz="1"/>
            </w:tcBorders>
            <w:shd w:fill="1F5C99" w:val="clear"/>
            <w:tcMar>
              <w:top w:type="dxa" w:w="80"/>
              <w:left w:type="dxa" w:w="120"/>
              <w:bottom w:type="dxa" w:w="80"/>
              <w:right w:type="dxa" w:w="120"/>
            </w:tcMar>
          </w:tcPr>
          <w:p>
            <w:pPr>
              <w:spacing w:after="0"/>
            </w:pPr>
            <w:r>
              <w:rPr>
                <w:b/>
                <w:bCs/>
                <w:color w:val="FFFFFF"/>
              </w:rPr>
              <w:t xml:space="preserve">Description</w:t>
            </w:r>
          </w:p>
        </w:tc>
      </w:tr>
      <w:tr>
        <w:tc>
          <w:tcPr>
            <w:tcW w:type="dxa" w:w="234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/api/candles</w:t>
            </w:r>
          </w:p>
        </w:tc>
        <w:tc>
          <w:tcPr>
            <w:tcW w:type="dxa" w:w="351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GET</w:t>
            </w:r>
          </w:p>
        </w:tc>
        <w:tc>
          <w:tcPr>
            <w:tcW w:type="dxa" w:w="351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Returns candle data. Params: symbol, interval, limit, source</w:t>
            </w:r>
          </w:p>
        </w:tc>
      </w:tr>
      <w:tr>
        <w:tc>
          <w:tcPr>
            <w:tcW w:type="dxa" w:w="234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/api/alert</w:t>
            </w:r>
          </w:p>
        </w:tc>
        <w:tc>
          <w:tcPr>
            <w:tcW w:type="dxa" w:w="351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POST</w:t>
            </w:r>
          </w:p>
        </w:tc>
        <w:tc>
          <w:tcPr>
            <w:tcW w:type="dxa" w:w="351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Receives alert payload from frontend, sends Telegram message</w:t>
            </w:r>
          </w:p>
        </w:tc>
      </w:tr>
      <w:tr>
        <w:tc>
          <w:tcPr>
            <w:tcW w:type="dxa" w:w="234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/api/symbols/forex</w:t>
            </w:r>
          </w:p>
        </w:tc>
        <w:tc>
          <w:tcPr>
            <w:tcW w:type="dxa" w:w="351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GET</w:t>
            </w:r>
          </w:p>
        </w:tc>
        <w:tc>
          <w:tcPr>
            <w:tcW w:type="dxa" w:w="351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Returns the full forex/metals/indices pair list</w:t>
            </w:r>
          </w:p>
        </w:tc>
      </w:tr>
      <w:tr>
        <w:tc>
          <w:tcPr>
            <w:tcW w:type="dxa" w:w="234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/api/symbols/hyperliquid</w:t>
            </w:r>
          </w:p>
        </w:tc>
        <w:tc>
          <w:tcPr>
            <w:tcW w:type="dxa" w:w="351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GET</w:t>
            </w:r>
          </w:p>
        </w:tc>
        <w:tc>
          <w:tcPr>
            <w:tcW w:type="dxa" w:w="351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Fetches live list of Hyperliquid perp symbols</w:t>
            </w:r>
          </w:p>
        </w:tc>
      </w:tr>
      <w:tr>
        <w:tc>
          <w:tcPr>
            <w:tcW w:type="dxa" w:w="234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/api/config</w:t>
            </w:r>
          </w:p>
        </w:tc>
        <w:tc>
          <w:tcPr>
            <w:tcW w:type="dxa" w:w="351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GET</w:t>
            </w:r>
          </w:p>
        </w:tc>
        <w:tc>
          <w:tcPr>
            <w:tcW w:type="dxa" w:w="351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Returns active data source and key presence status</w:t>
            </w:r>
          </w:p>
        </w:tc>
      </w:tr>
      <w:tr>
        <w:tc>
          <w:tcPr>
            <w:tcW w:type="dxa" w:w="234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/popout</w:t>
            </w:r>
          </w:p>
        </w:tc>
        <w:tc>
          <w:tcPr>
            <w:tcW w:type="dxa" w:w="351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GET</w:t>
            </w:r>
          </w:p>
        </w:tc>
        <w:tc>
          <w:tcPr>
            <w:tcW w:type="dxa" w:w="351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Serves standalone chart window. Params: symbol, interval, source</w:t>
            </w:r>
          </w:p>
        </w:tc>
      </w:tr>
      <w:tr>
        <w:tc>
          <w:tcPr>
            <w:tcW w:type="dxa" w:w="234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/debug</w:t>
            </w:r>
          </w:p>
        </w:tc>
        <w:tc>
          <w:tcPr>
            <w:tcW w:type="dxa" w:w="351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GET</w:t>
            </w:r>
          </w:p>
        </w:tc>
        <w:tc>
          <w:tcPr>
            <w:tcW w:type="dxa" w:w="351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Health check — fetches sample candles and returns JSON</w:t>
            </w:r>
          </w:p>
        </w:tc>
      </w:tr>
      <w:tr>
        <w:tc>
          <w:tcPr>
            <w:tcW w:type="dxa" w:w="234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/tools/pine-converter</w:t>
            </w:r>
          </w:p>
        </w:tc>
        <w:tc>
          <w:tcPr>
            <w:tcW w:type="dxa" w:w="351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GET</w:t>
            </w:r>
          </w:p>
        </w:tc>
        <w:tc>
          <w:tcPr>
            <w:tcW w:type="dxa" w:w="351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Serves the Pine Script → JS converter tool</w:t>
            </w:r>
          </w:p>
        </w:tc>
      </w:tr>
    </w:tbl>
    <w:p>
      <w:pPr>
        <w:spacing w:after="120"/>
      </w:pPr>
    </w:p>
    <w:p>
      <w:pPr>
        <w:pStyle w:val="Heading2"/>
        <w:spacing w:after="120" w:before="200"/>
      </w:pPr>
      <w:r>
        <w:rPr>
          <w:b/>
          <w:bCs/>
          <w:color w:val="2C3E50"/>
        </w:rPr>
        <w:t xml:space="preserve">9.3  Alert Architecture</w:t>
      </w:r>
    </w:p>
    <w:p>
      <w:pPr>
        <w:spacing w:after="100"/>
      </w:pPr>
      <w:r>
        <w:t xml:space="preserve">The alert system is designed to be generic and extensible. All alert types funnel through a single AlertEngine.trigger(payload) call: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5C99" w:sz="8"/>
              <w:bottom w:val="single" w:color="CCCCCC" w:sz="1"/>
              <w:right w:val="none" w:color="FFFFFF" w:sz="0"/>
            </w:tcBorders>
            <w:shd w:fill="F4F7FB" w:val="clear"/>
            <w:tcMar>
              <w:top w:type="dxa" w:w="100"/>
              <w:left w:type="dxa" w:w="180"/>
              <w:bottom w:type="dxa" w:w="100"/>
              <w:right w:type="dxa" w:w="180"/>
            </w:tcMar>
          </w:tcPr>
          <w:p>
            <w:pPr>
              <w:spacing w:after="0"/>
            </w:pPr>
            <w:r>
              <w:rPr>
                <w:rFonts w:ascii="Courier New" w:cs="Courier New" w:eastAsia="Courier New" w:hAnsi="Courier New"/>
                <w:color w:val="2C2C2C"/>
                <w:sz w:val="18"/>
                <w:szCs w:val="18"/>
              </w:rPr>
              <w:t xml:space="preserve">AlertEngine.trigger({</w:t>
            </w:r>
          </w:p>
          <w:p>
            <w:pPr>
              <w:spacing w:after="0"/>
            </w:pPr>
            <w:r>
              <w:rPr>
                <w:rFonts w:ascii="Courier New" w:cs="Courier New" w:eastAsia="Courier New" w:hAnsi="Courier New"/>
                <w:color w:val="2C2C2C"/>
                <w:sz w:val="18"/>
                <w:szCs w:val="18"/>
              </w:rPr>
              <w:t xml:space="preserve">  symbol:    "EUR/USD",</w:t>
            </w:r>
          </w:p>
          <w:p>
            <w:pPr>
              <w:spacing w:after="0"/>
            </w:pPr>
            <w:r>
              <w:rPr>
                <w:rFonts w:ascii="Courier New" w:cs="Courier New" w:eastAsia="Courier New" w:hAnsi="Courier New"/>
                <w:color w:val="2C2C2C"/>
                <w:sz w:val="18"/>
                <w:szCs w:val="18"/>
              </w:rPr>
              <w:t xml:space="preserve">  interval:  "15m",</w:t>
            </w:r>
          </w:p>
          <w:p>
            <w:pPr>
              <w:spacing w:after="0"/>
            </w:pPr>
            <w:r>
              <w:rPr>
                <w:rFonts w:ascii="Courier New" w:cs="Courier New" w:eastAsia="Courier New" w:hAnsi="Courier New"/>
                <w:color w:val="2C2C2C"/>
                <w:sz w:val="18"/>
                <w:szCs w:val="18"/>
              </w:rPr>
              <w:t xml:space="preserve">  type:      "price_cross",   // future: "rsi_cross", "bb_breach"</w:t>
            </w:r>
          </w:p>
          <w:p>
            <w:pPr>
              <w:spacing w:after="0"/>
            </w:pPr>
            <w:r>
              <w:rPr>
                <w:rFonts w:ascii="Courier New" w:cs="Courier New" w:eastAsia="Courier New" w:hAnsi="Courier New"/>
                <w:color w:val="2C2C2C"/>
                <w:sz w:val="18"/>
                <w:szCs w:val="18"/>
              </w:rPr>
              <w:t xml:space="preserve">  direction: "above",         // "below"</w:t>
            </w:r>
          </w:p>
          <w:p>
            <w:pPr>
              <w:spacing w:after="0"/>
            </w:pPr>
            <w:r>
              <w:rPr>
                <w:rFonts w:ascii="Courier New" w:cs="Courier New" w:eastAsia="Courier New" w:hAnsi="Courier New"/>
                <w:color w:val="2C2C2C"/>
                <w:sz w:val="18"/>
                <w:szCs w:val="18"/>
              </w:rPr>
              <w:t xml:space="preserve">  level:     1.0850,</w:t>
            </w:r>
          </w:p>
          <w:p>
            <w:pPr>
              <w:spacing w:after="0"/>
            </w:pPr>
            <w:r>
              <w:rPr>
                <w:rFonts w:ascii="Courier New" w:cs="Courier New" w:eastAsia="Courier New" w:hAnsi="Courier New"/>
                <w:color w:val="2C2C2C"/>
                <w:sz w:val="18"/>
                <w:szCs w:val="18"/>
              </w:rPr>
              <w:t xml:space="preserve">  current:   1.0852,</w:t>
            </w:r>
          </w:p>
          <w:p>
            <w:pPr>
              <w:spacing w:after="0"/>
            </w:pPr>
            <w:r>
              <w:rPr>
                <w:rFonts w:ascii="Courier New" w:cs="Courier New" w:eastAsia="Courier New" w:hAnsi="Courier New"/>
                <w:color w:val="2C2C2C"/>
                <w:sz w:val="18"/>
                <w:szCs w:val="18"/>
              </w:rPr>
              <w:t xml:space="preserve">  label:     "Horizontal Line",</w:t>
            </w:r>
          </w:p>
          <w:p>
            <w:pPr>
              <w:spacing w:after="0"/>
            </w:pPr>
            <w:r>
              <w:rPr>
                <w:rFonts w:ascii="Courier New" w:cs="Courier New" w:eastAsia="Courier New" w:hAnsi="Courier New"/>
                <w:color w:val="2C2C2C"/>
                <w:sz w:val="18"/>
                <w:szCs w:val="18"/>
              </w:rPr>
              <w:t xml:space="preserve">});</w:t>
            </w:r>
          </w:p>
        </w:tc>
      </w:tr>
    </w:tbl>
    <w:p>
      <w:pPr>
        <w:spacing w:after="80"/>
      </w:pPr>
    </w:p>
    <w:p>
      <w:pPr>
        <w:spacing w:after="100"/>
      </w:pPr>
      <w:r>
        <w:t xml:space="preserve">The engine handles browser notifications and the Telegram POST in parallel. A 60-second per-level cooldown prevents spam. Adding new alert types requires only calling trigger() with the appropriate payload — no changes to the engine.</w:t>
      </w:r>
    </w:p>
    <w:p>
      <w:pPr>
        <w:spacing w:after="120"/>
      </w:pPr>
    </w:p>
    <w:p>
      <w:pPr>
        <w:pStyle w:val="Heading2"/>
        <w:spacing w:after="120" w:before="200"/>
      </w:pPr>
      <w:r>
        <w:rPr>
          <w:b/>
          <w:bCs/>
          <w:color w:val="2C3E50"/>
        </w:rPr>
        <w:t xml:space="preserve">9.4  Drawing Tool Architecture</w:t>
      </w:r>
    </w:p>
    <w:p>
      <w:pPr>
        <w:spacing w:after="100"/>
      </w:pPr>
      <w:r>
        <w:t xml:space="preserve">Drawing tools use two rendering approaches:</w:t>
      </w:r>
    </w:p>
    <w:p>
      <w:pPr>
        <w:pStyle w:val="ListParagraph"/>
        <w:numPr>
          <w:ilvl w:val="0"/>
          <w:numId w:val="2"/>
        </w:numPr>
        <w:spacing w:after="60"/>
      </w:pPr>
      <w:r>
        <w:rPr>
          <w:b/>
          <w:bCs/>
        </w:rPr>
        <w:t xml:space="preserve">Series-based: </w:t>
      </w:r>
      <w:r>
        <w:t xml:space="preserve">Lightweight Charts line series (Fibonacci, indicator overlays) — scale and scroll automatically.</w:t>
      </w:r>
    </w:p>
    <w:p>
      <w:pPr>
        <w:pStyle w:val="ListParagraph"/>
        <w:numPr>
          <w:ilvl w:val="0"/>
          <w:numId w:val="2"/>
        </w:numPr>
        <w:spacing w:after="60"/>
      </w:pPr>
      <w:r>
        <w:rPr>
          <w:b/>
          <w:bCs/>
        </w:rPr>
        <w:t xml:space="preserve">Canvas overlays: </w:t>
      </w:r>
      <w:r>
        <w:t xml:space="preserve">Transparent canvas elements layered over the chart div (trendlines, hlines, vlines, positions, S/D zones, order blocks). Redrawn on every scroll, zoom, and crosshair move using price/time to pixel coordinate conversion.</w:t>
      </w:r>
    </w:p>
    <w:p>
      <w:pPr>
        <w:spacing w:after="120"/>
      </w:pPr>
    </w:p>
    <w:p>
      <w:pPr>
        <w:pStyle w:val="Heading2"/>
        <w:spacing w:after="120" w:before="200"/>
      </w:pPr>
      <w:r>
        <w:rPr>
          <w:b/>
          <w:bCs/>
          <w:color w:val="2C3E50"/>
        </w:rPr>
        <w:t xml:space="preserve">9.5  Canvas Layer Z-Index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510"/>
        <w:gridCol w:w="3510"/>
      </w:tblGrid>
      <w:tr>
        <w:trPr>
          <w:tblHeader/>
        </w:trPr>
        <w:tc>
          <w:tcPr>
            <w:tcW w:type="dxa" w:w="2340"/>
            <w:tcBorders>
              <w:top w:val="single" w:color="CCCCCC" w:sz="1"/>
              <w:left w:val="single" w:color="CCCCCC" w:sz="1"/>
              <w:bottom w:val="single" w:color="CCCCCC" w:sz="1"/>
              <w:right w:val="single" w:color="CCCCCC" w:sz="1"/>
            </w:tcBorders>
            <w:shd w:fill="1F5C99" w:val="clear"/>
            <w:tcMar>
              <w:top w:type="dxa" w:w="80"/>
              <w:left w:type="dxa" w:w="120"/>
              <w:bottom w:type="dxa" w:w="80"/>
              <w:right w:type="dxa" w:w="120"/>
            </w:tcMar>
          </w:tcPr>
          <w:p>
            <w:pPr>
              <w:spacing w:after="0"/>
            </w:pPr>
            <w:r>
              <w:rPr>
                <w:b/>
                <w:bCs/>
                <w:color w:val="FFFFFF"/>
              </w:rPr>
              <w:t xml:space="preserve">Canvas</w:t>
            </w:r>
          </w:p>
        </w:tc>
        <w:tc>
          <w:tcPr>
            <w:tcW w:type="dxa" w:w="3510"/>
            <w:tcBorders>
              <w:top w:val="single" w:color="CCCCCC" w:sz="1"/>
              <w:left w:val="single" w:color="CCCCCC" w:sz="1"/>
              <w:bottom w:val="single" w:color="CCCCCC" w:sz="1"/>
              <w:right w:val="single" w:color="CCCCCC" w:sz="1"/>
            </w:tcBorders>
            <w:shd w:fill="1F5C99" w:val="clear"/>
            <w:tcMar>
              <w:top w:type="dxa" w:w="80"/>
              <w:left w:type="dxa" w:w="120"/>
              <w:bottom w:type="dxa" w:w="80"/>
              <w:right w:type="dxa" w:w="120"/>
            </w:tcMar>
          </w:tcPr>
          <w:p>
            <w:pPr>
              <w:spacing w:after="0"/>
            </w:pPr>
            <w:r>
              <w:rPr>
                <w:b/>
                <w:bCs/>
                <w:color w:val="FFFFFF"/>
              </w:rPr>
              <w:t xml:space="preserve">Z-Index</w:t>
            </w:r>
          </w:p>
        </w:tc>
        <w:tc>
          <w:tcPr>
            <w:tcW w:type="dxa" w:w="3510"/>
            <w:tcBorders>
              <w:top w:val="single" w:color="CCCCCC" w:sz="1"/>
              <w:left w:val="single" w:color="CCCCCC" w:sz="1"/>
              <w:bottom w:val="single" w:color="CCCCCC" w:sz="1"/>
              <w:right w:val="single" w:color="CCCCCC" w:sz="1"/>
            </w:tcBorders>
            <w:shd w:fill="1F5C99" w:val="clear"/>
            <w:tcMar>
              <w:top w:type="dxa" w:w="80"/>
              <w:left w:type="dxa" w:w="120"/>
              <w:bottom w:type="dxa" w:w="80"/>
              <w:right w:type="dxa" w:w="120"/>
            </w:tcMar>
          </w:tcPr>
          <w:p>
            <w:pPr>
              <w:spacing w:after="0"/>
            </w:pPr>
            <w:r>
              <w:rPr>
                <w:b/>
                <w:bCs/>
                <w:color w:val="FFFFFF"/>
              </w:rPr>
              <w:t xml:space="preserve">Contents</w:t>
            </w:r>
          </w:p>
        </w:tc>
      </w:tr>
      <w:tr>
        <w:tc>
          <w:tcPr>
            <w:tcW w:type="dxa" w:w="234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_posCanvas</w:t>
            </w:r>
          </w:p>
        </w:tc>
        <w:tc>
          <w:tcPr>
            <w:tcW w:type="dxa" w:w="351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6</w:t>
            </w:r>
          </w:p>
        </w:tc>
        <w:tc>
          <w:tcPr>
            <w:tcW w:type="dxa" w:w="351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Long/Short position blocks with TP/SL zones and risk calculator</w:t>
            </w:r>
          </w:p>
        </w:tc>
      </w:tr>
      <w:tr>
        <w:tc>
          <w:tcPr>
            <w:tcW w:type="dxa" w:w="234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_sdCanvas</w:t>
            </w:r>
          </w:p>
        </w:tc>
        <w:tc>
          <w:tcPr>
            <w:tcW w:type="dxa" w:w="351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7</w:t>
            </w:r>
          </w:p>
        </w:tc>
        <w:tc>
          <w:tcPr>
            <w:tcW w:type="dxa" w:w="351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S/D Zones &amp; Auto Fib overlay</w:t>
            </w:r>
          </w:p>
        </w:tc>
      </w:tr>
      <w:tr>
        <w:tc>
          <w:tcPr>
            <w:tcW w:type="dxa" w:w="234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_obCanvas</w:t>
            </w:r>
          </w:p>
        </w:tc>
        <w:tc>
          <w:tcPr>
            <w:tcW w:type="dxa" w:w="351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8</w:t>
            </w:r>
          </w:p>
        </w:tc>
        <w:tc>
          <w:tcPr>
            <w:tcW w:type="dxa" w:w="351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Order Blocks overlay (bearish gold, bullish green, BOS lines)</w:t>
            </w:r>
          </w:p>
        </w:tc>
      </w:tr>
      <w:tr>
        <w:tc>
          <w:tcPr>
            <w:tcW w:type="dxa" w:w="234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_trendCanvas</w:t>
            </w:r>
          </w:p>
        </w:tc>
        <w:tc>
          <w:tcPr>
            <w:tcW w:type="dxa" w:w="351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9</w:t>
            </w:r>
          </w:p>
        </w:tc>
        <w:tc>
          <w:tcPr>
            <w:tcW w:type="dxa" w:w="351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Trendlines, horizontal lines, vertical lines</w:t>
            </w:r>
          </w:p>
        </w:tc>
      </w:tr>
    </w:tbl>
    <w:p>
      <w:pPr>
        <w:spacing w:after="120"/>
      </w:pPr>
    </w:p>
    <w:p>
      <w:pPr>
        <w:pStyle w:val="Heading2"/>
        <w:spacing w:after="120" w:before="200"/>
      </w:pPr>
      <w:r>
        <w:rPr>
          <w:b/>
          <w:bCs/>
          <w:color w:val="2C3E50"/>
        </w:rPr>
        <w:t xml:space="preserve">9.6  Timezone Implementation Notes</w:t>
      </w:r>
    </w:p>
    <w:p>
      <w:pPr>
        <w:spacing w:after="100"/>
      </w:pPr>
      <w:r>
        <w:t xml:space="preserve">LightweightCharts v4 has two separate timezone controls — using the wrong one causes axis/crosshair mismatch: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510"/>
        <w:gridCol w:w="3510"/>
      </w:tblGrid>
      <w:tr>
        <w:trPr>
          <w:tblHeader/>
        </w:trPr>
        <w:tc>
          <w:tcPr>
            <w:tcW w:type="dxa" w:w="2340"/>
            <w:tcBorders>
              <w:top w:val="single" w:color="CCCCCC" w:sz="1"/>
              <w:left w:val="single" w:color="CCCCCC" w:sz="1"/>
              <w:bottom w:val="single" w:color="CCCCCC" w:sz="1"/>
              <w:right w:val="single" w:color="CCCCCC" w:sz="1"/>
            </w:tcBorders>
            <w:shd w:fill="1F5C99" w:val="clear"/>
            <w:tcMar>
              <w:top w:type="dxa" w:w="80"/>
              <w:left w:type="dxa" w:w="120"/>
              <w:bottom w:type="dxa" w:w="80"/>
              <w:right w:type="dxa" w:w="120"/>
            </w:tcMar>
          </w:tcPr>
          <w:p>
            <w:pPr>
              <w:spacing w:after="0"/>
            </w:pPr>
            <w:r>
              <w:rPr>
                <w:b/>
                <w:bCs/>
                <w:color w:val="FFFFFF"/>
              </w:rPr>
              <w:t xml:space="preserve">Surface</w:t>
            </w:r>
          </w:p>
        </w:tc>
        <w:tc>
          <w:tcPr>
            <w:tcW w:type="dxa" w:w="3510"/>
            <w:tcBorders>
              <w:top w:val="single" w:color="CCCCCC" w:sz="1"/>
              <w:left w:val="single" w:color="CCCCCC" w:sz="1"/>
              <w:bottom w:val="single" w:color="CCCCCC" w:sz="1"/>
              <w:right w:val="single" w:color="CCCCCC" w:sz="1"/>
            </w:tcBorders>
            <w:shd w:fill="1F5C99" w:val="clear"/>
            <w:tcMar>
              <w:top w:type="dxa" w:w="80"/>
              <w:left w:type="dxa" w:w="120"/>
              <w:bottom w:type="dxa" w:w="80"/>
              <w:right w:type="dxa" w:w="120"/>
            </w:tcMar>
          </w:tcPr>
          <w:p>
            <w:pPr>
              <w:spacing w:after="0"/>
            </w:pPr>
            <w:r>
              <w:rPr>
                <w:b/>
                <w:bCs/>
                <w:color w:val="FFFFFF"/>
              </w:rPr>
              <w:t xml:space="preserve">API</w:t>
            </w:r>
          </w:p>
        </w:tc>
        <w:tc>
          <w:tcPr>
            <w:tcW w:type="dxa" w:w="3510"/>
            <w:tcBorders>
              <w:top w:val="single" w:color="CCCCCC" w:sz="1"/>
              <w:left w:val="single" w:color="CCCCCC" w:sz="1"/>
              <w:bottom w:val="single" w:color="CCCCCC" w:sz="1"/>
              <w:right w:val="single" w:color="CCCCCC" w:sz="1"/>
            </w:tcBorders>
            <w:shd w:fill="1F5C99" w:val="clear"/>
            <w:tcMar>
              <w:top w:type="dxa" w:w="80"/>
              <w:left w:type="dxa" w:w="120"/>
              <w:bottom w:type="dxa" w:w="80"/>
              <w:right w:type="dxa" w:w="120"/>
            </w:tcMar>
          </w:tcPr>
          <w:p>
            <w:pPr>
              <w:spacing w:after="0"/>
            </w:pPr>
            <w:r>
              <w:rPr>
                <w:b/>
                <w:bCs/>
                <w:color w:val="FFFFFF"/>
              </w:rPr>
              <w:t xml:space="preserve">Controls</w:t>
            </w:r>
          </w:p>
        </w:tc>
      </w:tr>
      <w:tr>
        <w:tc>
          <w:tcPr>
            <w:tcW w:type="dxa" w:w="234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Bottom axis labels</w:t>
            </w:r>
          </w:p>
        </w:tc>
        <w:tc>
          <w:tcPr>
            <w:tcW w:type="dxa" w:w="351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timeScale().applyOptions({ tickMarkFormatter })</w:t>
            </w:r>
          </w:p>
        </w:tc>
        <w:tc>
          <w:tcPr>
            <w:tcW w:type="dxa" w:w="351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Year/Month/Day/Time tick labels</w:t>
            </w:r>
          </w:p>
        </w:tc>
      </w:tr>
      <w:tr>
        <w:tc>
          <w:tcPr>
            <w:tcW w:type="dxa" w:w="234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Crosshair tooltip</w:t>
            </w:r>
          </w:p>
        </w:tc>
        <w:tc>
          <w:tcPr>
            <w:tcW w:type="dxa" w:w="351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chart.applyOptions({ localization: { timeFormatter } })</w:t>
            </w:r>
          </w:p>
        </w:tc>
        <w:tc>
          <w:tcPr>
            <w:tcW w:type="dxa" w:w="351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Crosshair time display</w:t>
            </w:r>
          </w:p>
        </w:tc>
      </w:tr>
      <w:tr>
        <w:tc>
          <w:tcPr>
            <w:tcW w:type="dxa" w:w="234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Pane ticker time</w:t>
            </w:r>
          </w:p>
        </w:tc>
        <w:tc>
          <w:tcPr>
            <w:tcW w:type="dxa" w:w="351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toLocaleString() with saved tz</w:t>
            </w:r>
          </w:p>
        </w:tc>
        <w:tc>
          <w:tcPr>
            <w:tcW w:type="dxa" w:w="351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Ticker bar timestamp in pane toolbar</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AF0F7" w:val="clear"/>
            <w:tcMar>
              <w:top w:type="dxa" w:w="120"/>
              <w:left w:type="dxa" w:w="180"/>
              <w:bottom w:type="dxa" w:w="120"/>
              <w:right w:type="dxa" w:w="180"/>
            </w:tcMar>
          </w:tcPr>
          <w:p>
            <w:pPr>
              <w:spacing w:after="0"/>
            </w:pPr>
            <w:r>
              <w:rPr>
                <w:i/>
                <w:iCs/>
                <w:color w:val="555555"/>
              </w:rPr>
              <w:t xml:space="preserve">Do NOT shift timestamps to implement timezone. Shifting causes a mismatch between axis and crosshair because the axis applies the browser's local offset on top of any shift. Use tickMarkFormatter and timeFormatter only — they receive raw UTC timestamps and format in the target timezone via Intl.</w:t>
            </w:r>
          </w:p>
        </w:tc>
      </w:tr>
    </w:tbl>
    <w:p>
      <w:r>
        <w:br w:type="page"/>
      </w:r>
    </w:p>
    <w:p>
      <w:pPr>
        <w:pStyle w:val="Heading1"/>
        <w:spacing w:after="120" w:before="320"/>
      </w:pPr>
      <w:r>
        <w:rPr>
          <w:b/>
          <w:bCs/>
          <w:color w:val="0F1923"/>
        </w:rPr>
        <w:t xml:space="preserve">10.  Customisation &amp; Extension</w:t>
      </w:r>
    </w:p>
    <w:p>
      <w:pPr>
        <w:pStyle w:val="Heading2"/>
        <w:spacing w:after="120" w:before="200"/>
      </w:pPr>
      <w:r>
        <w:rPr>
          <w:b/>
          <w:bCs/>
          <w:color w:val="2C3E50"/>
        </w:rPr>
        <w:t xml:space="preserve">10.1  Adding a Custom Data Source</w:t>
      </w:r>
    </w:p>
    <w:p>
      <w:pPr>
        <w:pStyle w:val="ListParagraph"/>
        <w:numPr>
          <w:ilvl w:val="0"/>
          <w:numId w:val="2"/>
        </w:numPr>
        <w:spacing w:after="60"/>
      </w:pPr>
      <w:r>
        <w:t xml:space="preserve">Open </w:t>
      </w:r>
      <w:r>
        <w:rPr>
          <w:rFonts w:ascii="Courier New" w:cs="Courier New" w:eastAsia="Courier New" w:hAnsi="Courier New"/>
          <w:color w:val="2C2C2C"/>
          <w:sz w:val="18"/>
          <w:szCs w:val="18"/>
        </w:rPr>
        <w:t xml:space="preserve">data_source.py</w:t>
      </w:r>
    </w:p>
    <w:p>
      <w:pPr>
        <w:pStyle w:val="ListParagraph"/>
        <w:numPr>
          <w:ilvl w:val="0"/>
          <w:numId w:val="2"/>
        </w:numPr>
        <w:spacing w:after="60"/>
      </w:pPr>
      <w:r>
        <w:t xml:space="preserve">Implement </w:t>
      </w:r>
      <w:r>
        <w:rPr>
          <w:rFonts w:ascii="Courier New" w:cs="Courier New" w:eastAsia="Courier New" w:hAnsi="Courier New"/>
          <w:color w:val="2C2C2C"/>
          <w:sz w:val="18"/>
          <w:szCs w:val="18"/>
        </w:rPr>
        <w:t xml:space="preserve">get_candles(symbol, interval, limit)</w:t>
      </w:r>
      <w:r>
        <w:t xml:space="preserve"> → list of {time, open, high, low, close, volume} dicts</w:t>
      </w:r>
    </w:p>
    <w:p>
      <w:pPr>
        <w:pStyle w:val="ListParagraph"/>
        <w:numPr>
          <w:ilvl w:val="0"/>
          <w:numId w:val="2"/>
        </w:numPr>
        <w:spacing w:after="60"/>
      </w:pPr>
      <w:r>
        <w:t xml:space="preserve">Implement </w:t>
      </w:r>
      <w:r>
        <w:rPr>
          <w:rFonts w:ascii="Courier New" w:cs="Courier New" w:eastAsia="Courier New" w:hAnsi="Courier New"/>
          <w:color w:val="2C2C2C"/>
          <w:sz w:val="18"/>
          <w:szCs w:val="18"/>
        </w:rPr>
        <w:t xml:space="preserve">get_price(symbol)</w:t>
      </w:r>
      <w:r>
        <w:t xml:space="preserve"> → {symbol, price, change, change_pct} dict</w:t>
      </w:r>
    </w:p>
    <w:p>
      <w:pPr>
        <w:pStyle w:val="ListParagraph"/>
        <w:numPr>
          <w:ilvl w:val="0"/>
          <w:numId w:val="2"/>
        </w:numPr>
        <w:spacing w:after="60"/>
      </w:pPr>
      <w:r>
        <w:t xml:space="preserve">Add your source name to the SOURCES dict at the top of the file</w:t>
      </w:r>
    </w:p>
    <w:p>
      <w:pPr>
        <w:pStyle w:val="ListParagraph"/>
        <w:numPr>
          <w:ilvl w:val="0"/>
          <w:numId w:val="2"/>
        </w:numPr>
        <w:spacing w:after="60"/>
      </w:pPr>
      <w:r>
        <w:t xml:space="preserve">Set ACTIVE_FOREX_SOURCE to your source name</w:t>
      </w:r>
    </w:p>
    <w:p>
      <w:pPr>
        <w:spacing w:after="80"/>
      </w:pPr>
    </w:p>
    <w:p>
      <w:pPr>
        <w:spacing w:after="100"/>
      </w:pPr>
      <w:r>
        <w:t xml:space="preserve">The frontend will automatically use your source when selected from the pane source dropdown.</w:t>
      </w:r>
    </w:p>
    <w:p>
      <w:pPr>
        <w:spacing w:after="120"/>
      </w:pPr>
    </w:p>
    <w:p>
      <w:pPr>
        <w:pStyle w:val="Heading2"/>
        <w:spacing w:after="120" w:before="200"/>
      </w:pPr>
      <w:r>
        <w:rPr>
          <w:b/>
          <w:bCs/>
          <w:color w:val="2C3E50"/>
        </w:rPr>
        <w:t xml:space="preserve">10.2  Adding a New Indicator</w:t>
      </w:r>
    </w:p>
    <w:p>
      <w:pPr>
        <w:pStyle w:val="ListParagraph"/>
        <w:numPr>
          <w:ilvl w:val="0"/>
          <w:numId w:val="2"/>
        </w:numPr>
        <w:spacing w:after="60"/>
      </w:pPr>
      <w:r>
        <w:t xml:space="preserve">Add the calculation function to </w:t>
      </w:r>
      <w:r>
        <w:rPr>
          <w:rFonts w:ascii="Courier New" w:cs="Courier New" w:eastAsia="Courier New" w:hAnsi="Courier New"/>
          <w:color w:val="2C2C2C"/>
          <w:sz w:val="18"/>
          <w:szCs w:val="18"/>
        </w:rPr>
        <w:t xml:space="preserve">indicators.js</w:t>
      </w:r>
      <w:r>
        <w:t xml:space="preserve"> inside the Indicators object</w:t>
      </w:r>
    </w:p>
    <w:p>
      <w:pPr>
        <w:pStyle w:val="ListParagraph"/>
        <w:numPr>
          <w:ilvl w:val="0"/>
          <w:numId w:val="2"/>
        </w:numPr>
        <w:spacing w:after="60"/>
      </w:pPr>
      <w:r>
        <w:t xml:space="preserve">Add a definition entry to INDICATOR_DEFS in </w:t>
      </w:r>
      <w:r>
        <w:rPr>
          <w:rFonts w:ascii="Courier New" w:cs="Courier New" w:eastAsia="Courier New" w:hAnsi="Courier New"/>
          <w:color w:val="2C2C2C"/>
          <w:sz w:val="18"/>
          <w:szCs w:val="18"/>
        </w:rPr>
        <w:t xml:space="preserve">pane.js</w:t>
      </w:r>
      <w:r>
        <w:t xml:space="preserve">: { id, label, color, type }</w:t>
      </w:r>
    </w:p>
    <w:p>
      <w:pPr>
        <w:pStyle w:val="ListParagraph"/>
        <w:numPr>
          <w:ilvl w:val="0"/>
          <w:numId w:val="2"/>
        </w:numPr>
        <w:spacing w:after="60"/>
      </w:pPr>
      <w:r>
        <w:t xml:space="preserve">Add a case to </w:t>
      </w:r>
      <w:r>
        <w:rPr>
          <w:rFonts w:ascii="Courier New" w:cs="Courier New" w:eastAsia="Courier New" w:hAnsi="Courier New"/>
          <w:color w:val="2C2C2C"/>
          <w:sz w:val="18"/>
          <w:szCs w:val="18"/>
        </w:rPr>
        <w:t xml:space="preserve">_addIndicator()</w:t>
      </w:r>
      <w:r>
        <w:t xml:space="preserve"> in pane.js calling your function</w:t>
      </w:r>
    </w:p>
    <w:p>
      <w:pPr>
        <w:pStyle w:val="ListParagraph"/>
        <w:numPr>
          <w:ilvl w:val="0"/>
          <w:numId w:val="2"/>
        </w:numPr>
        <w:spacing w:after="60"/>
      </w:pPr>
      <w:r>
        <w:t xml:space="preserve">Use type </w:t>
      </w:r>
      <w:r>
        <w:rPr>
          <w:rFonts w:ascii="Courier New" w:cs="Courier New" w:eastAsia="Courier New" w:hAnsi="Courier New"/>
          <w:color w:val="2C2C2C"/>
          <w:sz w:val="18"/>
          <w:szCs w:val="18"/>
        </w:rPr>
        <w:t xml:space="preserve">"overlay"</w:t>
      </w:r>
      <w:r>
        <w:t xml:space="preserve"> for main chart, </w:t>
      </w:r>
      <w:r>
        <w:rPr>
          <w:rFonts w:ascii="Courier New" w:cs="Courier New" w:eastAsia="Courier New" w:hAnsi="Courier New"/>
          <w:color w:val="2C2C2C"/>
          <w:sz w:val="18"/>
          <w:szCs w:val="18"/>
        </w:rPr>
        <w:t xml:space="preserve">"band"</w:t>
      </w:r>
      <w:r>
        <w:t xml:space="preserve"> for channel indicators, </w:t>
      </w:r>
      <w:r>
        <w:rPr>
          <w:rFonts w:ascii="Courier New" w:cs="Courier New" w:eastAsia="Courier New" w:hAnsi="Courier New"/>
          <w:color w:val="2C2C2C"/>
          <w:sz w:val="18"/>
          <w:szCs w:val="18"/>
        </w:rPr>
        <w:t xml:space="preserve">"subpane"</w:t>
      </w:r>
      <w:r>
        <w:t xml:space="preserve"> for oscillators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AF0F7" w:val="clear"/>
            <w:tcMar>
              <w:top w:type="dxa" w:w="120"/>
              <w:left w:type="dxa" w:w="180"/>
              <w:bottom w:type="dxa" w:w="120"/>
              <w:right w:type="dxa" w:w="180"/>
            </w:tcMar>
          </w:tcPr>
          <w:p>
            <w:pPr>
              <w:spacing w:after="0"/>
            </w:pPr>
            <w:r>
              <w:rPr>
                <w:i/>
                <w:iCs/>
                <w:color w:val="555555"/>
              </w:rPr>
              <w:t xml:space="preserve">_addIndicator(id) receives only the indicator ID string — there is no indicator.params object. Use hardcoded defaults for any parameters directly in the case statement, matching all other indicators in the codebase.</w:t>
            </w:r>
          </w:p>
        </w:tc>
      </w:tr>
    </w:tbl>
    <w:p>
      <w:pPr>
        <w:spacing w:after="120"/>
      </w:pPr>
    </w:p>
    <w:p>
      <w:pPr>
        <w:pStyle w:val="Heading2"/>
        <w:spacing w:after="120" w:before="200"/>
      </w:pPr>
      <w:r>
        <w:rPr>
          <w:b/>
          <w:bCs/>
          <w:color w:val="2C3E50"/>
        </w:rPr>
        <w:t xml:space="preserve">10.3  Adding a Canvas-Rendered Indicator</w:t>
      </w:r>
    </w:p>
    <w:p>
      <w:pPr>
        <w:spacing w:after="100"/>
      </w:pPr>
      <w:r>
        <w:t xml:space="preserve">For indicators requiring filled boxes, zones, or complex shapes:</w:t>
      </w:r>
    </w:p>
    <w:p>
      <w:pPr>
        <w:pStyle w:val="ListParagraph"/>
        <w:numPr>
          <w:ilvl w:val="0"/>
          <w:numId w:val="2"/>
        </w:numPr>
        <w:spacing w:after="60"/>
      </w:pPr>
      <w:r>
        <w:t xml:space="preserve">Add </w:t>
      </w:r>
      <w:r>
        <w:rPr>
          <w:rFonts w:ascii="Courier New" w:cs="Courier New" w:eastAsia="Courier New" w:hAnsi="Courier New"/>
          <w:color w:val="2C2C2C"/>
          <w:sz w:val="18"/>
          <w:szCs w:val="18"/>
        </w:rPr>
        <w:t xml:space="preserve">_init&lt;Name&gt;Canvas()</w:t>
      </w:r>
      <w:r>
        <w:t xml:space="preserve"> — creates a canvas element, appends to chartEl, subscribes to range/crosshair changes</w:t>
      </w:r>
    </w:p>
    <w:p>
      <w:pPr>
        <w:pStyle w:val="ListParagraph"/>
        <w:numPr>
          <w:ilvl w:val="0"/>
          <w:numId w:val="2"/>
        </w:numPr>
        <w:spacing w:after="60"/>
      </w:pPr>
      <w:r>
        <w:t xml:space="preserve">Add </w:t>
      </w:r>
      <w:r>
        <w:rPr>
          <w:rFonts w:ascii="Courier New" w:cs="Courier New" w:eastAsia="Courier New" w:hAnsi="Courier New"/>
          <w:color w:val="2C2C2C"/>
          <w:sz w:val="18"/>
          <w:szCs w:val="18"/>
        </w:rPr>
        <w:t xml:space="preserve">_&lt;name&gt;Render()</w:t>
      </w:r>
      <w:r>
        <w:t xml:space="preserve"> — clears canvas and redraws using timeToCoordinate / priceToCoordinate</w:t>
      </w:r>
    </w:p>
    <w:p>
      <w:pPr>
        <w:pStyle w:val="ListParagraph"/>
        <w:numPr>
          <w:ilvl w:val="0"/>
          <w:numId w:val="2"/>
        </w:numPr>
        <w:spacing w:after="60"/>
      </w:pPr>
      <w:r>
        <w:t xml:space="preserve">In </w:t>
      </w:r>
      <w:r>
        <w:rPr>
          <w:rFonts w:ascii="Courier New" w:cs="Courier New" w:eastAsia="Courier New" w:hAnsi="Courier New"/>
          <w:color w:val="2C2C2C"/>
          <w:sz w:val="18"/>
          <w:szCs w:val="18"/>
        </w:rPr>
        <w:t xml:space="preserve">_addIndicator()</w:t>
      </w:r>
      <w:r>
        <w:t xml:space="preserve"> case: call init + render, store sentinel string in indicatorSeries (e.g. </w:t>
      </w:r>
      <w:r>
        <w:rPr>
          <w:rFonts w:ascii="Courier New" w:cs="Courier New" w:eastAsia="Courier New" w:hAnsi="Courier New"/>
          <w:color w:val="2C2C2C"/>
          <w:sz w:val="18"/>
          <w:szCs w:val="18"/>
        </w:rPr>
        <w:t xml:space="preserve">"__ob_canvas__"</w:t>
      </w:r>
      <w:r>
        <w:t xml:space="preserve">)</w:t>
      </w:r>
    </w:p>
    <w:p>
      <w:pPr>
        <w:pStyle w:val="ListParagraph"/>
        <w:numPr>
          <w:ilvl w:val="0"/>
          <w:numId w:val="2"/>
        </w:numPr>
        <w:spacing w:after="60"/>
      </w:pPr>
      <w:r>
        <w:t xml:space="preserve">In </w:t>
      </w:r>
      <w:r>
        <w:rPr>
          <w:rFonts w:ascii="Courier New" w:cs="Courier New" w:eastAsia="Courier New" w:hAnsi="Courier New"/>
          <w:color w:val="2C2C2C"/>
          <w:sz w:val="18"/>
          <w:szCs w:val="18"/>
        </w:rPr>
        <w:t xml:space="preserve">_removeIndicator()</w:t>
      </w:r>
      <w:r>
        <w:t xml:space="preserve">: detect sentinel, remove canvas element, null the data ref</w:t>
      </w:r>
    </w:p>
    <w:p>
      <w:pPr>
        <w:pStyle w:val="ListParagraph"/>
        <w:numPr>
          <w:ilvl w:val="0"/>
          <w:numId w:val="2"/>
        </w:numPr>
        <w:spacing w:after="60"/>
      </w:pPr>
      <w:r>
        <w:t xml:space="preserve">In </w:t>
      </w:r>
      <w:r>
        <w:rPr>
          <w:rFonts w:ascii="Courier New" w:cs="Courier New" w:eastAsia="Courier New" w:hAnsi="Courier New"/>
          <w:color w:val="2C2C2C"/>
          <w:sz w:val="18"/>
          <w:szCs w:val="18"/>
        </w:rPr>
        <w:t xml:space="preserve">_takeScreenshot()</w:t>
      </w:r>
      <w:r>
        <w:t xml:space="preserve">: add canvas to compositing chain before trendCanvas</w:t>
      </w:r>
    </w:p>
    <w:p>
      <w:pPr>
        <w:spacing w:after="120"/>
      </w:pPr>
    </w:p>
    <w:p>
      <w:pPr>
        <w:pStyle w:val="Heading2"/>
        <w:spacing w:after="120" w:before="200"/>
      </w:pPr>
      <w:r>
        <w:rPr>
          <w:b/>
          <w:bCs/>
          <w:color w:val="2C3E50"/>
        </w:rPr>
        <w:t xml:space="preserve">10.4  Adding a New Alert Type</w:t>
      </w:r>
    </w:p>
    <w:p>
      <w:pPr>
        <w:spacing w:after="100"/>
      </w:pPr>
      <w:r>
        <w:t xml:space="preserve">The alert engine is already generic. To trigger an alert from a new source (e.g. RSI crossing 70):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F5C99" w:sz="8"/>
              <w:bottom w:val="single" w:color="CCCCCC" w:sz="1"/>
              <w:right w:val="none" w:color="FFFFFF" w:sz="0"/>
            </w:tcBorders>
            <w:shd w:fill="F4F7FB" w:val="clear"/>
            <w:tcMar>
              <w:top w:type="dxa" w:w="100"/>
              <w:left w:type="dxa" w:w="180"/>
              <w:bottom w:type="dxa" w:w="100"/>
              <w:right w:type="dxa" w:w="180"/>
            </w:tcMar>
          </w:tcPr>
          <w:p>
            <w:pPr>
              <w:spacing w:after="0"/>
            </w:pPr>
            <w:r>
              <w:rPr>
                <w:rFonts w:ascii="Courier New" w:cs="Courier New" w:eastAsia="Courier New" w:hAnsi="Courier New"/>
                <w:color w:val="2C2C2C"/>
                <w:sz w:val="18"/>
                <w:szCs w:val="18"/>
              </w:rPr>
              <w:t xml:space="preserve">AlertEngine.trigger({</w:t>
            </w:r>
          </w:p>
          <w:p>
            <w:pPr>
              <w:spacing w:after="0"/>
            </w:pPr>
            <w:r>
              <w:rPr>
                <w:rFonts w:ascii="Courier New" w:cs="Courier New" w:eastAsia="Courier New" w:hAnsi="Courier New"/>
                <w:color w:val="2C2C2C"/>
                <w:sz w:val="18"/>
                <w:szCs w:val="18"/>
              </w:rPr>
              <w:t xml:space="preserve">  symbol: this.symbol, interval: this.interval,</w:t>
            </w:r>
          </w:p>
          <w:p>
            <w:pPr>
              <w:spacing w:after="0"/>
            </w:pPr>
            <w:r>
              <w:rPr>
                <w:rFonts w:ascii="Courier New" w:cs="Courier New" w:eastAsia="Courier New" w:hAnsi="Courier New"/>
                <w:color w:val="2C2C2C"/>
                <w:sz w:val="18"/>
                <w:szCs w:val="18"/>
              </w:rPr>
              <w:t xml:space="preserve">  type: "rsi_cross", direction: "above",</w:t>
            </w:r>
          </w:p>
          <w:p>
            <w:pPr>
              <w:spacing w:after="0"/>
            </w:pPr>
            <w:r>
              <w:rPr>
                <w:rFonts w:ascii="Courier New" w:cs="Courier New" w:eastAsia="Courier New" w:hAnsi="Courier New"/>
                <w:color w:val="2C2C2C"/>
                <w:sz w:val="18"/>
                <w:szCs w:val="18"/>
              </w:rPr>
              <w:t xml:space="preserve">  level: 70, current: rsiValue,</w:t>
            </w:r>
          </w:p>
          <w:p>
            <w:pPr>
              <w:spacing w:after="0"/>
            </w:pPr>
            <w:r>
              <w:rPr>
                <w:rFonts w:ascii="Courier New" w:cs="Courier New" w:eastAsia="Courier New" w:hAnsi="Courier New"/>
                <w:color w:val="2C2C2C"/>
                <w:sz w:val="18"/>
                <w:szCs w:val="18"/>
              </w:rPr>
              <w:t xml:space="preserve">  label: "RSI 70",</w:t>
            </w:r>
          </w:p>
          <w:p>
            <w:pPr>
              <w:spacing w:after="0"/>
            </w:pPr>
            <w:r>
              <w:rPr>
                <w:rFonts w:ascii="Courier New" w:cs="Courier New" w:eastAsia="Courier New" w:hAnsi="Courier New"/>
                <w:color w:val="2C2C2C"/>
                <w:sz w:val="18"/>
                <w:szCs w:val="18"/>
              </w:rPr>
              <w:t xml:space="preserve">});</w:t>
            </w:r>
          </w:p>
        </w:tc>
      </w:tr>
    </w:tbl>
    <w:p>
      <w:pPr>
        <w:spacing w:after="80"/>
      </w:pPr>
    </w:p>
    <w:p>
      <w:pPr>
        <w:spacing w:after="100"/>
      </w:pPr>
      <w:r>
        <w:t xml:space="preserve">No changes to the engine, backend, or Telegram integration are needed.</w:t>
      </w:r>
    </w:p>
    <w:p>
      <w:pPr>
        <w:spacing w:after="120"/>
      </w:pPr>
    </w:p>
    <w:p>
      <w:pPr>
        <w:pStyle w:val="Heading2"/>
        <w:spacing w:after="120" w:before="200"/>
      </w:pPr>
      <w:r>
        <w:rPr>
          <w:b/>
          <w:bCs/>
          <w:color w:val="2C3E50"/>
        </w:rPr>
        <w:t xml:space="preserve">10.5  Default Symbols</w:t>
      </w:r>
    </w:p>
    <w:p>
      <w:pPr>
        <w:spacing w:after="100"/>
      </w:pPr>
      <w:r>
        <w:t xml:space="preserve">The default symbols shown when new panes are created are defined in the </w:t>
      </w:r>
      <w:r>
        <w:rPr>
          <w:rFonts w:ascii="Courier New" w:cs="Courier New" w:eastAsia="Courier New" w:hAnsi="Courier New"/>
          <w:color w:val="2C2C2C"/>
          <w:sz w:val="18"/>
          <w:szCs w:val="18"/>
        </w:rPr>
        <w:t xml:space="preserve">GRID_DEFAULTS</w:t>
      </w:r>
      <w:r>
        <w:t xml:space="preserve"> object in app.js. Edit these to pre-load the pairs you trade most often.</w:t>
      </w:r>
    </w:p>
    <w:p>
      <w:r>
        <w:br w:type="page"/>
      </w:r>
    </w:p>
    <w:p>
      <w:pPr>
        <w:pStyle w:val="Heading1"/>
        <w:spacing w:after="120" w:before="320"/>
      </w:pPr>
      <w:r>
        <w:rPr>
          <w:b/>
          <w:bCs/>
          <w:color w:val="0F1923"/>
        </w:rPr>
        <w:t xml:space="preserve">11.  Quick Reference</w:t>
      </w:r>
    </w:p>
    <w:p>
      <w:pPr>
        <w:pStyle w:val="Heading2"/>
        <w:spacing w:after="120" w:before="200"/>
      </w:pPr>
      <w:r>
        <w:rPr>
          <w:b/>
          <w:bCs/>
          <w:color w:val="2C3E50"/>
        </w:rPr>
        <w:t xml:space="preserve">11.1  Keyboard &amp; Mouse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F5C99" w:val="clear"/>
            <w:tcMar>
              <w:top w:type="dxa" w:w="80"/>
              <w:left w:type="dxa" w:w="120"/>
              <w:bottom w:type="dxa" w:w="80"/>
              <w:right w:type="dxa" w:w="120"/>
            </w:tcMar>
          </w:tcPr>
          <w:p>
            <w:pPr>
              <w:spacing w:after="0"/>
            </w:pPr>
            <w:r>
              <w:rPr>
                <w:b/>
                <w:bCs/>
                <w:color w:val="FFFFFF"/>
              </w:rPr>
              <w:t xml:space="preserve">Action</w:t>
            </w:r>
          </w:p>
        </w:tc>
        <w:tc>
          <w:tcPr>
            <w:tcW w:type="dxa" w:w="4680"/>
            <w:tcBorders>
              <w:top w:val="single" w:color="CCCCCC" w:sz="1"/>
              <w:left w:val="single" w:color="CCCCCC" w:sz="1"/>
              <w:bottom w:val="single" w:color="CCCCCC" w:sz="1"/>
              <w:right w:val="single" w:color="CCCCCC" w:sz="1"/>
            </w:tcBorders>
            <w:shd w:fill="1F5C99" w:val="clear"/>
            <w:tcMar>
              <w:top w:type="dxa" w:w="80"/>
              <w:left w:type="dxa" w:w="120"/>
              <w:bottom w:type="dxa" w:w="80"/>
              <w:right w:type="dxa" w:w="120"/>
            </w:tcMar>
          </w:tcPr>
          <w:p>
            <w:pPr>
              <w:spacing w:after="0"/>
            </w:pPr>
            <w:r>
              <w:rPr>
                <w:b/>
                <w:bCs/>
                <w:color w:val="FFFFFF"/>
              </w:rPr>
              <w:t xml:space="preserve">How</w:t>
            </w:r>
          </w:p>
        </w:tc>
      </w:tr>
      <w:tr>
        <w:tc>
          <w:tcPr>
            <w:tcW w:type="dxa" w:w="468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Pan chart</w:t>
            </w:r>
          </w:p>
        </w:tc>
        <w:tc>
          <w:tcPr>
            <w:tcW w:type="dxa" w:w="468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Click and drag on the chart</w:t>
            </w:r>
          </w:p>
        </w:tc>
      </w:tr>
      <w:tr>
        <w:tc>
          <w:tcPr>
            <w:tcW w:type="dxa" w:w="468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Zoom</w:t>
            </w:r>
          </w:p>
        </w:tc>
        <w:tc>
          <w:tcPr>
            <w:tcW w:type="dxa" w:w="468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Mouse wheel on the chart</w:t>
            </w:r>
          </w:p>
        </w:tc>
      </w:tr>
      <w:tr>
        <w:tc>
          <w:tcPr>
            <w:tcW w:type="dxa" w:w="468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Fit all data</w:t>
            </w:r>
          </w:p>
        </w:tc>
        <w:tc>
          <w:tcPr>
            <w:tcW w:type="dxa" w:w="468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Double-click the time scale</w:t>
            </w:r>
          </w:p>
        </w:tc>
      </w:tr>
      <w:tr>
        <w:tc>
          <w:tcPr>
            <w:tcW w:type="dxa" w:w="468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Change symbol</w:t>
            </w:r>
          </w:p>
        </w:tc>
        <w:tc>
          <w:tcPr>
            <w:tcW w:type="dxa" w:w="468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Click symbol input, type, press Enter — or select from dropdown</w:t>
            </w:r>
          </w:p>
        </w:tc>
      </w:tr>
      <w:tr>
        <w:tc>
          <w:tcPr>
            <w:tcW w:type="dxa" w:w="468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Change timeframe</w:t>
            </w:r>
          </w:p>
        </w:tc>
        <w:tc>
          <w:tcPr>
            <w:tcW w:type="dxa" w:w="468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Select from the interval dropdown</w:t>
            </w:r>
          </w:p>
        </w:tc>
      </w:tr>
      <w:tr>
        <w:tc>
          <w:tcPr>
            <w:tcW w:type="dxa" w:w="468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Add indicator</w:t>
            </w:r>
          </w:p>
        </w:tc>
        <w:tc>
          <w:tcPr>
            <w:tcW w:type="dxa" w:w="468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Click INDICATORS → click the indicator name</w:t>
            </w:r>
          </w:p>
        </w:tc>
      </w:tr>
      <w:tr>
        <w:tc>
          <w:tcPr>
            <w:tcW w:type="dxa" w:w="468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Remove indicator</w:t>
            </w:r>
          </w:p>
        </w:tc>
        <w:tc>
          <w:tcPr>
            <w:tcW w:type="dxa" w:w="468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Click INDICATORS → click the active indicator name again</w:t>
            </w:r>
          </w:p>
        </w:tc>
      </w:tr>
      <w:tr>
        <w:tc>
          <w:tcPr>
            <w:tcW w:type="dxa" w:w="468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Start drawing</w:t>
            </w:r>
          </w:p>
        </w:tc>
        <w:tc>
          <w:tcPr>
            <w:tcW w:type="dxa" w:w="468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Click DRAW → select a tool → interact with chart</w:t>
            </w:r>
          </w:p>
        </w:tc>
      </w:tr>
      <w:tr>
        <w:tc>
          <w:tcPr>
            <w:tcW w:type="dxa" w:w="468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Edit a drawing</w:t>
            </w:r>
          </w:p>
        </w:tc>
        <w:tc>
          <w:tcPr>
            <w:tcW w:type="dxa" w:w="468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Click on the drawing to open its edit panel</w:t>
            </w:r>
          </w:p>
        </w:tc>
      </w:tr>
      <w:tr>
        <w:tc>
          <w:tcPr>
            <w:tcW w:type="dxa" w:w="468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Arm an alert</w:t>
            </w:r>
          </w:p>
        </w:tc>
        <w:tc>
          <w:tcPr>
            <w:tcW w:type="dxa" w:w="468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Click a horizontal line → click the bell icon in the panel</w:t>
            </w:r>
          </w:p>
        </w:tc>
      </w:tr>
      <w:tr>
        <w:tc>
          <w:tcPr>
            <w:tcW w:type="dxa" w:w="468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Add a note</w:t>
            </w:r>
          </w:p>
        </w:tc>
        <w:tc>
          <w:tcPr>
            <w:tcW w:type="dxa" w:w="468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Click the notes button → write → ADD NOTE or Ctrl+Enter</w:t>
            </w:r>
          </w:p>
        </w:tc>
      </w:tr>
      <w:tr>
        <w:tc>
          <w:tcPr>
            <w:tcW w:type="dxa" w:w="468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Save state</w:t>
            </w:r>
          </w:p>
        </w:tc>
        <w:tc>
          <w:tcPr>
            <w:tcW w:type="dxa" w:w="468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Click the SAVE button in the pane toolbar</w:t>
            </w:r>
          </w:p>
        </w:tc>
      </w:tr>
      <w:tr>
        <w:tc>
          <w:tcPr>
            <w:tcW w:type="dxa" w:w="468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View saved states</w:t>
            </w:r>
          </w:p>
        </w:tc>
        <w:tc>
          <w:tcPr>
            <w:tcW w:type="dxa" w:w="468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Click the disk icon in the topbar</w:t>
            </w:r>
          </w:p>
        </w:tc>
      </w:tr>
      <w:tr>
        <w:tc>
          <w:tcPr>
            <w:tcW w:type="dxa" w:w="468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Change timezone</w:t>
            </w:r>
          </w:p>
        </w:tc>
        <w:tc>
          <w:tcPr>
            <w:tcW w:type="dxa" w:w="468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Click the 🕐 button in the topbar</w:t>
            </w:r>
          </w:p>
        </w:tc>
      </w:tr>
      <w:tr>
        <w:tc>
          <w:tcPr>
            <w:tcW w:type="dxa" w:w="468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Popout single pane</w:t>
            </w:r>
          </w:p>
        </w:tc>
        <w:tc>
          <w:tcPr>
            <w:tcW w:type="dxa" w:w="468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Click the popout button in the pane toolbar</w:t>
            </w:r>
          </w:p>
        </w:tc>
      </w:tr>
      <w:tr>
        <w:tc>
          <w:tcPr>
            <w:tcW w:type="dxa" w:w="468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Open second terminal</w:t>
            </w:r>
          </w:p>
        </w:tc>
        <w:tc>
          <w:tcPr>
            <w:tcW w:type="dxa" w:w="468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Click the popout button in the main topbar</w:t>
            </w:r>
          </w:p>
        </w:tc>
      </w:tr>
      <w:tr>
        <w:tc>
          <w:tcPr>
            <w:tcW w:type="dxa" w:w="468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Toggle theme</w:t>
            </w:r>
          </w:p>
        </w:tc>
        <w:tc>
          <w:tcPr>
            <w:tcW w:type="dxa" w:w="468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Click the moon/sun button in the topbar</w:t>
            </w:r>
          </w:p>
        </w:tc>
      </w:tr>
      <w:tr>
        <w:tc>
          <w:tcPr>
            <w:tcW w:type="dxa" w:w="468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Fullscreen</w:t>
            </w:r>
          </w:p>
        </w:tc>
        <w:tc>
          <w:tcPr>
            <w:tcW w:type="dxa" w:w="468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Click the fullscreen button in the topbar</w:t>
            </w:r>
          </w:p>
        </w:tc>
      </w:tr>
    </w:tbl>
    <w:p>
      <w:pPr>
        <w:spacing w:after="120"/>
      </w:pPr>
    </w:p>
    <w:p>
      <w:pPr>
        <w:pStyle w:val="Heading2"/>
        <w:spacing w:after="120" w:before="200"/>
      </w:pPr>
      <w:r>
        <w:rPr>
          <w:b/>
          <w:bCs/>
          <w:color w:val="2C3E50"/>
        </w:rPr>
        <w:t xml:space="preserve">11.2  Connection Dots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510"/>
        <w:gridCol w:w="3510"/>
      </w:tblGrid>
      <w:tr>
        <w:trPr>
          <w:tblHeader/>
        </w:trPr>
        <w:tc>
          <w:tcPr>
            <w:tcW w:type="dxa" w:w="2340"/>
            <w:tcBorders>
              <w:top w:val="single" w:color="CCCCCC" w:sz="1"/>
              <w:left w:val="single" w:color="CCCCCC" w:sz="1"/>
              <w:bottom w:val="single" w:color="CCCCCC" w:sz="1"/>
              <w:right w:val="single" w:color="CCCCCC" w:sz="1"/>
            </w:tcBorders>
            <w:shd w:fill="1F5C99" w:val="clear"/>
            <w:tcMar>
              <w:top w:type="dxa" w:w="80"/>
              <w:left w:type="dxa" w:w="120"/>
              <w:bottom w:type="dxa" w:w="80"/>
              <w:right w:type="dxa" w:w="120"/>
            </w:tcMar>
          </w:tcPr>
          <w:p>
            <w:pPr>
              <w:spacing w:after="0"/>
            </w:pPr>
            <w:r>
              <w:rPr>
                <w:b/>
                <w:bCs/>
                <w:color w:val="FFFFFF"/>
              </w:rPr>
              <w:t xml:space="preserve">Dot</w:t>
            </w:r>
          </w:p>
        </w:tc>
        <w:tc>
          <w:tcPr>
            <w:tcW w:type="dxa" w:w="3510"/>
            <w:tcBorders>
              <w:top w:val="single" w:color="CCCCCC" w:sz="1"/>
              <w:left w:val="single" w:color="CCCCCC" w:sz="1"/>
              <w:bottom w:val="single" w:color="CCCCCC" w:sz="1"/>
              <w:right w:val="single" w:color="CCCCCC" w:sz="1"/>
            </w:tcBorders>
            <w:shd w:fill="1F5C99" w:val="clear"/>
            <w:tcMar>
              <w:top w:type="dxa" w:w="80"/>
              <w:left w:type="dxa" w:w="120"/>
              <w:bottom w:type="dxa" w:w="80"/>
              <w:right w:type="dxa" w:w="120"/>
            </w:tcMar>
          </w:tcPr>
          <w:p>
            <w:pPr>
              <w:spacing w:after="0"/>
            </w:pPr>
            <w:r>
              <w:rPr>
                <w:b/>
                <w:bCs/>
                <w:color w:val="FFFFFF"/>
              </w:rPr>
              <w:t xml:space="preserve">State</w:t>
            </w:r>
          </w:p>
        </w:tc>
        <w:tc>
          <w:tcPr>
            <w:tcW w:type="dxa" w:w="3510"/>
            <w:tcBorders>
              <w:top w:val="single" w:color="CCCCCC" w:sz="1"/>
              <w:left w:val="single" w:color="CCCCCC" w:sz="1"/>
              <w:bottom w:val="single" w:color="CCCCCC" w:sz="1"/>
              <w:right w:val="single" w:color="CCCCCC" w:sz="1"/>
            </w:tcBorders>
            <w:shd w:fill="1F5C99" w:val="clear"/>
            <w:tcMar>
              <w:top w:type="dxa" w:w="80"/>
              <w:left w:type="dxa" w:w="120"/>
              <w:bottom w:type="dxa" w:w="80"/>
              <w:right w:type="dxa" w:w="120"/>
            </w:tcMar>
          </w:tcPr>
          <w:p>
            <w:pPr>
              <w:spacing w:after="0"/>
            </w:pPr>
            <w:r>
              <w:rPr>
                <w:b/>
                <w:bCs/>
                <w:color w:val="FFFFFF"/>
              </w:rPr>
              <w:t xml:space="preserve">Meaning</w:t>
            </w:r>
          </w:p>
        </w:tc>
      </w:tr>
      <w:tr>
        <w:tc>
          <w:tcPr>
            <w:tcW w:type="dxa" w:w="234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HL</w:t>
            </w:r>
          </w:p>
        </w:tc>
        <w:tc>
          <w:tcPr>
            <w:tcW w:type="dxa" w:w="351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Green</w:t>
            </w:r>
          </w:p>
        </w:tc>
        <w:tc>
          <w:tcPr>
            <w:tcW w:type="dxa" w:w="351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Hyperliquid WebSocket connected and receiving data</w:t>
            </w:r>
          </w:p>
        </w:tc>
      </w:tr>
      <w:tr>
        <w:tc>
          <w:tcPr>
            <w:tcW w:type="dxa" w:w="234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HL</w:t>
            </w:r>
          </w:p>
        </w:tc>
        <w:tc>
          <w:tcPr>
            <w:tcW w:type="dxa" w:w="351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Grey</w:t>
            </w:r>
          </w:p>
        </w:tc>
        <w:tc>
          <w:tcPr>
            <w:tcW w:type="dxa" w:w="351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Hyperliquid connection lost — will auto-reconnect</w:t>
            </w:r>
          </w:p>
        </w:tc>
      </w:tr>
      <w:tr>
        <w:tc>
          <w:tcPr>
            <w:tcW w:type="dxa" w:w="234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YF</w:t>
            </w:r>
          </w:p>
        </w:tc>
        <w:tc>
          <w:tcPr>
            <w:tcW w:type="dxa" w:w="351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Green</w:t>
            </w:r>
          </w:p>
        </w:tc>
        <w:tc>
          <w:tcPr>
            <w:tcW w:type="dxa" w:w="351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Yahoo Finance polling active</w:t>
            </w:r>
          </w:p>
        </w:tc>
      </w:tr>
      <w:tr>
        <w:tc>
          <w:tcPr>
            <w:tcW w:type="dxa" w:w="234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YF</w:t>
            </w:r>
          </w:p>
        </w:tc>
        <w:tc>
          <w:tcPr>
            <w:tcW w:type="dxa" w:w="351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Grey</w:t>
            </w:r>
          </w:p>
        </w:tc>
        <w:tc>
          <w:tcPr>
            <w:tcW w:type="dxa" w:w="351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YF polling inactive (normal when OANDA is active)</w:t>
            </w:r>
          </w:p>
        </w:tc>
      </w:tr>
      <w:tr>
        <w:tc>
          <w:tcPr>
            <w:tcW w:type="dxa" w:w="234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OANDA</w:t>
            </w:r>
          </w:p>
        </w:tc>
        <w:tc>
          <w:tcPr>
            <w:tcW w:type="dxa" w:w="351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Green</w:t>
            </w:r>
          </w:p>
        </w:tc>
        <w:tc>
          <w:tcPr>
            <w:tcW w:type="dxa" w:w="351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OANDA streaming active — first price tick received</w:t>
            </w:r>
          </w:p>
        </w:tc>
      </w:tr>
      <w:tr>
        <w:tc>
          <w:tcPr>
            <w:tcW w:type="dxa" w:w="234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OANDA</w:t>
            </w:r>
          </w:p>
        </w:tc>
        <w:tc>
          <w:tcPr>
            <w:tcW w:type="dxa" w:w="351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Grey</w:t>
            </w:r>
          </w:p>
        </w:tc>
        <w:tc>
          <w:tcPr>
            <w:tcW w:type="dxa" w:w="351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OANDA not connected or no key configured</w:t>
            </w:r>
          </w:p>
        </w:tc>
      </w:tr>
    </w:tbl>
    <w:p>
      <w:pPr>
        <w:spacing w:after="120"/>
      </w:pPr>
    </w:p>
    <w:p>
      <w:pPr>
        <w:pStyle w:val="Heading2"/>
        <w:spacing w:after="120" w:before="200"/>
      </w:pPr>
      <w:r>
        <w:rPr>
          <w:b/>
          <w:bCs/>
          <w:color w:val="2C3E50"/>
        </w:rPr>
        <w:t xml:space="preserve">11.3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F5C99" w:val="clear"/>
            <w:tcMar>
              <w:top w:type="dxa" w:w="80"/>
              <w:left w:type="dxa" w:w="120"/>
              <w:bottom w:type="dxa" w:w="80"/>
              <w:right w:type="dxa" w:w="120"/>
            </w:tcMar>
          </w:tcPr>
          <w:p>
            <w:pPr>
              <w:spacing w:after="0"/>
            </w:pPr>
            <w:r>
              <w:rPr>
                <w:b/>
                <w:bCs/>
                <w:color w:val="FFFFFF"/>
              </w:rPr>
              <w:t xml:space="preserve">Problem</w:t>
            </w:r>
          </w:p>
        </w:tc>
        <w:tc>
          <w:tcPr>
            <w:tcW w:type="dxa" w:w="4680"/>
            <w:tcBorders>
              <w:top w:val="single" w:color="CCCCCC" w:sz="1"/>
              <w:left w:val="single" w:color="CCCCCC" w:sz="1"/>
              <w:bottom w:val="single" w:color="CCCCCC" w:sz="1"/>
              <w:right w:val="single" w:color="CCCCCC" w:sz="1"/>
            </w:tcBorders>
            <w:shd w:fill="1F5C99" w:val="clear"/>
            <w:tcMar>
              <w:top w:type="dxa" w:w="80"/>
              <w:left w:type="dxa" w:w="120"/>
              <w:bottom w:type="dxa" w:w="80"/>
              <w:right w:type="dxa" w:w="120"/>
            </w:tcMar>
          </w:tcPr>
          <w:p>
            <w:pPr>
              <w:spacing w:after="0"/>
            </w:pPr>
            <w:r>
              <w:rPr>
                <w:b/>
                <w:bCs/>
                <w:color w:val="FFFFFF"/>
              </w:rPr>
              <w:t xml:space="preserve">Solution</w:t>
            </w:r>
          </w:p>
        </w:tc>
      </w:tr>
      <w:tr>
        <w:tc>
          <w:tcPr>
            <w:tcW w:type="dxa" w:w="468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Blank chart / no data</w:t>
            </w:r>
          </w:p>
        </w:tc>
        <w:tc>
          <w:tcPr>
            <w:tcW w:type="dxa" w:w="468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Check DevTools console for errors. Visit /debug. Verify OANDA keys in .env.</w:t>
            </w:r>
          </w:p>
        </w:tc>
      </w:tr>
      <w:tr>
        <w:tc>
          <w:tcPr>
            <w:tcW w:type="dxa" w:w="468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Changes not appearing</w:t>
            </w:r>
          </w:p>
        </w:tc>
        <w:tc>
          <w:tcPr>
            <w:tcW w:type="dxa" w:w="468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Do a full cache clear (last 24 hours) — not just a hard refresh.</w:t>
            </w:r>
          </w:p>
        </w:tc>
      </w:tr>
      <w:tr>
        <w:tc>
          <w:tcPr>
            <w:tcW w:type="dxa" w:w="468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Prices not updating</w:t>
            </w:r>
          </w:p>
        </w:tc>
        <w:tc>
          <w:tcPr>
            <w:tcW w:type="dxa" w:w="468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Check the connection dots. Refresh the page. Verify network.</w:t>
            </w:r>
          </w:p>
        </w:tc>
      </w:tr>
      <w:tr>
        <w:tc>
          <w:tcPr>
            <w:tcW w:type="dxa" w:w="468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Candle not advancing on new bar</w:t>
            </w:r>
          </w:p>
        </w:tc>
        <w:tc>
          <w:tcPr>
            <w:tcW w:type="dxa" w:w="468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Ensure pane.js is up to date — bar advance logic checks interval elapsed time on every tick.</w:t>
            </w:r>
          </w:p>
        </w:tc>
      </w:tr>
      <w:tr>
        <w:tc>
          <w:tcPr>
            <w:tcW w:type="dxa" w:w="468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Chart showing wrong timezone</w:t>
            </w:r>
          </w:p>
        </w:tc>
        <w:tc>
          <w:tcPr>
            <w:tcW w:type="dxa" w:w="468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Check that pane.js tickMarkFormatter and timeFormatter are both set. Do not use timestamp shifting.</w:t>
            </w:r>
          </w:p>
        </w:tc>
      </w:tr>
      <w:tr>
        <w:tc>
          <w:tcPr>
            <w:tcW w:type="dxa" w:w="468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OANDA 401 error</w:t>
            </w:r>
          </w:p>
        </w:tc>
        <w:tc>
          <w:tcPr>
            <w:tcW w:type="dxa" w:w="468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API key invalid or expired. Generate a new key from the OANDA dashboard.</w:t>
            </w:r>
          </w:p>
        </w:tc>
      </w:tr>
      <w:tr>
        <w:tc>
          <w:tcPr>
            <w:tcW w:type="dxa" w:w="468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Telegram "chat not found"</w:t>
            </w:r>
          </w:p>
        </w:tc>
        <w:tc>
          <w:tcPr>
            <w:tcW w:type="dxa" w:w="468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Your TELEGRAM_CHAT_ID is probably missing the minus sign (group IDs are negative).</w:t>
            </w:r>
          </w:p>
        </w:tc>
      </w:tr>
      <w:tr>
        <w:tc>
          <w:tcPr>
            <w:tcW w:type="dxa" w:w="468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Drawings disappeared</w:t>
            </w:r>
          </w:p>
        </w:tc>
        <w:tc>
          <w:tcPr>
            <w:tcW w:type="dxa" w:w="468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If not saved, drawings are lost on refresh. Use the SAVE button.</w:t>
            </w:r>
          </w:p>
        </w:tc>
      </w:tr>
      <w:tr>
        <w:tc>
          <w:tcPr>
            <w:tcW w:type="dxa" w:w="468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Port 5050 already in use</w:t>
            </w:r>
          </w:p>
        </w:tc>
        <w:tc>
          <w:tcPr>
            <w:tcW w:type="dxa" w:w="468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Change the port in the last line of app.py: port=5050</w:t>
            </w:r>
          </w:p>
        </w:tc>
      </w:tr>
      <w:tr>
        <w:tc>
          <w:tcPr>
            <w:tcW w:type="dxa" w:w="468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Alerts not firing</w:t>
            </w:r>
          </w:p>
        </w:tc>
        <w:tc>
          <w:tcPr>
            <w:tcW w:type="dxa" w:w="468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Check browser notification permissions. Check /api/alert in DevTools Network tab.</w:t>
            </w:r>
          </w:p>
        </w:tc>
      </w:tr>
      <w:tr>
        <w:tc>
          <w:tcPr>
            <w:tcW w:type="dxa" w:w="468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Order blocks not visible</w:t>
            </w:r>
          </w:p>
        </w:tc>
        <w:tc>
          <w:tcPr>
            <w:tcW w:type="dxa" w:w="468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Ensure indicators.js and pane.js are both updated. Check browser console for errors.</w:t>
            </w:r>
          </w:p>
        </w:tc>
      </w:tr>
      <w:tr>
        <w:tc>
          <w:tcPr>
            <w:tcW w:type="dxa" w:w="468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Screenshot missing indicators</w:t>
            </w:r>
          </w:p>
        </w:tc>
        <w:tc>
          <w:tcPr>
            <w:tcW w:type="dxa" w:w="468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Ensure _obCanvas and _sdCanvas are included in _takeScreenshot() compositing chain.</w:t>
            </w:r>
          </w:p>
        </w:tc>
      </w:tr>
    </w:tbl>
    <w:p>
      <w:r>
        <w:br w:type="page"/>
      </w:r>
    </w:p>
    <w:p>
      <w:pPr>
        <w:pStyle w:val="Heading1"/>
        <w:spacing w:after="120" w:before="320"/>
      </w:pPr>
      <w:r>
        <w:rPr>
          <w:b/>
          <w:bCs/>
          <w:color w:val="0F1923"/>
        </w:rPr>
        <w:t xml:space="preserve">Appendix — OANDA Instrument Reference</w:t>
      </w:r>
    </w:p>
    <w:p>
      <w:pPr>
        <w:spacing w:after="100"/>
      </w:pPr>
      <w:r>
        <w:t xml:space="preserve">OANDA accepts instruments in underscore format (EUR_USD). Joshua Terminal converts slash-format inputs (EUR/USD) automatically.</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F5C99" w:val="clear"/>
            <w:tcMar>
              <w:top w:type="dxa" w:w="80"/>
              <w:left w:type="dxa" w:w="120"/>
              <w:bottom w:type="dxa" w:w="80"/>
              <w:right w:type="dxa" w:w="120"/>
            </w:tcMar>
          </w:tcPr>
          <w:p>
            <w:pPr>
              <w:spacing w:after="0"/>
            </w:pPr>
            <w:r>
              <w:rPr>
                <w:b/>
                <w:bCs/>
                <w:color w:val="FFFFFF"/>
              </w:rPr>
              <w:t xml:space="preserve">Group</w:t>
            </w:r>
          </w:p>
        </w:tc>
        <w:tc>
          <w:tcPr>
            <w:tcW w:type="dxa" w:w="4680"/>
            <w:tcBorders>
              <w:top w:val="single" w:color="CCCCCC" w:sz="1"/>
              <w:left w:val="single" w:color="CCCCCC" w:sz="1"/>
              <w:bottom w:val="single" w:color="CCCCCC" w:sz="1"/>
              <w:right w:val="single" w:color="CCCCCC" w:sz="1"/>
            </w:tcBorders>
            <w:shd w:fill="1F5C99" w:val="clear"/>
            <w:tcMar>
              <w:top w:type="dxa" w:w="80"/>
              <w:left w:type="dxa" w:w="120"/>
              <w:bottom w:type="dxa" w:w="80"/>
              <w:right w:type="dxa" w:w="120"/>
            </w:tcMar>
          </w:tcPr>
          <w:p>
            <w:pPr>
              <w:spacing w:after="0"/>
            </w:pPr>
            <w:r>
              <w:rPr>
                <w:b/>
                <w:bCs/>
                <w:color w:val="FFFFFF"/>
              </w:rPr>
              <w:t xml:space="preserve">Pairs</w:t>
            </w:r>
          </w:p>
        </w:tc>
      </w:tr>
      <w:tr>
        <w:tc>
          <w:tcPr>
            <w:tcW w:type="dxa" w:w="468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Majors</w:t>
            </w:r>
          </w:p>
        </w:tc>
        <w:tc>
          <w:tcPr>
            <w:tcW w:type="dxa" w:w="468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EUR/USD  GBP/USD  USD/JPY  AUD/USD  USD/CAD  USD/CHF  NZD/USD  EUR/GBP  EUR/JPY  GBP/JPY</w:t>
            </w:r>
          </w:p>
        </w:tc>
      </w:tr>
      <w:tr>
        <w:tc>
          <w:tcPr>
            <w:tcW w:type="dxa" w:w="468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Minors</w:t>
            </w:r>
          </w:p>
        </w:tc>
        <w:tc>
          <w:tcPr>
            <w:tcW w:type="dxa" w:w="468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EUR/NZD  EUR/AUD  EUR/CAD  GBP/AUD  GBP/CAD  GBP/NZD  AUD/CAD  AUD/NZD  CAD/JPY  CHF/JPY  NZD/CAD  NZD/JPY  AUD/CHF  CAD/CHF  EUR/CHF</w:t>
            </w:r>
          </w:p>
        </w:tc>
      </w:tr>
      <w:tr>
        <w:tc>
          <w:tcPr>
            <w:tcW w:type="dxa" w:w="468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Exotics</w:t>
            </w:r>
          </w:p>
        </w:tc>
        <w:tc>
          <w:tcPr>
            <w:tcW w:type="dxa" w:w="468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USD/SGD  USD/HKD  USD/NOK  USD/SEK  USD/DKK  USD/MXN  USD/ZAR  USD/TRY  USD/PLN  USD/HUF</w:t>
            </w:r>
          </w:p>
        </w:tc>
      </w:tr>
      <w:tr>
        <w:tc>
          <w:tcPr>
            <w:tcW w:type="dxa" w:w="468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Metals</w:t>
            </w:r>
          </w:p>
        </w:tc>
        <w:tc>
          <w:tcPr>
            <w:tcW w:type="dxa" w:w="4680"/>
            <w:tcBorders>
              <w:top w:val="single" w:color="CCCCCC" w:sz="1"/>
              <w:left w:val="single" w:color="CCCCCC" w:sz="1"/>
              <w:bottom w:val="single" w:color="CCCCCC" w:sz="1"/>
              <w:right w:val="single" w:color="CCCCCC" w:sz="1"/>
            </w:tcBorders>
            <w:tcMar>
              <w:top w:type="dxa" w:w="70"/>
              <w:left w:type="dxa" w:w="120"/>
              <w:bottom w:type="dxa" w:w="70"/>
              <w:right w:type="dxa" w:w="120"/>
            </w:tcMar>
          </w:tcPr>
          <w:p>
            <w:pPr>
              <w:spacing w:after="0"/>
            </w:pPr>
            <w:r>
              <w:t xml:space="preserve">XAU/USD (Gold)  XAG/USD (Silver)</w:t>
            </w:r>
          </w:p>
        </w:tc>
      </w:tr>
      <w:tr>
        <w:tc>
          <w:tcPr>
            <w:tcW w:type="dxa" w:w="468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Indices (CFD)</w:t>
            </w:r>
          </w:p>
        </w:tc>
        <w:tc>
          <w:tcPr>
            <w:tcW w:type="dxa" w:w="4680"/>
            <w:tcBorders>
              <w:top w:val="single" w:color="CCCCCC" w:sz="1"/>
              <w:left w:val="single" w:color="CCCCCC" w:sz="1"/>
              <w:bottom w:val="single" w:color="CCCCCC" w:sz="1"/>
              <w:right w:val="single" w:color="CCCCCC" w:sz="1"/>
            </w:tcBorders>
            <w:shd w:fill="F7FAFD" w:val="clear"/>
            <w:tcMar>
              <w:top w:type="dxa" w:w="70"/>
              <w:left w:type="dxa" w:w="120"/>
              <w:bottom w:type="dxa" w:w="70"/>
              <w:right w:type="dxa" w:w="120"/>
            </w:tcMar>
          </w:tcPr>
          <w:p>
            <w:pPr>
              <w:spacing w:after="0"/>
            </w:pPr>
            <w:r>
              <w:t xml:space="preserve">SPX500_USD  NAS100_USD  DE30_EUR  UK100_GBP  JP225_USD</w:t>
            </w:r>
          </w:p>
        </w:tc>
      </w:tr>
    </w:tbl>
    <w:p>
      <w:pPr>
        <w:spacing w:after="400"/>
      </w:pPr>
    </w:p>
    <w:p>
      <w:pPr>
        <w:jc w:val="center"/>
      </w:pPr>
      <w:r>
        <w:rPr>
          <w:i/>
          <w:iCs/>
          <w:color w:val="888888"/>
          <w:sz w:val="18"/>
          <w:szCs w:val="18"/>
        </w:rPr>
        <w:t xml:space="preserve">Joshua Terminal  ·  Self-hosted. Offline-capable. Yours completely.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0" w:hanging="320"/>
      </w:pPr>
    </w:lvl>
    <w:lvl w:ilvl="1" w15:tentative="1">
      <w:start w:val="1"/>
      <w:numFmt w:val="bullet"/>
      <w:lvlText w:val="–"/>
      <w:lvlJc w:val="left"/>
      <w:pPr>
        <w:ind w:left="108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0F1923"/>
      <w:sz w:val="36"/>
      <w:szCs w:val="36"/>
    </w:rPr>
  </w:style>
  <w:style w:type="paragraph" w:styleId="Heading2">
    <w:name w:val="Heading 2"/>
    <w:basedOn w:val="Normal"/>
    <w:next w:val="Normal"/>
    <w:qFormat/>
    <w:pPr>
      <w:spacing w:after="120" w:before="200"/>
      <w:outlineLvl w:val="1"/>
    </w:pPr>
    <w:rPr>
      <w:rFonts w:ascii="Arial" w:cs="Arial" w:eastAsia="Arial" w:hAnsi="Arial"/>
      <w:b/>
      <w:bCs/>
      <w:color w:val="2C3E50"/>
      <w:sz w:val="26"/>
      <w:szCs w:val="26"/>
    </w:rPr>
  </w:style>
  <w:style w:type="paragraph" w:styleId="Heading3">
    <w:name w:val="Heading 3"/>
    <w:basedOn w:val="Normal"/>
    <w:next w:val="Normal"/>
    <w:qFormat/>
    <w:pPr>
      <w:spacing w:after="80" w:before="160"/>
      <w:outlineLvl w:val="2"/>
    </w:pPr>
    <w:rPr>
      <w:rFonts w:ascii="Arial" w:cs="Arial" w:eastAsia="Arial" w:hAnsi="Arial"/>
      <w:b/>
      <w:bCs/>
      <w:color w:val="1F5C9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2026-05-27T08:22:31.223Z</dcterms:created>
  <dcterms:modified xsi:type="dcterms:W3CDTF">2026-05-27T08:22:31.223Z</dcterms:modified>
</cp:coreProperties>
</file>

<file path=docProps/custom.xml><?xml version="1.0" encoding="utf-8"?>
<Properties xmlns="http://schemas.openxmlformats.org/officeDocument/2006/custom-properties" xmlns:vt="http://schemas.openxmlformats.org/officeDocument/2006/docPropsVTypes"/>
</file>