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61D9CFE">
      <w:pPr>
        <w:widowControl/>
      </w:pPr>
    </w:p>
    <w:p w14:paraId="130FBB66">
      <w:pPr>
        <w:widowControl/>
      </w:pPr>
    </w:p>
    <w:p w14:paraId="3C637025">
      <w:pPr>
        <w:widowControl/>
        <w:spacing w:after="680"/>
        <w:jc w:val="center"/>
      </w:pPr>
      <w:r>
        <w:rPr>
          <w:rFonts w:ascii="Times New Roman" w:hAnsi="Times New Roman" w:eastAsia="ＭＳ 明朝" w:cs="Times New Roman" w:eastAsiaTheme="minorEastAsia"/>
          <w:b/>
          <w:bCs/>
          <w:color w:val="000000"/>
          <w:sz w:val="28"/>
          <w:szCs w:val="22"/>
        </w:rPr>
        <w:t>COMBAT COGNITION: A HYBRID COMPUTATIONAL FRAMEWORK TOWARD MARTIAL-ARTIST COGNITIVE SIMULATION</w:t>
      </w:r>
    </w:p>
    <w:p w14:paraId="0628C245">
      <w:pPr>
        <w:widowControl/>
        <w:spacing w:after="440"/>
        <w:jc w:val="center"/>
      </w:pPr>
      <w:r>
        <w:rPr>
          <w:rFonts w:ascii="Times New Roman" w:hAnsi="Times New Roman" w:eastAsia="ＭＳ 明朝" w:cs="Times New Roman" w:eastAsiaTheme="minorEastAsia"/>
          <w:b/>
          <w:bCs/>
          <w:color w:val="000000"/>
          <w:sz w:val="24"/>
          <w:szCs w:val="22"/>
        </w:rPr>
        <w:t>INDEPENDENT STUDY REPORT SUBMITTED BY</w:t>
      </w:r>
    </w:p>
    <w:p w14:paraId="6EA948BD">
      <w:pPr>
        <w:widowControl/>
        <w:spacing w:after="120"/>
        <w:jc w:val="center"/>
      </w:pPr>
      <w:r>
        <w:rPr>
          <w:rFonts w:ascii="Times New Roman" w:hAnsi="Times New Roman" w:eastAsia="ＭＳ 明朝" w:cs="Times New Roman" w:eastAsiaTheme="minorEastAsia"/>
          <w:b/>
          <w:bCs/>
          <w:color w:val="000000"/>
          <w:sz w:val="24"/>
          <w:szCs w:val="22"/>
        </w:rPr>
        <w:t>I.T.M.S.S.B. THENNAKOON</w:t>
      </w:r>
    </w:p>
    <w:p w14:paraId="7CCAE118">
      <w:pPr>
        <w:widowControl/>
        <w:spacing w:after="760"/>
        <w:jc w:val="center"/>
      </w:pPr>
      <w:r>
        <w:rPr>
          <w:rFonts w:ascii="Times New Roman" w:hAnsi="Times New Roman" w:eastAsia="ＭＳ 明朝" w:cs="Times New Roman" w:eastAsiaTheme="minorEastAsia"/>
          <w:color w:val="000000"/>
          <w:sz w:val="24"/>
          <w:szCs w:val="22"/>
        </w:rPr>
        <w:t>REGISTRATION NUMBER: DTS2401</w:t>
      </w:r>
    </w:p>
    <w:p w14:paraId="1490C40E">
      <w:pPr>
        <w:widowControl/>
        <w:spacing w:after="160"/>
        <w:jc w:val="center"/>
      </w:pPr>
      <w:r>
        <w:rPr>
          <w:rFonts w:ascii="Times New Roman" w:hAnsi="Times New Roman" w:eastAsia="ＭＳ 明朝" w:cs="Times New Roman" w:eastAsiaTheme="minorEastAsia"/>
          <w:color w:val="000000"/>
          <w:sz w:val="24"/>
          <w:szCs w:val="22"/>
        </w:rPr>
        <w:t>TO THE BOARD OF STUDY IN STATISTICS AND COMPUTER SCIENCE</w:t>
      </w:r>
    </w:p>
    <w:p w14:paraId="40CE8571">
      <w:pPr>
        <w:widowControl/>
        <w:spacing w:after="600"/>
        <w:jc w:val="center"/>
      </w:pPr>
      <w:r>
        <w:rPr>
          <w:rFonts w:ascii="Times New Roman" w:hAnsi="Times New Roman" w:eastAsia="ＭＳ 明朝" w:cs="Times New Roman" w:eastAsiaTheme="minorEastAsia"/>
          <w:b/>
          <w:bCs/>
          <w:color w:val="000000"/>
          <w:sz w:val="24"/>
          <w:szCs w:val="22"/>
        </w:rPr>
        <w:t>POSTGRADUATE INSTITUTE OF SCIENCE</w:t>
      </w:r>
    </w:p>
    <w:p w14:paraId="54426AAF">
      <w:pPr>
        <w:widowControl/>
        <w:spacing w:after="920"/>
        <w:jc w:val="center"/>
      </w:pPr>
      <w:r>
        <w:rPr>
          <w:rFonts w:ascii="Times New Roman" w:hAnsi="Times New Roman" w:eastAsia="ＭＳ 明朝" w:cs="Times New Roman" w:eastAsiaTheme="minorEastAsia"/>
          <w:b/>
          <w:bCs/>
          <w:color w:val="000000"/>
          <w:sz w:val="24"/>
          <w:szCs w:val="22"/>
        </w:rPr>
        <w:t>DS 5299 - INDEPENDENT STUDY</w:t>
      </w:r>
    </w:p>
    <w:p w14:paraId="60248F94">
      <w:pPr>
        <w:widowControl/>
        <w:jc w:val="center"/>
      </w:pPr>
      <w:r>
        <w:rPr>
          <w:rFonts w:ascii="Times New Roman" w:hAnsi="Times New Roman" w:eastAsia="ＭＳ 明朝" w:cs="Times New Roman" w:eastAsiaTheme="minorEastAsia"/>
          <w:b/>
          <w:bCs/>
          <w:color w:val="000000"/>
          <w:sz w:val="24"/>
          <w:szCs w:val="22"/>
        </w:rPr>
        <w:t>UNIVERSITY OF PERADENIYA</w:t>
      </w:r>
      <w:r>
        <w:br w:type="textWrapping"/>
      </w:r>
      <w:r>
        <w:rPr>
          <w:rFonts w:ascii="Times New Roman" w:hAnsi="Times New Roman" w:eastAsia="ＭＳ 明朝" w:cs="Times New Roman" w:eastAsiaTheme="minorEastAsia"/>
          <w:b/>
          <w:bCs/>
          <w:color w:val="000000"/>
          <w:sz w:val="24"/>
          <w:szCs w:val="22"/>
        </w:rPr>
        <w:t>SRI LANKA</w:t>
      </w:r>
    </w:p>
    <w:p w14:paraId="4E60C97A">
      <w:pPr>
        <w:pageBreakBefore/>
        <w:widowControl/>
      </w:pPr>
      <w:r/>
    </w:p>
    <w:p w14:paraId="5900D810">
      <w:pPr>
        <w:widowControl/>
        <w:spacing w:after="360"/>
        <w:jc w:val="center"/>
      </w:pPr>
      <w:r>
        <w:rPr>
          <w:rFonts w:ascii="Times New Roman" w:hAnsi="Times New Roman" w:eastAsia="ＭＳ 明朝" w:cs="Times New Roman" w:eastAsiaTheme="minorEastAsia"/>
          <w:b/>
          <w:bCs/>
          <w:color w:val="000000"/>
          <w:sz w:val="28"/>
          <w:szCs w:val="22"/>
        </w:rPr>
        <w:t>DECLARATION</w:t>
      </w:r>
    </w:p>
    <w:p w14:paraId="6C5213BB">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I hereby declare that the work reported in this independent study report was carried out by me and that the results are my own independent research, except where due acknowledgement is made in the text. This report has not been submitted, either in whole or in part, for any other degree or qualification.</w:t>
      </w:r>
    </w:p>
    <w:p w14:paraId="3D4CF4AB">
      <w:pPr>
        <w:widowControl/>
        <w:spacing w:before="0" w:after="120" w:line="360" w:lineRule="auto"/>
        <w:ind w:firstLine="432"/>
        <w:jc w:val="left"/>
      </w:pPr>
      <w:r>
        <w:rPr>
          <w:rFonts w:ascii="Times New Roman" w:hAnsi="Times New Roman" w:eastAsia="ＭＳ 明朝" w:cs="Times New Roman" w:eastAsiaTheme="minorEastAsia" w:csTheme="minorBidi"/>
          <w:sz w:val="24"/>
          <w:szCs w:val="22"/>
        </w:rPr>
        <w:t>Candidate: I.T.M.S.S.B. Thennakoon</w:t>
      </w:r>
      <w:r>
        <w:br w:type="textWrapping"/>
      </w:r>
      <w:r>
        <w:rPr>
          <w:rFonts w:ascii="Times New Roman" w:hAnsi="Times New Roman" w:eastAsia="ＭＳ 明朝" w:cs="Times New Roman" w:eastAsiaTheme="minorEastAsia" w:csTheme="minorBidi"/>
          <w:sz w:val="24"/>
          <w:szCs w:val="22"/>
        </w:rPr>
        <w:t>Registration number: DTS2401</w:t>
      </w:r>
      <w:r>
        <w:br w:type="textWrapping"/>
      </w:r>
      <w:r>
        <w:rPr>
          <w:rFonts w:ascii="Times New Roman" w:hAnsi="Times New Roman" w:eastAsia="ＭＳ 明朝" w:cs="Times New Roman" w:eastAsiaTheme="minorEastAsia" w:csTheme="minorBidi"/>
          <w:sz w:val="24"/>
          <w:szCs w:val="22"/>
        </w:rPr>
        <w:t>Signature: ______________________________</w:t>
      </w:r>
      <w:r>
        <w:br w:type="textWrapping"/>
      </w:r>
      <w:r>
        <w:rPr>
          <w:rFonts w:ascii="Times New Roman" w:hAnsi="Times New Roman" w:eastAsia="ＭＳ 明朝" w:cs="Times New Roman" w:eastAsiaTheme="minorEastAsia" w:csTheme="minorBidi"/>
          <w:sz w:val="24"/>
          <w:szCs w:val="22"/>
        </w:rPr>
        <w:t>Date: ______________________________</w:t>
      </w:r>
    </w:p>
    <w:p w14:paraId="6DB1B0B3">
      <w:pPr>
        <w:widowControl/>
        <w:spacing w:before="0" w:after="120" w:line="360" w:lineRule="auto"/>
        <w:ind w:firstLine="432"/>
        <w:jc w:val="both"/>
      </w:pPr>
    </w:p>
    <w:p w14:paraId="6E688F7B">
      <w:pPr>
        <w:pageBreakBefore/>
        <w:widowControl/>
      </w:pPr>
      <w:r/>
    </w:p>
    <w:p w14:paraId="520885A4">
      <w:pPr>
        <w:widowControl/>
        <w:spacing w:after="360"/>
        <w:jc w:val="center"/>
      </w:pPr>
      <w:r>
        <w:rPr>
          <w:rFonts w:ascii="Times New Roman" w:hAnsi="Times New Roman" w:eastAsia="ＭＳ 明朝" w:cs="Times New Roman" w:eastAsiaTheme="minorEastAsia"/>
          <w:b/>
          <w:bCs/>
          <w:color w:val="000000"/>
          <w:sz w:val="28"/>
          <w:szCs w:val="22"/>
        </w:rPr>
        <w:t>ABSTRACT</w:t>
      </w:r>
    </w:p>
    <w:p w14:paraId="37222B58">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Combat Cognition is a hybrid computational framework intended to connect markerless human-pose perception, temporal movement interpretation, short-term motion prediction, biomechanical rules, multi-timescale state, situation-aware evidence gating, memory and coaching feedback. This independent study designed, implemented and evaluated the framework as a bounded step toward martial-artist cognitive simulation. The implemented artifact uses a laptop camera and MediaPipe-derived landmarks, an ACP-STGAT future-pose model, a temporal phase-classification and duration-aware decoding pipeline, deterministic biomechanics and coaching rules, four levels of contextual state, and persistent session analytics. Evidence was deliberately separated into four tiers. On a participant-held-out Human3.6M-17 protocol, ACP-STGAT achieved a mean normalized MPJPE/ADE of 0.07839 and final displacement error of 0.13639 across three seeds, outperforming last-pose and constant-velocity baselines. The phase classifier achieved 87.84% mean accuracy, 90.84% balanced accuracy and 0.8915 macro F1 on generated bootstrap sessions; these values validate generator-defined pipeline behaviour rather than real-human accuracy. Automated verification passed 129 of 129 frontend assertions and 24 of 24 backend tests. A single-participant expert feasibility/self-evaluation used a confirmed jab session captured by the researcher, developer and martial-arts expert. The selected practice-42 session contained three confirmed movement clusters, 250 frames, 8.3 seconds of capture, 96% recorded tracking quality and 22 frames changed by post-session decoding. The same evidence exposed an inconsistency between canonical, rule-engine and database repetition representations, retained as a failure mode. The study supports an implemented, evidence-bounded prototype architecture, not effectiveness, independent usability validation, universal technique correctness, calibrated three-dimensional biomechanics, operational large-language-model reasoning or human-equivalent cognition. Future evaluation requires independent annotation, grouped real jab data, model ablation, end-to-end timing, condition-labelled comparison and broader participants.</w:t>
      </w:r>
    </w:p>
    <w:p w14:paraId="4883F35A">
      <w:pPr>
        <w:pageBreakBefore/>
        <w:widowControl/>
      </w:pPr>
      <w:r/>
    </w:p>
    <w:p w14:paraId="12CC3702">
      <w:pPr>
        <w:widowControl/>
        <w:spacing w:after="360"/>
        <w:jc w:val="center"/>
      </w:pPr>
      <w:r>
        <w:rPr>
          <w:rFonts w:ascii="Times New Roman" w:hAnsi="Times New Roman" w:eastAsia="ＭＳ 明朝" w:cs="Times New Roman" w:eastAsiaTheme="minorEastAsia"/>
          <w:b/>
          <w:bCs/>
          <w:color w:val="000000"/>
          <w:sz w:val="28"/>
          <w:szCs w:val="22"/>
        </w:rPr>
        <w:t>ACKNOWLEDGEMENTS</w:t>
      </w:r>
    </w:p>
    <w:p w14:paraId="4BFD500A">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I acknowledge the academic guidance and institutional support associated with DS 5299 - Independent Study at the Postgraduate Institute of Science, University of Peradeniya. I also acknowledge the researchers whose published work provided the foundations for markerless pose estimation, skeleton graph learning, motion prediction, temporal segmentation, situation awareness, design-science evaluation and sports biomechanics used in this study. The practical system reflects sustained study and martial-arts experience; responsibility for the design decisions, implementation, evaluation boundaries and interpretation remains with the author.</w:t>
      </w:r>
    </w:p>
    <w:p w14:paraId="79DED46D">
      <w:pPr>
        <w:pageBreakBefore/>
        <w:widowControl/>
      </w:pPr>
      <w:r/>
    </w:p>
    <w:p w14:paraId="1507EF31">
      <w:pPr>
        <w:widowControl/>
        <w:spacing w:after="360"/>
        <w:jc w:val="center"/>
      </w:pPr>
      <w:r>
        <w:rPr>
          <w:rFonts w:ascii="Times New Roman" w:hAnsi="Times New Roman" w:eastAsia="ＭＳ 明朝" w:cs="Times New Roman" w:eastAsiaTheme="minorEastAsia"/>
          <w:b/>
          <w:bCs/>
          <w:color w:val="000000"/>
          <w:sz w:val="28"/>
          <w:szCs w:val="22"/>
        </w:rPr>
        <w:t>TABLE OF CONTENTS</w:t>
      </w:r>
    </w:p>
    <w:p w14:paraId="6BA4C81E">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Declaration</w:t>
      </w:r>
      <w:r>
        <w:tab/>
      </w:r>
      <w:r>
        <w:rPr>
          <w:rFonts w:ascii="Times New Roman" w:hAnsi="Times New Roman" w:eastAsia="ＭＳ 明朝" w:cs="Times New Roman" w:eastAsiaTheme="minorEastAsia"/>
          <w:color w:val="000000"/>
          <w:sz w:val="22"/>
          <w:szCs w:val="22"/>
        </w:rPr>
        <w:t>ii</w:t>
      </w:r>
    </w:p>
    <w:p w14:paraId="3D9BCACD">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Abstract</w:t>
      </w:r>
      <w:r>
        <w:tab/>
      </w:r>
      <w:r>
        <w:rPr>
          <w:rFonts w:ascii="Times New Roman" w:hAnsi="Times New Roman" w:eastAsia="ＭＳ 明朝" w:cs="Times New Roman" w:eastAsiaTheme="minorEastAsia"/>
          <w:color w:val="000000"/>
          <w:sz w:val="22"/>
          <w:szCs w:val="22"/>
        </w:rPr>
        <w:t>iii</w:t>
      </w:r>
    </w:p>
    <w:p w14:paraId="408C635C">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Acknowledgements</w:t>
      </w:r>
      <w:r>
        <w:tab/>
      </w:r>
      <w:r>
        <w:rPr>
          <w:rFonts w:ascii="Times New Roman" w:hAnsi="Times New Roman" w:eastAsia="ＭＳ 明朝" w:cs="Times New Roman" w:eastAsiaTheme="minorEastAsia"/>
          <w:color w:val="000000"/>
          <w:sz w:val="22"/>
          <w:szCs w:val="22"/>
        </w:rPr>
        <w:t>iv</w:t>
      </w:r>
    </w:p>
    <w:p w14:paraId="6E3E8F28">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List of Figures</w:t>
      </w:r>
      <w:r>
        <w:tab/>
      </w:r>
      <w:r>
        <w:rPr>
          <w:rFonts w:ascii="Times New Roman" w:hAnsi="Times New Roman" w:eastAsia="ＭＳ 明朝" w:cs="Times New Roman" w:eastAsiaTheme="minorEastAsia"/>
          <w:color w:val="000000"/>
          <w:sz w:val="22"/>
          <w:szCs w:val="22"/>
        </w:rPr>
        <w:t>vi</w:t>
      </w:r>
    </w:p>
    <w:p w14:paraId="601C4A61">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List of Tables</w:t>
      </w:r>
      <w:r>
        <w:tab/>
      </w:r>
      <w:r>
        <w:rPr>
          <w:rFonts w:ascii="Times New Roman" w:hAnsi="Times New Roman" w:eastAsia="ＭＳ 明朝" w:cs="Times New Roman" w:eastAsiaTheme="minorEastAsia"/>
          <w:color w:val="000000"/>
          <w:sz w:val="22"/>
          <w:szCs w:val="22"/>
        </w:rPr>
        <w:t>vii</w:t>
      </w:r>
    </w:p>
    <w:p w14:paraId="5BA8BEAB">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List of Abbreviations</w:t>
      </w:r>
      <w:r>
        <w:tab/>
      </w:r>
      <w:r>
        <w:rPr>
          <w:rFonts w:ascii="Times New Roman" w:hAnsi="Times New Roman" w:eastAsia="ＭＳ 明朝" w:cs="Times New Roman" w:eastAsiaTheme="minorEastAsia"/>
          <w:color w:val="000000"/>
          <w:sz w:val="22"/>
          <w:szCs w:val="22"/>
        </w:rPr>
        <w:t>viii</w:t>
      </w:r>
    </w:p>
    <w:p w14:paraId="6F579895">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Chapter 1 - Introduction</w:t>
      </w:r>
      <w:r>
        <w:tab/>
      </w:r>
      <w:r>
        <w:rPr>
          <w:rFonts w:ascii="Times New Roman" w:hAnsi="Times New Roman" w:eastAsia="ＭＳ 明朝" w:cs="Times New Roman" w:eastAsiaTheme="minorEastAsia"/>
          <w:color w:val="000000"/>
          <w:sz w:val="22"/>
          <w:szCs w:val="22"/>
        </w:rPr>
        <w:t>1</w:t>
      </w:r>
    </w:p>
    <w:p w14:paraId="0C72F9F1">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Chapter 2 - Literature Review</w:t>
      </w:r>
      <w:r>
        <w:tab/>
      </w:r>
      <w:r>
        <w:rPr>
          <w:rFonts w:ascii="Times New Roman" w:hAnsi="Times New Roman" w:eastAsia="ＭＳ 明朝" w:cs="Times New Roman" w:eastAsiaTheme="minorEastAsia"/>
          <w:color w:val="000000"/>
          <w:sz w:val="22"/>
          <w:szCs w:val="22"/>
        </w:rPr>
        <w:t>4</w:t>
      </w:r>
    </w:p>
    <w:p w14:paraId="5FD0F57C">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Chapter 3 - Methodology</w:t>
      </w:r>
      <w:r>
        <w:tab/>
      </w:r>
      <w:r>
        <w:rPr>
          <w:rFonts w:ascii="Times New Roman" w:hAnsi="Times New Roman" w:eastAsia="ＭＳ 明朝" w:cs="Times New Roman" w:eastAsiaTheme="minorEastAsia"/>
          <w:color w:val="000000"/>
          <w:sz w:val="22"/>
          <w:szCs w:val="22"/>
        </w:rPr>
        <w:t>9</w:t>
      </w:r>
    </w:p>
    <w:p w14:paraId="55CF01FA">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Chapter 4 - Results and Discussion</w:t>
      </w:r>
      <w:r>
        <w:tab/>
      </w:r>
      <w:r>
        <w:rPr>
          <w:rFonts w:ascii="Times New Roman" w:hAnsi="Times New Roman" w:eastAsia="ＭＳ 明朝" w:cs="Times New Roman" w:eastAsiaTheme="minorEastAsia"/>
          <w:color w:val="000000"/>
          <w:sz w:val="22"/>
          <w:szCs w:val="22"/>
        </w:rPr>
        <w:t>14</w:t>
      </w:r>
    </w:p>
    <w:p w14:paraId="6A3D41E5">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Chapter 5 - Conclusions and Recommendations</w:t>
      </w:r>
      <w:r>
        <w:tab/>
      </w:r>
      <w:r>
        <w:rPr>
          <w:rFonts w:ascii="Times New Roman" w:hAnsi="Times New Roman" w:eastAsia="ＭＳ 明朝" w:cs="Times New Roman" w:eastAsiaTheme="minorEastAsia"/>
          <w:color w:val="000000"/>
          <w:sz w:val="22"/>
          <w:szCs w:val="22"/>
        </w:rPr>
        <w:t>22</w:t>
      </w:r>
    </w:p>
    <w:p w14:paraId="742D7EBE">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References</w:t>
      </w:r>
      <w:r>
        <w:tab/>
      </w:r>
      <w:r>
        <w:rPr>
          <w:rFonts w:ascii="Times New Roman" w:hAnsi="Times New Roman" w:eastAsia="ＭＳ 明朝" w:cs="Times New Roman" w:eastAsiaTheme="minorEastAsia"/>
          <w:color w:val="000000"/>
          <w:sz w:val="22"/>
          <w:szCs w:val="22"/>
        </w:rPr>
        <w:t>25</w:t>
      </w:r>
    </w:p>
    <w:p w14:paraId="46A51A79">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Appendices</w:t>
      </w:r>
      <w:r>
        <w:tab/>
      </w:r>
      <w:r>
        <w:rPr>
          <w:rFonts w:ascii="Times New Roman" w:hAnsi="Times New Roman" w:eastAsia="ＭＳ 明朝" w:cs="Times New Roman" w:eastAsiaTheme="minorEastAsia"/>
          <w:color w:val="000000"/>
          <w:sz w:val="22"/>
          <w:szCs w:val="22"/>
        </w:rPr>
        <w:t>27</w:t>
      </w:r>
    </w:p>
    <w:p w14:paraId="3DF29948">
      <w:pPr>
        <w:pageBreakBefore/>
        <w:widowControl/>
      </w:pPr>
      <w:r/>
    </w:p>
    <w:p w14:paraId="3F22136F">
      <w:pPr>
        <w:widowControl/>
        <w:spacing w:after="360"/>
        <w:jc w:val="center"/>
      </w:pPr>
      <w:r>
        <w:rPr>
          <w:rFonts w:ascii="Times New Roman" w:hAnsi="Times New Roman" w:eastAsia="ＭＳ 明朝" w:cs="Times New Roman" w:eastAsiaTheme="minorEastAsia"/>
          <w:b/>
          <w:bCs/>
          <w:color w:val="000000"/>
          <w:sz w:val="28"/>
          <w:szCs w:val="22"/>
        </w:rPr>
        <w:t>LIST OF FIGURES</w:t>
      </w:r>
    </w:p>
    <w:p w14:paraId="34B7829C">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Figure 3.1 Combat Cognition implemented architecture and evidence flow</w:t>
      </w:r>
      <w:r>
        <w:tab/>
      </w:r>
      <w:r>
        <w:rPr>
          <w:rFonts w:ascii="Times New Roman" w:hAnsi="Times New Roman" w:eastAsia="ＭＳ 明朝" w:cs="Times New Roman" w:eastAsiaTheme="minorEastAsia"/>
          <w:color w:val="000000"/>
          <w:sz w:val="22"/>
          <w:szCs w:val="22"/>
        </w:rPr>
        <w:t>10</w:t>
      </w:r>
    </w:p>
    <w:p w14:paraId="233684A3">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Figure 4.1 ACP-STGAT normalized prediction error by forecast horizon</w:t>
      </w:r>
      <w:r>
        <w:tab/>
      </w:r>
      <w:r>
        <w:rPr>
          <w:rFonts w:ascii="Times New Roman" w:hAnsi="Times New Roman" w:eastAsia="ＭＳ 明朝" w:cs="Times New Roman" w:eastAsiaTheme="minorEastAsia"/>
          <w:color w:val="000000"/>
          <w:sz w:val="22"/>
          <w:szCs w:val="22"/>
        </w:rPr>
        <w:t>14</w:t>
      </w:r>
    </w:p>
    <w:p w14:paraId="05C298AE">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Figure 4.2 Generated-bootstrap temporal phase confusion matrix</w:t>
      </w:r>
      <w:r>
        <w:tab/>
      </w:r>
      <w:r>
        <w:rPr>
          <w:rFonts w:ascii="Times New Roman" w:hAnsi="Times New Roman" w:eastAsia="ＭＳ 明朝" w:cs="Times New Roman" w:eastAsiaTheme="minorEastAsia"/>
          <w:color w:val="000000"/>
          <w:sz w:val="22"/>
          <w:szCs w:val="22"/>
        </w:rPr>
        <w:t>16</w:t>
      </w:r>
    </w:p>
    <w:p w14:paraId="64F83714">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Figure 4.3 P001 practice-42 post-session three-cluster timeline</w:t>
      </w:r>
      <w:r>
        <w:tab/>
      </w:r>
      <w:r>
        <w:rPr>
          <w:rFonts w:ascii="Times New Roman" w:hAnsi="Times New Roman" w:eastAsia="ＭＳ 明朝" w:cs="Times New Roman" w:eastAsiaTheme="minorEastAsia"/>
          <w:color w:val="000000"/>
          <w:sz w:val="22"/>
          <w:szCs w:val="22"/>
        </w:rPr>
        <w:t>18</w:t>
      </w:r>
    </w:p>
    <w:p w14:paraId="17948917">
      <w:pPr>
        <w:pageBreakBefore/>
        <w:widowControl/>
      </w:pPr>
      <w:r/>
    </w:p>
    <w:p w14:paraId="47EB125C">
      <w:pPr>
        <w:widowControl/>
        <w:spacing w:after="360"/>
        <w:jc w:val="center"/>
      </w:pPr>
      <w:r>
        <w:rPr>
          <w:rFonts w:ascii="Times New Roman" w:hAnsi="Times New Roman" w:eastAsia="ＭＳ 明朝" w:cs="Times New Roman" w:eastAsiaTheme="minorEastAsia"/>
          <w:b/>
          <w:bCs/>
          <w:color w:val="000000"/>
          <w:sz w:val="28"/>
          <w:szCs w:val="22"/>
        </w:rPr>
        <w:t>LIST OF TABLES</w:t>
      </w:r>
    </w:p>
    <w:p w14:paraId="472485B3">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Table 1.1 Research objectives and evidence boundaries</w:t>
      </w:r>
      <w:r>
        <w:tab/>
      </w:r>
      <w:r>
        <w:rPr>
          <w:rFonts w:ascii="Times New Roman" w:hAnsi="Times New Roman" w:eastAsia="ＭＳ 明朝" w:cs="Times New Roman" w:eastAsiaTheme="minorEastAsia"/>
          <w:color w:val="000000"/>
          <w:sz w:val="22"/>
          <w:szCs w:val="22"/>
        </w:rPr>
        <w:t>2</w:t>
      </w:r>
    </w:p>
    <w:p w14:paraId="6A23886D">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Table 2.1 Literature-to-framework synthesis</w:t>
      </w:r>
      <w:r>
        <w:tab/>
      </w:r>
      <w:r>
        <w:rPr>
          <w:rFonts w:ascii="Times New Roman" w:hAnsi="Times New Roman" w:eastAsia="ＭＳ 明朝" w:cs="Times New Roman" w:eastAsiaTheme="minorEastAsia"/>
          <w:color w:val="000000"/>
          <w:sz w:val="22"/>
          <w:szCs w:val="22"/>
        </w:rPr>
        <w:t>7</w:t>
      </w:r>
    </w:p>
    <w:p w14:paraId="14674DFD">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Table 3.1 Combat Cognition component architecture</w:t>
      </w:r>
      <w:r>
        <w:tab/>
      </w:r>
      <w:r>
        <w:rPr>
          <w:rFonts w:ascii="Times New Roman" w:hAnsi="Times New Roman" w:eastAsia="ＭＳ 明朝" w:cs="Times New Roman" w:eastAsiaTheme="minorEastAsia"/>
          <w:color w:val="000000"/>
          <w:sz w:val="22"/>
          <w:szCs w:val="22"/>
        </w:rPr>
        <w:t>10</w:t>
      </w:r>
    </w:p>
    <w:p w14:paraId="498D7C53">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Table 3.2 Evaluation evidence hierarchy</w:t>
      </w:r>
      <w:r>
        <w:tab/>
      </w:r>
      <w:r>
        <w:rPr>
          <w:rFonts w:ascii="Times New Roman" w:hAnsi="Times New Roman" w:eastAsia="ＭＳ 明朝" w:cs="Times New Roman" w:eastAsiaTheme="minorEastAsia"/>
          <w:color w:val="000000"/>
          <w:sz w:val="22"/>
          <w:szCs w:val="22"/>
        </w:rPr>
        <w:t>12</w:t>
      </w:r>
    </w:p>
    <w:p w14:paraId="41A2F1C8">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Table 4.1 ACP-STGAT model results and baselines</w:t>
      </w:r>
      <w:r>
        <w:tab/>
      </w:r>
      <w:r>
        <w:rPr>
          <w:rFonts w:ascii="Times New Roman" w:hAnsi="Times New Roman" w:eastAsia="ＭＳ 明朝" w:cs="Times New Roman" w:eastAsiaTheme="minorEastAsia"/>
          <w:color w:val="000000"/>
          <w:sz w:val="22"/>
          <w:szCs w:val="22"/>
        </w:rPr>
        <w:t>14</w:t>
      </w:r>
    </w:p>
    <w:p w14:paraId="1C7276B8">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Table 4.2 Temporal phase-classifier generated-bootstrap results</w:t>
      </w:r>
      <w:r>
        <w:tab/>
      </w:r>
      <w:r>
        <w:rPr>
          <w:rFonts w:ascii="Times New Roman" w:hAnsi="Times New Roman" w:eastAsia="ＭＳ 明朝" w:cs="Times New Roman" w:eastAsiaTheme="minorEastAsia"/>
          <w:color w:val="000000"/>
          <w:sz w:val="22"/>
          <w:szCs w:val="22"/>
        </w:rPr>
        <w:t>15</w:t>
      </w:r>
    </w:p>
    <w:p w14:paraId="3C054BBD">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Table 4.3 Automated software verification</w:t>
      </w:r>
      <w:r>
        <w:tab/>
      </w:r>
      <w:r>
        <w:rPr>
          <w:rFonts w:ascii="Times New Roman" w:hAnsi="Times New Roman" w:eastAsia="ＭＳ 明朝" w:cs="Times New Roman" w:eastAsiaTheme="minorEastAsia"/>
          <w:color w:val="000000"/>
          <w:sz w:val="22"/>
          <w:szCs w:val="22"/>
        </w:rPr>
        <w:t>17</w:t>
      </w:r>
    </w:p>
    <w:p w14:paraId="4CD36994">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Table 4.4 P001 practice-42 evidence summary</w:t>
      </w:r>
      <w:r>
        <w:tab/>
      </w:r>
      <w:r>
        <w:rPr>
          <w:rFonts w:ascii="Times New Roman" w:hAnsi="Times New Roman" w:eastAsia="ＭＳ 明朝" w:cs="Times New Roman" w:eastAsiaTheme="minorEastAsia"/>
          <w:color w:val="000000"/>
          <w:sz w:val="22"/>
          <w:szCs w:val="22"/>
        </w:rPr>
        <w:t>17</w:t>
      </w:r>
    </w:p>
    <w:p w14:paraId="105E9CFF">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Table 4.5 Retained data-layer inconsistency</w:t>
      </w:r>
      <w:r>
        <w:tab/>
      </w:r>
      <w:r>
        <w:rPr>
          <w:rFonts w:ascii="Times New Roman" w:hAnsi="Times New Roman" w:eastAsia="ＭＳ 明朝" w:cs="Times New Roman" w:eastAsiaTheme="minorEastAsia"/>
          <w:color w:val="000000"/>
          <w:sz w:val="22"/>
          <w:szCs w:val="22"/>
        </w:rPr>
        <w:t>18</w:t>
      </w:r>
    </w:p>
    <w:p w14:paraId="0854EC78">
      <w:pPr>
        <w:widowControl/>
        <w:tabs>
          <w:tab w:val="left" w:pos="8424"/>
        </w:tabs>
        <w:spacing w:after="100" w:line="240" w:lineRule="auto"/>
      </w:pPr>
      <w:r>
        <w:rPr>
          <w:rFonts w:ascii="Times New Roman" w:hAnsi="Times New Roman" w:eastAsia="ＭＳ 明朝" w:cs="Times New Roman" w:eastAsiaTheme="minorEastAsia"/>
          <w:color w:val="000000"/>
          <w:sz w:val="22"/>
          <w:szCs w:val="22"/>
        </w:rPr>
        <w:t>Table 4.6 Controlled claim readiness</w:t>
      </w:r>
      <w:r>
        <w:tab/>
      </w:r>
      <w:r>
        <w:rPr>
          <w:rFonts w:ascii="Times New Roman" w:hAnsi="Times New Roman" w:eastAsia="ＭＳ 明朝" w:cs="Times New Roman" w:eastAsiaTheme="minorEastAsia"/>
          <w:color w:val="000000"/>
          <w:sz w:val="22"/>
          <w:szCs w:val="22"/>
        </w:rPr>
        <w:t>19</w:t>
      </w:r>
    </w:p>
    <w:p w14:paraId="57C38E3D">
      <w:pPr>
        <w:pageBreakBefore/>
        <w:widowControl/>
      </w:pPr>
      <w:r/>
    </w:p>
    <w:p w14:paraId="415617DB">
      <w:pPr>
        <w:widowControl/>
        <w:spacing w:after="360"/>
        <w:jc w:val="center"/>
      </w:pPr>
      <w:r>
        <w:rPr>
          <w:rFonts w:ascii="Times New Roman" w:hAnsi="Times New Roman" w:eastAsia="ＭＳ 明朝" w:cs="Times New Roman" w:eastAsiaTheme="minorEastAsia"/>
          <w:b/>
          <w:bCs/>
          <w:color w:val="000000"/>
          <w:sz w:val="28"/>
          <w:szCs w:val="22"/>
        </w:rPr>
        <w:t>LIST OF ABBREVIATIONS</w:t>
      </w:r>
    </w:p>
    <w:p w14:paraId="08156ABE">
      <w:pPr>
        <w:widowControl/>
        <w:spacing w:before="160" w:after="80"/>
        <w:jc w:val="left"/>
      </w:pPr>
      <w:r>
        <w:rPr>
          <w:rFonts w:ascii="Times New Roman" w:hAnsi="Times New Roman" w:eastAsia="ＭＳ 明朝" w:cs="Times New Roman" w:eastAsiaTheme="minorEastAsia"/>
          <w:b/>
          <w:bCs/>
          <w:color w:val="000000"/>
          <w:sz w:val="24"/>
          <w:szCs w:val="22"/>
        </w:rPr>
        <w:t>Abbreviations</w:t>
      </w:r>
    </w:p>
    <w:tbl>
      <w:tblPr>
        <w:tblStyle w:val="TableGrid"/>
        <w:tblW w:w="8784"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394"/>
        <w:gridCol w:w="4394"/>
      </w:tblGrid>
      <w:tr>
        <w:trPr>
          <w:tblHeader/>
        </w:trPr>
        <w:tc>
          <w:tcPr>
            <w:tcW w:w="2088"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6E329250">
            <w:pPr>
              <w:spacing w:after="0"/>
              <w:jc w:val="center"/>
            </w:pPr>
            <w:r>
              <w:rPr>
                <w:rFonts w:ascii="Times New Roman" w:hAnsi="Times New Roman" w:eastAsia="ＭＳ 明朝" w:cs="Times New Roman" w:eastAsiaTheme="minorEastAsia"/>
                <w:b/>
                <w:bCs/>
                <w:color w:val="000000"/>
                <w:sz w:val="18"/>
                <w:szCs w:val="22"/>
              </w:rPr>
              <w:t>Abbreviation</w:t>
            </w:r>
          </w:p>
        </w:tc>
        <w:tc>
          <w:tcPr>
            <w:tcW w:w="6696"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2F183331">
            <w:pPr>
              <w:spacing w:after="0"/>
              <w:jc w:val="center"/>
            </w:pPr>
            <w:r>
              <w:rPr>
                <w:rFonts w:ascii="Times New Roman" w:hAnsi="Times New Roman" w:eastAsia="ＭＳ 明朝" w:cs="Times New Roman" w:eastAsiaTheme="minorEastAsia"/>
                <w:b/>
                <w:bCs/>
                <w:color w:val="000000"/>
                <w:sz w:val="18"/>
                <w:szCs w:val="22"/>
              </w:rPr>
              <w:t>Meaning</w:t>
            </w:r>
          </w:p>
        </w:tc>
      </w:tr>
      <w:tr>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17C831D">
            <w:pPr>
              <w:spacing w:after="0" w:line="240" w:lineRule="auto"/>
            </w:pPr>
            <w:r>
              <w:rPr>
                <w:rFonts w:ascii="Times New Roman" w:hAnsi="Times New Roman" w:eastAsia="ＭＳ 明朝" w:cs="Times New Roman" w:eastAsiaTheme="minorEastAsia"/>
                <w:color w:val="000000"/>
                <w:sz w:val="18"/>
                <w:szCs w:val="22"/>
              </w:rPr>
              <w:t>ACP-STGAT</w:t>
            </w:r>
          </w:p>
        </w:tc>
        <w:tc>
          <w:tcPr>
            <w:tcW w:w="66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172A21E">
            <w:pPr>
              <w:spacing w:after="0" w:line="240" w:lineRule="auto"/>
            </w:pPr>
            <w:r>
              <w:rPr>
                <w:rFonts w:ascii="Times New Roman" w:hAnsi="Times New Roman" w:eastAsia="ＭＳ 明朝" w:cs="Times New Roman" w:eastAsiaTheme="minorEastAsia"/>
                <w:color w:val="000000"/>
                <w:sz w:val="18"/>
                <w:szCs w:val="22"/>
              </w:rPr>
              <w:t>Action-Conditioned Physics-Informed Spatio-Temporal Graph Attention Transformer</w:t>
            </w:r>
          </w:p>
        </w:tc>
      </w:tr>
      <w:tr>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33C5E37">
            <w:pPr>
              <w:spacing w:after="0" w:line="240" w:lineRule="auto"/>
            </w:pPr>
            <w:r>
              <w:rPr>
                <w:rFonts w:ascii="Times New Roman" w:hAnsi="Times New Roman" w:eastAsia="ＭＳ 明朝" w:cs="Times New Roman" w:eastAsiaTheme="minorEastAsia"/>
                <w:color w:val="000000"/>
                <w:sz w:val="18"/>
                <w:szCs w:val="22"/>
              </w:rPr>
              <w:t>ADE</w:t>
            </w:r>
          </w:p>
        </w:tc>
        <w:tc>
          <w:tcPr>
            <w:tcW w:w="66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4A9F0F8">
            <w:pPr>
              <w:spacing w:after="0" w:line="240" w:lineRule="auto"/>
            </w:pPr>
            <w:r>
              <w:rPr>
                <w:rFonts w:ascii="Times New Roman" w:hAnsi="Times New Roman" w:eastAsia="ＭＳ 明朝" w:cs="Times New Roman" w:eastAsiaTheme="minorEastAsia"/>
                <w:color w:val="000000"/>
                <w:sz w:val="18"/>
                <w:szCs w:val="22"/>
              </w:rPr>
              <w:t>Average displacement error</w:t>
            </w:r>
          </w:p>
        </w:tc>
      </w:tr>
      <w:tr>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871B00C">
            <w:pPr>
              <w:spacing w:after="0" w:line="240" w:lineRule="auto"/>
            </w:pPr>
            <w:r>
              <w:rPr>
                <w:rFonts w:ascii="Times New Roman" w:hAnsi="Times New Roman" w:eastAsia="ＭＳ 明朝" w:cs="Times New Roman" w:eastAsiaTheme="minorEastAsia"/>
                <w:color w:val="000000"/>
                <w:sz w:val="18"/>
                <w:szCs w:val="22"/>
              </w:rPr>
              <w:t>FDE</w:t>
            </w:r>
          </w:p>
        </w:tc>
        <w:tc>
          <w:tcPr>
            <w:tcW w:w="66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D29690C">
            <w:pPr>
              <w:spacing w:after="0" w:line="240" w:lineRule="auto"/>
            </w:pPr>
            <w:r>
              <w:rPr>
                <w:rFonts w:ascii="Times New Roman" w:hAnsi="Times New Roman" w:eastAsia="ＭＳ 明朝" w:cs="Times New Roman" w:eastAsiaTheme="minorEastAsia"/>
                <w:color w:val="000000"/>
                <w:sz w:val="18"/>
                <w:szCs w:val="22"/>
              </w:rPr>
              <w:t>Final displacement error</w:t>
            </w:r>
          </w:p>
        </w:tc>
      </w:tr>
      <w:tr>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E5F4275">
            <w:pPr>
              <w:spacing w:after="0" w:line="240" w:lineRule="auto"/>
            </w:pPr>
            <w:r>
              <w:rPr>
                <w:rFonts w:ascii="Times New Roman" w:hAnsi="Times New Roman" w:eastAsia="ＭＳ 明朝" w:cs="Times New Roman" w:eastAsiaTheme="minorEastAsia"/>
                <w:color w:val="000000"/>
                <w:sz w:val="18"/>
                <w:szCs w:val="22"/>
              </w:rPr>
              <w:t>F1</w:t>
            </w:r>
          </w:p>
        </w:tc>
        <w:tc>
          <w:tcPr>
            <w:tcW w:w="66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64EC651">
            <w:pPr>
              <w:spacing w:after="0" w:line="240" w:lineRule="auto"/>
            </w:pPr>
            <w:r>
              <w:rPr>
                <w:rFonts w:ascii="Times New Roman" w:hAnsi="Times New Roman" w:eastAsia="ＭＳ 明朝" w:cs="Times New Roman" w:eastAsiaTheme="minorEastAsia"/>
                <w:color w:val="000000"/>
                <w:sz w:val="18"/>
                <w:szCs w:val="22"/>
              </w:rPr>
              <w:t>Harmonic mean of precision and recall</w:t>
            </w:r>
          </w:p>
        </w:tc>
      </w:tr>
      <w:tr>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0937829">
            <w:pPr>
              <w:spacing w:after="0" w:line="240" w:lineRule="auto"/>
            </w:pPr>
            <w:r>
              <w:rPr>
                <w:rFonts w:ascii="Times New Roman" w:hAnsi="Times New Roman" w:eastAsia="ＭＳ 明朝" w:cs="Times New Roman" w:eastAsiaTheme="minorEastAsia"/>
                <w:color w:val="000000"/>
                <w:sz w:val="18"/>
                <w:szCs w:val="22"/>
              </w:rPr>
              <w:t>LLM</w:t>
            </w:r>
          </w:p>
        </w:tc>
        <w:tc>
          <w:tcPr>
            <w:tcW w:w="66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2AEFE51">
            <w:pPr>
              <w:spacing w:after="0" w:line="240" w:lineRule="auto"/>
            </w:pPr>
            <w:r>
              <w:rPr>
                <w:rFonts w:ascii="Times New Roman" w:hAnsi="Times New Roman" w:eastAsia="ＭＳ 明朝" w:cs="Times New Roman" w:eastAsiaTheme="minorEastAsia"/>
                <w:color w:val="000000"/>
                <w:sz w:val="18"/>
                <w:szCs w:val="22"/>
              </w:rPr>
              <w:t>Large language model</w:t>
            </w:r>
          </w:p>
        </w:tc>
      </w:tr>
      <w:tr>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31AE789">
            <w:pPr>
              <w:spacing w:after="0" w:line="240" w:lineRule="auto"/>
            </w:pPr>
            <w:r>
              <w:rPr>
                <w:rFonts w:ascii="Times New Roman" w:hAnsi="Times New Roman" w:eastAsia="ＭＳ 明朝" w:cs="Times New Roman" w:eastAsiaTheme="minorEastAsia"/>
                <w:color w:val="000000"/>
                <w:sz w:val="18"/>
                <w:szCs w:val="22"/>
              </w:rPr>
              <w:t>MPJPE</w:t>
            </w:r>
          </w:p>
        </w:tc>
        <w:tc>
          <w:tcPr>
            <w:tcW w:w="66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80BA6F0">
            <w:pPr>
              <w:spacing w:after="0" w:line="240" w:lineRule="auto"/>
            </w:pPr>
            <w:r>
              <w:rPr>
                <w:rFonts w:ascii="Times New Roman" w:hAnsi="Times New Roman" w:eastAsia="ＭＳ 明朝" w:cs="Times New Roman" w:eastAsiaTheme="minorEastAsia"/>
                <w:color w:val="000000"/>
                <w:sz w:val="18"/>
                <w:szCs w:val="22"/>
              </w:rPr>
              <w:t>Mean per-joint position error</w:t>
            </w:r>
          </w:p>
        </w:tc>
      </w:tr>
      <w:tr>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9D453D5">
            <w:pPr>
              <w:spacing w:after="0" w:line="240" w:lineRule="auto"/>
            </w:pPr>
            <w:r>
              <w:rPr>
                <w:rFonts w:ascii="Times New Roman" w:hAnsi="Times New Roman" w:eastAsia="ＭＳ 明朝" w:cs="Times New Roman" w:eastAsiaTheme="minorEastAsia"/>
                <w:color w:val="000000"/>
                <w:sz w:val="18"/>
                <w:szCs w:val="22"/>
              </w:rPr>
              <w:t>ONNX</w:t>
            </w:r>
          </w:p>
        </w:tc>
        <w:tc>
          <w:tcPr>
            <w:tcW w:w="66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52E20D8">
            <w:pPr>
              <w:spacing w:after="0" w:line="240" w:lineRule="auto"/>
            </w:pPr>
            <w:r>
              <w:rPr>
                <w:rFonts w:ascii="Times New Roman" w:hAnsi="Times New Roman" w:eastAsia="ＭＳ 明朝" w:cs="Times New Roman" w:eastAsiaTheme="minorEastAsia"/>
                <w:color w:val="000000"/>
                <w:sz w:val="18"/>
                <w:szCs w:val="22"/>
              </w:rPr>
              <w:t>Open Neural Network Exchange</w:t>
            </w:r>
          </w:p>
        </w:tc>
      </w:tr>
      <w:tr>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DBECB23">
            <w:pPr>
              <w:spacing w:after="0" w:line="240" w:lineRule="auto"/>
            </w:pPr>
            <w:r>
              <w:rPr>
                <w:rFonts w:ascii="Times New Roman" w:hAnsi="Times New Roman" w:eastAsia="ＭＳ 明朝" w:cs="Times New Roman" w:eastAsiaTheme="minorEastAsia"/>
                <w:color w:val="000000"/>
                <w:sz w:val="18"/>
                <w:szCs w:val="22"/>
              </w:rPr>
              <w:t>P001</w:t>
            </w:r>
          </w:p>
        </w:tc>
        <w:tc>
          <w:tcPr>
            <w:tcW w:w="66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BAAD169">
            <w:pPr>
              <w:spacing w:after="0" w:line="240" w:lineRule="auto"/>
            </w:pPr>
            <w:r>
              <w:rPr>
                <w:rFonts w:ascii="Times New Roman" w:hAnsi="Times New Roman" w:eastAsia="ＭＳ 明朝" w:cs="Times New Roman" w:eastAsiaTheme="minorEastAsia"/>
                <w:color w:val="000000"/>
                <w:sz w:val="18"/>
                <w:szCs w:val="22"/>
              </w:rPr>
              <w:t>Single researcher/developer/martial-arts expert participant</w:t>
            </w:r>
          </w:p>
        </w:tc>
      </w:tr>
      <w:tr>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61F7CD1">
            <w:pPr>
              <w:spacing w:after="0" w:line="240" w:lineRule="auto"/>
            </w:pPr>
            <w:r>
              <w:rPr>
                <w:rFonts w:ascii="Times New Roman" w:hAnsi="Times New Roman" w:eastAsia="ＭＳ 明朝" w:cs="Times New Roman" w:eastAsiaTheme="minorEastAsia"/>
                <w:color w:val="000000"/>
                <w:sz w:val="18"/>
                <w:szCs w:val="22"/>
              </w:rPr>
              <w:t>SA</w:t>
            </w:r>
          </w:p>
        </w:tc>
        <w:tc>
          <w:tcPr>
            <w:tcW w:w="66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7160DE6">
            <w:pPr>
              <w:spacing w:after="0" w:line="240" w:lineRule="auto"/>
            </w:pPr>
            <w:r>
              <w:rPr>
                <w:rFonts w:ascii="Times New Roman" w:hAnsi="Times New Roman" w:eastAsia="ＭＳ 明朝" w:cs="Times New Roman" w:eastAsiaTheme="minorEastAsia"/>
                <w:color w:val="000000"/>
                <w:sz w:val="18"/>
                <w:szCs w:val="22"/>
              </w:rPr>
              <w:t>Situation awareness</w:t>
            </w:r>
          </w:p>
        </w:tc>
      </w:tr>
      <w:tr>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9075C2F">
            <w:pPr>
              <w:spacing w:after="0" w:line="240" w:lineRule="auto"/>
            </w:pPr>
            <w:r>
              <w:rPr>
                <w:rFonts w:ascii="Times New Roman" w:hAnsi="Times New Roman" w:eastAsia="ＭＳ 明朝" w:cs="Times New Roman" w:eastAsiaTheme="minorEastAsia"/>
                <w:color w:val="000000"/>
                <w:sz w:val="18"/>
                <w:szCs w:val="22"/>
              </w:rPr>
              <w:t>ST-GCN</w:t>
            </w:r>
          </w:p>
        </w:tc>
        <w:tc>
          <w:tcPr>
            <w:tcW w:w="66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51DDEBD">
            <w:pPr>
              <w:spacing w:after="0" w:line="240" w:lineRule="auto"/>
            </w:pPr>
            <w:r>
              <w:rPr>
                <w:rFonts w:ascii="Times New Roman" w:hAnsi="Times New Roman" w:eastAsia="ＭＳ 明朝" w:cs="Times New Roman" w:eastAsiaTheme="minorEastAsia"/>
                <w:color w:val="000000"/>
                <w:sz w:val="18"/>
                <w:szCs w:val="22"/>
              </w:rPr>
              <w:t>Spatial-temporal graph convolutional network</w:t>
            </w:r>
          </w:p>
        </w:tc>
      </w:tr>
      <w:tr>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CF7F221">
            <w:pPr>
              <w:spacing w:after="0" w:line="240" w:lineRule="auto"/>
            </w:pPr>
            <w:r>
              <w:rPr>
                <w:rFonts w:ascii="Times New Roman" w:hAnsi="Times New Roman" w:eastAsia="ＭＳ 明朝" w:cs="Times New Roman" w:eastAsiaTheme="minorEastAsia"/>
                <w:color w:val="000000"/>
                <w:sz w:val="18"/>
                <w:szCs w:val="22"/>
              </w:rPr>
              <w:t>TCN</w:t>
            </w:r>
          </w:p>
        </w:tc>
        <w:tc>
          <w:tcPr>
            <w:tcW w:w="66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A32DD7C">
            <w:pPr>
              <w:spacing w:after="0" w:line="240" w:lineRule="auto"/>
            </w:pPr>
            <w:r>
              <w:rPr>
                <w:rFonts w:ascii="Times New Roman" w:hAnsi="Times New Roman" w:eastAsia="ＭＳ 明朝" w:cs="Times New Roman" w:eastAsiaTheme="minorEastAsia"/>
                <w:color w:val="000000"/>
                <w:sz w:val="18"/>
                <w:szCs w:val="22"/>
              </w:rPr>
              <w:t>Temporal convolutional network</w:t>
            </w:r>
          </w:p>
        </w:tc>
      </w:tr>
    </w:tbl>
    <w:p w14:paraId="55B7FF2F">
      <w:pPr>
        <w:widowControl/>
        <w:sectPr>
          <w:footerReference w:type="default" r:id="rId9"/>
          <w:pgSz w:w="11906" w:h="16838"/>
          <w:pgMar w:top="1417" w:right="850" w:bottom="1417" w:left="2268" w:header="680" w:footer="680" w:gutter="0"/>
          <w:docGrid w:linePitch="360"/>
        </w:sectPr>
      </w:pPr>
    </w:p>
    <w:p w14:paraId="356E15D2">
      <w:pPr>
        <w:pStyle w:val="Heading1"/>
        <w:keepNext/>
        <w:widowControl/>
        <w:spacing w:before="0" w:after="360"/>
        <w:jc w:val="center"/>
      </w:pPr>
      <w:r>
        <w:rPr>
          <w:rFonts w:ascii="Times New Roman" w:hAnsi="Times New Roman" w:eastAsia="ＭＳ ゴシック" w:cs="Times New Roman" w:eastAsiaTheme="majorEastAsia"/>
          <w:b/>
          <w:bCs/>
          <w:color w:val="000000"/>
          <w:sz w:val="28"/>
          <w:szCs w:val="28"/>
        </w:rPr>
        <w:t>CHAPTER 1</w:t>
      </w:r>
      <w:r>
        <w:br w:type="textWrapping"/>
      </w:r>
      <w:r>
        <w:rPr>
          <w:rFonts w:ascii="Times New Roman" w:hAnsi="Times New Roman" w:eastAsia="ＭＳ ゴシック" w:cs="Times New Roman" w:eastAsiaTheme="majorEastAsia"/>
          <w:b/>
          <w:bCs/>
          <w:color w:val="000000"/>
          <w:sz w:val="28"/>
          <w:szCs w:val="28"/>
        </w:rPr>
        <w:t>INTRODUCTION</w:t>
      </w:r>
    </w:p>
    <w:p w14:paraId="006F653F">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1.1 Background</w:t>
      </w:r>
    </w:p>
    <w:p w14:paraId="3E298F19">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Digital movement analysis has progressed from isolated image classification toward systems that track landmarks, represent temporal structure and support interactive feedback. In a martial-arts setting, however, a visible body configuration is rarely meaningful by itself. The same elbow angle can indicate preparation, extension, impact proximity or recovery depending on the surrounding movement. Coaching decisions also depend on tracking reliability, the ordering of actions, previous repetitions and the learner's recent history. These requirements motivate an integrated architecture rather than a single pose classifier.</w:t>
      </w:r>
    </w:p>
    <w:p w14:paraId="19D72E48">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Combat Cognition was conceived as a computational framework that links perception, comprehension and limited projection across several timescales. It receives monocular laptop-camera input, extracts body and hand evidence, evaluates expert-authored biomechanical rules, estimates temporal phase, forecasts near-future skeletal motion, maintains action/session/user state, selects an evidence-ranked correction and stores the resulting session history. The term cognition is used in a bounded computational sense. The artifact implements selected information-processing functions associated with interpreting movement and choosing feedback; it does not reproduce consciousness, biological cognition or the complete tactical capability of a human martial artist.</w:t>
      </w:r>
    </w:p>
    <w:p w14:paraId="0AD0B89A">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jab was selected as the single evaluation technique. It offers a compact but temporally ordered movement involving preparation, entry, extension, peak, retraction and recovery, while still requiring coordination of the shoulder, elbow, guard and body position. The framework is intended to be extensible, but evidence collected in this study applies only to the jab case, one researcher-expert participant and one laptop-camera configuration.</w:t>
      </w:r>
    </w:p>
    <w:p w14:paraId="49B674B0">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1.2 Research Problem</w:t>
      </w:r>
    </w:p>
    <w:p w14:paraId="2D5FC9DA">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Many pose and exercise-feedback systems focus on detecting landmarks, classifying an action or checking a small set of angles. These are valuable capabilities, but they do not by themselves connect short-term anticipation, ordered phase interpretation, evidence confidence, multi-repetition context and longer-term learner memory. A system that reacts to each frame independently can issue contradictory or mistimed corrections. Conversely, a learned model without deterministic evidence gates may produce a plausible prediction that should not be trusted under occlusion, tracking loss or domain shift.</w:t>
      </w:r>
    </w:p>
    <w:p w14:paraId="1A3A5D4D">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research problem is therefore how to design and evaluate a hybrid perception-awareness-decision framework that integrates learned temporal evidence with deterministic constraints while remaining explainable about what has and has not been validated. The problem includes a methodological challenge: model benchmarks, software tests and a single expert case measure different things. Treating them as one overall accuracy would create a scientifically invalid result.</w:t>
      </w:r>
    </w:p>
    <w:p w14:paraId="120CCB4C">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1.3 Aim</w:t>
      </w:r>
    </w:p>
    <w:p w14:paraId="3B677E88">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aim of this study is to design, implement and evaluate the Combat Cognition Framework as a core computational architecture for perceiving human movement, developing bounded situation awareness, assessing a martial-arts technique, making coaching decisions and providing personalized feedback.</w:t>
      </w:r>
    </w:p>
    <w:p w14:paraId="6929E97E">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1.4 Research Question</w:t>
      </w:r>
    </w:p>
    <w:p w14:paraId="795E1B84">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How can a hybrid perception-awareness-decision framework simulate selected computational functions of a martial artist when interpreting and assessing a martial-arts technique?</w:t>
      </w:r>
    </w:p>
    <w:p w14:paraId="54A4F376">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1.5 Objectives</w:t>
      </w:r>
    </w:p>
    <w:p w14:paraId="7396824E">
      <w:pPr>
        <w:widowControl/>
        <w:spacing w:before="160" w:after="80"/>
        <w:jc w:val="left"/>
      </w:pPr>
      <w:r>
        <w:rPr>
          <w:rFonts w:ascii="Times New Roman" w:hAnsi="Times New Roman" w:eastAsia="ＭＳ 明朝" w:cs="Times New Roman" w:eastAsiaTheme="minorEastAsia"/>
          <w:b/>
          <w:bCs/>
          <w:color w:val="000000"/>
          <w:sz w:val="24"/>
          <w:szCs w:val="22"/>
        </w:rPr>
        <w:t>Table 1.1 Research objectives and evidence boundaries</w:t>
      </w:r>
    </w:p>
    <w:tbl>
      <w:tblPr>
        <w:tblStyle w:val="TableGrid"/>
        <w:tblW w:w="8784"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929"/>
        <w:gridCol w:w="2929"/>
        <w:gridCol w:w="2929"/>
      </w:tblGrid>
      <w:tr>
        <w:trPr>
          <w:tblHeader/>
        </w:trPr>
        <w:tc>
          <w:tcPr>
            <w:tcW w:w="648"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20A62E03">
            <w:pPr>
              <w:spacing w:after="0"/>
              <w:jc w:val="center"/>
            </w:pPr>
            <w:r>
              <w:rPr>
                <w:rFonts w:ascii="Times New Roman" w:hAnsi="Times New Roman" w:eastAsia="ＭＳ 明朝" w:cs="Times New Roman" w:eastAsiaTheme="minorEastAsia"/>
                <w:b/>
                <w:bCs/>
                <w:color w:val="000000"/>
                <w:sz w:val="18"/>
                <w:szCs w:val="22"/>
              </w:rPr>
              <w:t>ID</w:t>
            </w:r>
          </w:p>
        </w:tc>
        <w:tc>
          <w:tcPr>
            <w:tcW w:w="5184"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2A4E9707">
            <w:pPr>
              <w:spacing w:after="0"/>
              <w:jc w:val="center"/>
            </w:pPr>
            <w:r>
              <w:rPr>
                <w:rFonts w:ascii="Times New Roman" w:hAnsi="Times New Roman" w:eastAsia="ＭＳ 明朝" w:cs="Times New Roman" w:eastAsiaTheme="minorEastAsia"/>
                <w:b/>
                <w:bCs/>
                <w:color w:val="000000"/>
                <w:sz w:val="18"/>
                <w:szCs w:val="22"/>
              </w:rPr>
              <w:t>Objective</w:t>
            </w:r>
          </w:p>
        </w:tc>
        <w:tc>
          <w:tcPr>
            <w:tcW w:w="2952"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71FF5D0F">
            <w:pPr>
              <w:spacing w:after="0"/>
              <w:jc w:val="center"/>
            </w:pPr>
            <w:r>
              <w:rPr>
                <w:rFonts w:ascii="Times New Roman" w:hAnsi="Times New Roman" w:eastAsia="ＭＳ 明朝" w:cs="Times New Roman" w:eastAsiaTheme="minorEastAsia"/>
                <w:b/>
                <w:bCs/>
                <w:color w:val="000000"/>
                <w:sz w:val="18"/>
                <w:szCs w:val="22"/>
              </w:rPr>
              <w:t>Boundary</w:t>
            </w:r>
          </w:p>
        </w:tc>
      </w:tr>
      <w:tr>
        <w:tc>
          <w:tcPr>
            <w:tcW w:w="6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8EAABA5">
            <w:pPr>
              <w:spacing w:after="0" w:line="240" w:lineRule="auto"/>
            </w:pPr>
            <w:r>
              <w:rPr>
                <w:rFonts w:ascii="Times New Roman" w:hAnsi="Times New Roman" w:eastAsia="ＭＳ 明朝" w:cs="Times New Roman" w:eastAsiaTheme="minorEastAsia"/>
                <w:color w:val="000000"/>
                <w:sz w:val="18"/>
                <w:szCs w:val="22"/>
              </w:rPr>
              <w:t>O1</w:t>
            </w:r>
          </w:p>
        </w:tc>
        <w:tc>
          <w:tcPr>
            <w:tcW w:w="518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64298ED">
            <w:pPr>
              <w:spacing w:after="0" w:line="240" w:lineRule="auto"/>
            </w:pPr>
            <w:r>
              <w:rPr>
                <w:rFonts w:ascii="Times New Roman" w:hAnsi="Times New Roman" w:eastAsia="ＭＳ 明朝" w:cs="Times New Roman" w:eastAsiaTheme="minorEastAsia"/>
                <w:color w:val="000000"/>
                <w:sz w:val="18"/>
                <w:szCs w:val="22"/>
              </w:rPr>
              <w:t>Implement laptop-camera body/hand perception, visibility-aware motion context and expert-authored jab-form rules.</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63E0BF3">
            <w:pPr>
              <w:spacing w:after="0" w:line="240" w:lineRule="auto"/>
            </w:pPr>
            <w:r>
              <w:rPr>
                <w:rFonts w:ascii="Times New Roman" w:hAnsi="Times New Roman" w:eastAsia="ＭＳ 明朝" w:cs="Times New Roman" w:eastAsiaTheme="minorEastAsia"/>
                <w:color w:val="000000"/>
                <w:sz w:val="18"/>
                <w:szCs w:val="22"/>
              </w:rPr>
              <w:t>Implementation feasibility; not independent landmark or form accuracy.</w:t>
            </w:r>
          </w:p>
        </w:tc>
      </w:tr>
      <w:tr>
        <w:tc>
          <w:tcPr>
            <w:tcW w:w="6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C49A076">
            <w:pPr>
              <w:spacing w:after="0" w:line="240" w:lineRule="auto"/>
            </w:pPr>
            <w:r>
              <w:rPr>
                <w:rFonts w:ascii="Times New Roman" w:hAnsi="Times New Roman" w:eastAsia="ＭＳ 明朝" w:cs="Times New Roman" w:eastAsiaTheme="minorEastAsia"/>
                <w:color w:val="000000"/>
                <w:sz w:val="18"/>
                <w:szCs w:val="22"/>
              </w:rPr>
              <w:t>O2</w:t>
            </w:r>
          </w:p>
        </w:tc>
        <w:tc>
          <w:tcPr>
            <w:tcW w:w="518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6B343BF">
            <w:pPr>
              <w:spacing w:after="0" w:line="240" w:lineRule="auto"/>
            </w:pPr>
            <w:r>
              <w:rPr>
                <w:rFonts w:ascii="Times New Roman" w:hAnsi="Times New Roman" w:eastAsia="ＭＳ 明朝" w:cs="Times New Roman" w:eastAsiaTheme="minorEastAsia"/>
                <w:color w:val="000000"/>
                <w:sz w:val="18"/>
                <w:szCs w:val="22"/>
              </w:rPr>
              <w:t>Implement ACP-STGAT and evaluate a 30-frame forecast using participant-held-out benchmark data, simple baselines, robustness and ONNX checks.</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8BA3CEB">
            <w:pPr>
              <w:spacing w:after="0" w:line="240" w:lineRule="auto"/>
            </w:pPr>
            <w:r>
              <w:rPr>
                <w:rFonts w:ascii="Times New Roman" w:hAnsi="Times New Roman" w:eastAsia="ＭＳ 明朝" w:cs="Times New Roman" w:eastAsiaTheme="minorEastAsia"/>
                <w:color w:val="000000"/>
                <w:sz w:val="18"/>
                <w:szCs w:val="22"/>
              </w:rPr>
              <w:t>Normalized Human3.6M-17 evidence; not live jab prediction.</w:t>
            </w:r>
          </w:p>
        </w:tc>
      </w:tr>
      <w:tr>
        <w:tc>
          <w:tcPr>
            <w:tcW w:w="6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BDA10EC">
            <w:pPr>
              <w:spacing w:after="0" w:line="240" w:lineRule="auto"/>
            </w:pPr>
            <w:r>
              <w:rPr>
                <w:rFonts w:ascii="Times New Roman" w:hAnsi="Times New Roman" w:eastAsia="ＭＳ 明朝" w:cs="Times New Roman" w:eastAsiaTheme="minorEastAsia"/>
                <w:color w:val="000000"/>
                <w:sz w:val="18"/>
                <w:szCs w:val="22"/>
              </w:rPr>
              <w:t>O3</w:t>
            </w:r>
          </w:p>
        </w:tc>
        <w:tc>
          <w:tcPr>
            <w:tcW w:w="518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105DDE4">
            <w:pPr>
              <w:spacing w:after="0" w:line="240" w:lineRule="auto"/>
            </w:pPr>
            <w:r>
              <w:rPr>
                <w:rFonts w:ascii="Times New Roman" w:hAnsi="Times New Roman" w:eastAsia="ＭＳ 明朝" w:cs="Times New Roman" w:eastAsiaTheme="minorEastAsia"/>
                <w:color w:val="000000"/>
                <w:sz w:val="18"/>
                <w:szCs w:val="22"/>
              </w:rPr>
              <w:t>Implement ordered temporal phase classification and decoding and verify the pipeline using generated-bootstrap metrics and P001 post-session observations.</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07908B4">
            <w:pPr>
              <w:spacing w:after="0" w:line="240" w:lineRule="auto"/>
            </w:pPr>
            <w:r>
              <w:rPr>
                <w:rFonts w:ascii="Times New Roman" w:hAnsi="Times New Roman" w:eastAsia="ＭＳ 明朝" w:cs="Times New Roman" w:eastAsiaTheme="minorEastAsia"/>
                <w:color w:val="000000"/>
                <w:sz w:val="18"/>
                <w:szCs w:val="22"/>
              </w:rPr>
              <w:t>Generated structure and self-observation; not real annotated accuracy.</w:t>
            </w:r>
          </w:p>
        </w:tc>
      </w:tr>
      <w:tr>
        <w:trPr>
          <w:trHeight w:val="1343" w:hRule="atLeast"/>
        </w:trPr>
        <w:tc>
          <w:tcPr>
            <w:tcW w:w="6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AFD8506">
            <w:pPr>
              <w:spacing w:after="0" w:line="240" w:lineRule="auto"/>
            </w:pPr>
            <w:r>
              <w:rPr>
                <w:rFonts w:ascii="Times New Roman" w:hAnsi="Times New Roman" w:eastAsia="ＭＳ 明朝" w:cs="Times New Roman" w:eastAsiaTheme="minorEastAsia"/>
                <w:color w:val="000000"/>
                <w:sz w:val="18"/>
                <w:szCs w:val="22"/>
              </w:rPr>
              <w:t>O4</w:t>
            </w:r>
          </w:p>
        </w:tc>
        <w:tc>
          <w:tcPr>
            <w:tcW w:w="518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BF411D0">
            <w:pPr>
              <w:spacing w:after="0" w:line="240" w:lineRule="auto"/>
            </w:pPr>
            <w:r>
              <w:rPr>
                <w:rFonts w:ascii="Times New Roman" w:hAnsi="Times New Roman" w:eastAsia="ＭＳ 明朝" w:cs="Times New Roman" w:eastAsiaTheme="minorEastAsia"/>
                <w:color w:val="000000"/>
                <w:sz w:val="18"/>
                <w:szCs w:val="22"/>
              </w:rPr>
              <w:t>Integrate L1-L4 computational context, evidence-gated situation awareness, memory and a structured coaching context.</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134D31E">
            <w:pPr>
              <w:spacing w:after="0" w:line="240" w:lineRule="auto"/>
            </w:pPr>
            <w:r>
              <w:rPr>
                <w:rFonts w:ascii="Times New Roman" w:hAnsi="Times New Roman" w:eastAsia="ＭＳ 明朝" w:cs="Times New Roman" w:eastAsiaTheme="minorEastAsia"/>
                <w:color w:val="000000"/>
                <w:sz w:val="18"/>
                <w:szCs w:val="22"/>
              </w:rPr>
              <w:t>Computational architecture; not human awareness.</w:t>
            </w:r>
          </w:p>
        </w:tc>
      </w:tr>
      <w:tr>
        <w:tc>
          <w:tcPr>
            <w:tcW w:w="6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D12DCEE">
            <w:pPr>
              <w:spacing w:after="0" w:line="240" w:lineRule="auto"/>
            </w:pPr>
            <w:r>
              <w:rPr>
                <w:rFonts w:ascii="Times New Roman" w:hAnsi="Times New Roman" w:eastAsia="ＭＳ 明朝" w:cs="Times New Roman" w:eastAsiaTheme="minorEastAsia"/>
                <w:color w:val="000000"/>
                <w:sz w:val="18"/>
                <w:szCs w:val="22"/>
              </w:rPr>
              <w:t>O5</w:t>
            </w:r>
          </w:p>
        </w:tc>
        <w:tc>
          <w:tcPr>
            <w:tcW w:w="518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EDDB0B5">
            <w:pPr>
              <w:spacing w:after="0" w:line="240" w:lineRule="auto"/>
            </w:pPr>
            <w:r>
              <w:rPr>
                <w:rFonts w:ascii="Times New Roman" w:hAnsi="Times New Roman" w:eastAsia="ＭＳ 明朝" w:cs="Times New Roman" w:eastAsiaTheme="minorEastAsia"/>
                <w:color w:val="000000"/>
                <w:sz w:val="18"/>
                <w:szCs w:val="22"/>
              </w:rPr>
              <w:t>Implement deterministic rule/template coaching through voice/UI pathways with persistent session analytics.</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F1E7CC0">
            <w:pPr>
              <w:spacing w:after="0" w:line="240" w:lineRule="auto"/>
            </w:pPr>
            <w:r>
              <w:rPr>
                <w:rFonts w:ascii="Times New Roman" w:hAnsi="Times New Roman" w:eastAsia="ＭＳ 明朝" w:cs="Times New Roman" w:eastAsiaTheme="minorEastAsia"/>
                <w:color w:val="000000"/>
                <w:sz w:val="18"/>
                <w:szCs w:val="22"/>
              </w:rPr>
              <w:t>No operational OpenAI LLM and no independent feedback-correctness result.</w:t>
            </w:r>
          </w:p>
        </w:tc>
      </w:tr>
      <w:tr>
        <w:tc>
          <w:tcPr>
            <w:tcW w:w="6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010977F">
            <w:pPr>
              <w:spacing w:after="0" w:line="240" w:lineRule="auto"/>
            </w:pPr>
            <w:r>
              <w:rPr>
                <w:rFonts w:ascii="Times New Roman" w:hAnsi="Times New Roman" w:eastAsia="ＭＳ 明朝" w:cs="Times New Roman" w:eastAsiaTheme="minorEastAsia"/>
                <w:color w:val="000000"/>
                <w:sz w:val="18"/>
                <w:szCs w:val="22"/>
              </w:rPr>
              <w:t>O6</w:t>
            </w:r>
          </w:p>
        </w:tc>
        <w:tc>
          <w:tcPr>
            <w:tcW w:w="518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ACFCBCB">
            <w:pPr>
              <w:spacing w:after="0" w:line="240" w:lineRule="auto"/>
            </w:pPr>
            <w:r>
              <w:rPr>
                <w:rFonts w:ascii="Times New Roman" w:hAnsi="Times New Roman" w:eastAsia="ＭＳ 明朝" w:cs="Times New Roman" w:eastAsiaTheme="minorEastAsia"/>
                <w:color w:val="000000"/>
                <w:sz w:val="18"/>
                <w:szCs w:val="22"/>
              </w:rPr>
              <w:t>Evaluate the artifact using separated model, software, framework-case and failure-mode evidence.</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920D79A">
            <w:pPr>
              <w:spacing w:after="0" w:line="240" w:lineRule="auto"/>
            </w:pPr>
            <w:r>
              <w:rPr>
                <w:rFonts w:ascii="Times New Roman" w:hAnsi="Times New Roman" w:eastAsia="ＭＳ 明朝" w:cs="Times New Roman" w:eastAsiaTheme="minorEastAsia"/>
                <w:color w:val="000000"/>
                <w:sz w:val="18"/>
                <w:szCs w:val="22"/>
              </w:rPr>
              <w:t>P001 jab-only feasibility; not effectiveness or combined accuracy.</w:t>
            </w:r>
          </w:p>
        </w:tc>
      </w:tr>
    </w:tbl>
    <w:p w14:paraId="2C562943">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1.6 Scope and Contributions</w:t>
      </w:r>
    </w:p>
    <w:p w14:paraId="5D3061EB">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empirical scope is intentionally narrow: participant P001 is the researcher, developer and martial-arts expert; the technique is a jab; and sensing uses a laptop camera. The work is classified as a single-participant expert feasibility/self-evaluation case embedded in a design-science study. Original recordings remain private and are excluded from the submitted report. Screenshots and derived session evidence are restricted to functional illustration.</w:t>
      </w:r>
    </w:p>
    <w:p w14:paraId="695E3B8E">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study contributes an implemented multi-layer architecture, two deployed temporal models, explicit evidence gates, deterministic coaching and a reproducible claim-control protocol. It also contributes negative and limiting evidence: generated phase data are not presented as real accuracy; model-only latency is not end-to-end latency; a database integration inconsistency is retained; and the absence of an operational LLM is reported rather than obscured.</w:t>
      </w:r>
    </w:p>
    <w:p w14:paraId="4BB2667C">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1.7 Structure of the Report</w:t>
      </w:r>
    </w:p>
    <w:p w14:paraId="5F1A8BF0">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Chapter 2 reviews the evidence that motivates markerless perception, skeleton graph modelling, future-motion prediction, temporal segmentation, monocular uncertainty, situation awareness, design-science evaluation and jab biomechanics. Chapter 3 describes the research design and implemented architecture. Chapter 4 reports offline model evidence, software verification, the P001 framework case, failure modes and evidence-to-claim reconciliation. Chapter 5 answers the research question, summarizes contributions and identifies future evaluation.</w:t>
      </w:r>
    </w:p>
    <w:p w14:paraId="631408DC">
      <w:pPr>
        <w:pageBreakBefore/>
        <w:widowControl/>
      </w:pPr>
      <w:r/>
    </w:p>
    <w:p w14:paraId="1F53C634">
      <w:pPr>
        <w:pStyle w:val="Heading1"/>
        <w:keepNext/>
        <w:widowControl/>
        <w:spacing w:before="0" w:after="360"/>
        <w:jc w:val="center"/>
      </w:pPr>
      <w:r>
        <w:rPr>
          <w:rFonts w:ascii="Times New Roman" w:hAnsi="Times New Roman" w:eastAsia="ＭＳ ゴシック" w:cs="Times New Roman" w:eastAsiaTheme="majorEastAsia"/>
          <w:b/>
          <w:bCs/>
          <w:color w:val="000000"/>
          <w:sz w:val="28"/>
          <w:szCs w:val="28"/>
        </w:rPr>
        <w:t>CHAPTER 2</w:t>
      </w:r>
      <w:r>
        <w:br w:type="textWrapping"/>
      </w:r>
      <w:r>
        <w:rPr>
          <w:rFonts w:ascii="Times New Roman" w:hAnsi="Times New Roman" w:eastAsia="ＭＳ ゴシック" w:cs="Times New Roman" w:eastAsiaTheme="majorEastAsia"/>
          <w:b/>
          <w:bCs/>
          <w:color w:val="000000"/>
          <w:sz w:val="28"/>
          <w:szCs w:val="28"/>
        </w:rPr>
        <w:t>LITERATURE REVIEW</w:t>
      </w:r>
    </w:p>
    <w:p w14:paraId="1BBB3CBE">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2.1 Markerless Perception and On-Device Pose Estimation</w:t>
      </w:r>
    </w:p>
    <w:p w14:paraId="1B774FC2">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A perception layer is required before higher-order temporal reasoning can occur. BlazePose demonstrates a lightweight detector-tracker pipeline that estimates 33 body keypoints for a single person and is designed for real-time use (Bazarevsky et al., 2020). BlazePose GHUM extends this direction toward body and hand landmarks from monocular RGB input and emphasizes on-device operation (Grishchenko et al., 2022). MediaPipe Hands provides a related 21-landmark hand model suitable for guard and hand-readiness diagnostics (Zhang et al., 2020). MediaPipe's graph-based framework further supports modular perception pipelines in which sensing, transformation and inference components are combined as processing graphs (Lugaresi et al., 2019).</w:t>
      </w:r>
    </w:p>
    <w:p w14:paraId="0A29630D">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These sources justify the technical feasibility of laptop-camera landmark extraction, but they do not validate the downstream Combat Cognition rules. Vendor or benchmark keypoint measures are not jab-form accuracy. Hand landmarks may be occluded, depth is uncertain, and a single-person tracker can fail under fast motion or unusual framing. The local system therefore retains visibility, tracking-quality and failure evidence instead of assuming every landmark is correct.</w:t>
      </w:r>
    </w:p>
    <w:p w14:paraId="5888CE43">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2.2 Skeletons as Spatial-Temporal Graphs</w:t>
      </w:r>
    </w:p>
    <w:p w14:paraId="75DBDE4E">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Skeleton sequences have a natural graph interpretation: joints are nodes, anatomical links form spatial edges and repeated joints across frames form temporal edges. ST-GCN established this representation for action recognition (Yan, Xiong and Lin, 2018). Two-stream adaptive graph convolution showed that learned topology and bone vectors can complement fixed physical structure (Shi et al., 2019), while multi-scale spatial-temporal graph convolution motivated relationships beyond immediate neighbours (Chen et al., 2021). Actional-structural GCNs similarly distinguish structural and task-dependent connections and use future-pose prediction as an auxiliary representation objective (Li et al., 2019).</w:t>
      </w:r>
    </w:p>
    <w:p w14:paraId="540A617A">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literature supports graph-based representation as a design precedent, not direct validation of ACP-STGAT. Most cited studies address recognition on large skeleton datasets rather than regression of future coordinates in a live jab. Learned edges must also be treated as computational dependencies rather than causal biomechanical pathways. The project accordingly evaluates the predictor on its own stated protocol and avoids transferring external accuracy figures.</w:t>
      </w:r>
    </w:p>
    <w:p w14:paraId="0557C451">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2.3 Future-Motion Prediction</w:t>
      </w:r>
    </w:p>
    <w:p w14:paraId="6FB5C07D">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Future-motion prediction seeks a sequence of poses beyond the observed window. Martinez, Black and Romero (2017) demonstrated that a simple last-pose or zero-velocity predictor can be difficult to beat at short horizons, making simple baselines essential. Mao et al. (2019) modelled joint trajectories using temporal transformations and learned graph dependencies and reported error across forecast horizons. These findings support the use of horizon-specific displacement errors and baseline comparisons rather than an invented accuracy percentage.</w:t>
      </w:r>
    </w:p>
    <w:p w14:paraId="261B3A8A">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Combat Cognition's ACP-STGAT is evaluated using normalized mean per-joint displacement, final displacement and bone-length consistency. Because coordinates are normalized, errors cannot be labelled millimetres or centimetres. Human3.6M provides calibrated multi-view motion-capture evidence for general human activities (Ionescu et al., 2014), but its controlled activities and 17-joint representation differ from a MediaPipe-33 laptop-camera jab. The benchmark can test forecasting capability while leaving a clear domain gap.</w:t>
      </w:r>
    </w:p>
    <w:p w14:paraId="434FC72D">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2.4 Temporal Phase Classification and Segmentation</w:t>
      </w:r>
    </w:p>
    <w:p w14:paraId="0CD71A60">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A martial-arts technique is temporally ordered, and frame accuracy alone can conceal boundary jitter, over-segmentation or impossible transitions. MS-TCN uses multi-stage temporal convolution and a smoothing objective to refine framewise action segments (Abu Farha and Gall, 2019). ASFormer combines local temporal priors, hierarchical attention and iterative decoding and also illustrates the difficulty of high-capacity temporal models when labelled data are limited (Yi, Wen and Jiang, 2021).</w:t>
      </w:r>
    </w:p>
    <w:p w14:paraId="75DA91D7">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These studies motivate reporting balanced accuracy, macro and per-class F1, confusion, boundary timing and repetition recovery. They do not make generated bootstrap data equivalent to human annotation. The current phase classifier is therefore presented as a complete synthetic pipeline evaluation. Its strong boundary scores describe generator-defined, smoothly separated phases; human movement may contain gradual, ambiguous and participant-dependent transitions.</w:t>
      </w:r>
    </w:p>
    <w:p w14:paraId="04BCBB37">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2.5 Monocular Three-Dimensional Uncertainty</w:t>
      </w:r>
    </w:p>
    <w:p w14:paraId="346078C2">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Monocular images do not uniquely determine three-dimensional pose. Controlled datasets such as Human3.6M use multiple cameras and motion capture (Ionescu et al., 2014), whereas MPI-INF-3DHP broadens appearance and environment variation but remains a curated benchmark with limited actors (Mehta et al., 2017). The 3DPW dataset combines video with body-worn inertial units to strengthen in-the-wild ground truth (von Marcard et al., 2018). Probabilistic monocular pose research explicitly represents multiple feasible three-dimensional hypotheses for the same two-dimensional observation (Wehrbein et al., 2021).</w:t>
      </w:r>
    </w:p>
    <w:p w14:paraId="762E0083">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This literature establishes a mandatory measurement boundary. MediaPipe-relative coordinates and camera-derived angles are useful computational features, but they are not independently calibrated biomechanics. Depth ambiguity, clothing, viewpoint, self-occlusion and high-speed movement affect confidence. Physical-unit, force, injury or energy-expenditure claims would require calibrated external sensors and a different protocol.</w:t>
      </w:r>
    </w:p>
    <w:p w14:paraId="291C1F4E">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2.6 Situation Awareness and Multi-Timescale Context</w:t>
      </w:r>
    </w:p>
    <w:p w14:paraId="6D524CAF">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Endsley's situation-awareness model distinguishes perception of elements, comprehension of their meaning and projection of likely future status (Endsley, 1995). This provides a useful conceptual lens for the framework: landmarks and motion contribute perception; phase, form and session state contribute computational interpretation; and ACP-STGAT contributes a bounded projection signal. The mapping does not imply that the software possesses human awareness. Goals, expertise, attention and mental models are properties of human cognition that are not reproduced merely by naming software layers after them.</w:t>
      </w:r>
    </w:p>
    <w:p w14:paraId="2588A9C3">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Combat Cognition adds multiple time horizons: L1 represents immediate motion, L2 represents action and projection, L3 represents the session and repetitions, and L4 represents stored learner history. This hierarchy addresses a gap between systems that end at action classification and coaching systems that must remember repeated errors or adjust pacing. Longitudinal validity remains untested in the present single-case evaluation.</w:t>
      </w:r>
    </w:p>
    <w:p w14:paraId="437B5EF6">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2.7 Design-Science Evaluation and Reflexivity</w:t>
      </w:r>
    </w:p>
    <w:p w14:paraId="78FF8649">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Design-science research evaluates purposeful artifacts through a combination of relevance, rigor, construction and evaluation (Hevner et al., 2004). This orientation fits Combat Cognition because the contribution is an integrated artifact and associated design knowledge, not a population-level clinical intervention. Software tests, model experiments, an expert case and failure evidence can jointly characterize the artifact, provided they are not collapsed into a single metric.</w:t>
      </w:r>
    </w:p>
    <w:p w14:paraId="5CF1B1D0">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researcher also supplied the martial-arts expertise used to formulate phase ordering, feedback priorities and thresholds. This creates valuable domain knowledge but also reflexive bias: the same individual designed, implemented and evaluated the system. The study therefore uses the term expert self-evaluation, identifies thresholds as expert-authored and treats independent expert triangulation as future work.</w:t>
      </w:r>
    </w:p>
    <w:p w14:paraId="65F8140B">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2.8 Jab Biomechanics and Context</w:t>
      </w:r>
    </w:p>
    <w:p w14:paraId="4DF26E95">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Punch kinematics depend on punch type and execution context. Piorkowski, Lees and Barton (2011) reported differences between single and combination punches, cautioning against transferring one protocol to another. Lockwood and Tant (1997) examined jab mechanics using two-dimensional kinematics, electromyography and an instrumented bag in a small sample, supporting a coordinated multi-joint view while also illustrating sampling and measurement limitations. Ald'ily et al. (2023) analysed straight-punch variants with consumer video and considered shoulder, elbow, pelvis and lower-limb variables, but their values cannot define universal jab thresholds.</w:t>
      </w:r>
    </w:p>
    <w:p w14:paraId="37207599">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literature supports including multiple joints and contextual variables, not treating elbow extension as the whole technique. Combat Cognition accordingly evaluates elbow, shoulder and guard-related evidence within an ordered sequence. Numerical coaching ranges remain prototype expert-authored tolerances. The camera cannot measure punch force, muscle activation, metabolic cost or injury prevention.</w:t>
      </w:r>
    </w:p>
    <w:p w14:paraId="74981704">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2.9 Literature Synthesis and Research Gap</w:t>
      </w:r>
    </w:p>
    <w:p w14:paraId="416540E7">
      <w:pPr>
        <w:widowControl/>
        <w:spacing w:before="160" w:after="80"/>
        <w:jc w:val="left"/>
      </w:pPr>
      <w:r>
        <w:rPr>
          <w:rFonts w:ascii="Times New Roman" w:hAnsi="Times New Roman" w:eastAsia="ＭＳ 明朝" w:cs="Times New Roman" w:eastAsiaTheme="minorEastAsia"/>
          <w:b/>
          <w:bCs/>
          <w:color w:val="000000"/>
          <w:sz w:val="24"/>
          <w:szCs w:val="22"/>
        </w:rPr>
        <w:t>Table 2.1 Literature-to-framework synthesis</w:t>
      </w:r>
    </w:p>
    <w:tbl>
      <w:tblPr>
        <w:tblStyle w:val="TableGrid"/>
        <w:tblW w:w="8784"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197"/>
        <w:gridCol w:w="2197"/>
        <w:gridCol w:w="2197"/>
        <w:gridCol w:w="2197"/>
      </w:tblGrid>
      <w:tr>
        <w:trPr>
          <w:tblHeader/>
        </w:trPr>
        <w:tc>
          <w:tcPr>
            <w:tcW w:w="1656"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0983D688">
            <w:pPr>
              <w:spacing w:after="0"/>
              <w:jc w:val="center"/>
            </w:pPr>
            <w:r>
              <w:rPr>
                <w:rFonts w:ascii="Times New Roman" w:hAnsi="Times New Roman" w:eastAsia="ＭＳ 明朝" w:cs="Times New Roman" w:eastAsiaTheme="minorEastAsia"/>
                <w:b/>
                <w:bCs/>
                <w:color w:val="000000"/>
                <w:sz w:val="18"/>
                <w:szCs w:val="22"/>
              </w:rPr>
              <w:t>Area</w:t>
            </w:r>
          </w:p>
        </w:tc>
        <w:tc>
          <w:tcPr>
            <w:tcW w:w="2520"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1038E050">
            <w:pPr>
              <w:spacing w:after="0"/>
              <w:jc w:val="center"/>
            </w:pPr>
            <w:r>
              <w:rPr>
                <w:rFonts w:ascii="Times New Roman" w:hAnsi="Times New Roman" w:eastAsia="ＭＳ 明朝" w:cs="Times New Roman" w:eastAsiaTheme="minorEastAsia"/>
                <w:b/>
                <w:bCs/>
                <w:color w:val="000000"/>
                <w:sz w:val="18"/>
                <w:szCs w:val="22"/>
              </w:rPr>
              <w:t>Supported proposition</w:t>
            </w:r>
          </w:p>
        </w:tc>
        <w:tc>
          <w:tcPr>
            <w:tcW w:w="2232"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57C06F1E">
            <w:pPr>
              <w:spacing w:after="0"/>
              <w:jc w:val="center"/>
            </w:pPr>
            <w:r>
              <w:rPr>
                <w:rFonts w:ascii="Times New Roman" w:hAnsi="Times New Roman" w:eastAsia="ＭＳ 明朝" w:cs="Times New Roman" w:eastAsiaTheme="minorEastAsia"/>
                <w:b/>
                <w:bCs/>
                <w:color w:val="000000"/>
                <w:sz w:val="18"/>
                <w:szCs w:val="22"/>
              </w:rPr>
              <w:t>Key limitation</w:t>
            </w:r>
          </w:p>
        </w:tc>
        <w:tc>
          <w:tcPr>
            <w:tcW w:w="2376"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2022A971">
            <w:pPr>
              <w:spacing w:after="0"/>
              <w:jc w:val="center"/>
            </w:pPr>
            <w:r>
              <w:rPr>
                <w:rFonts w:ascii="Times New Roman" w:hAnsi="Times New Roman" w:eastAsia="ＭＳ 明朝" w:cs="Times New Roman" w:eastAsiaTheme="minorEastAsia"/>
                <w:b/>
                <w:bCs/>
                <w:color w:val="000000"/>
                <w:sz w:val="18"/>
                <w:szCs w:val="22"/>
              </w:rPr>
              <w:t>Framework use</w:t>
            </w:r>
          </w:p>
        </w:tc>
      </w:tr>
      <w:tr>
        <w:tc>
          <w:tcPr>
            <w:tcW w:w="16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6C36BA4">
            <w:pPr>
              <w:spacing w:after="0" w:line="240" w:lineRule="auto"/>
            </w:pPr>
            <w:r>
              <w:rPr>
                <w:rFonts w:ascii="Times New Roman" w:hAnsi="Times New Roman" w:eastAsia="ＭＳ 明朝" w:cs="Times New Roman" w:eastAsiaTheme="minorEastAsia"/>
                <w:color w:val="000000"/>
                <w:sz w:val="18"/>
                <w:szCs w:val="22"/>
              </w:rPr>
              <w:t>Markerless pose</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8CF4F64">
            <w:pPr>
              <w:spacing w:after="0" w:line="240" w:lineRule="auto"/>
            </w:pPr>
            <w:r>
              <w:rPr>
                <w:rFonts w:ascii="Times New Roman" w:hAnsi="Times New Roman" w:eastAsia="ＭＳ 明朝" w:cs="Times New Roman" w:eastAsiaTheme="minorEastAsia"/>
                <w:color w:val="000000"/>
                <w:sz w:val="18"/>
                <w:szCs w:val="22"/>
              </w:rPr>
              <w:t>Real-time body/hand landmarks</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DCB8D2A">
            <w:pPr>
              <w:spacing w:after="0" w:line="240" w:lineRule="auto"/>
            </w:pPr>
            <w:r>
              <w:rPr>
                <w:rFonts w:ascii="Times New Roman" w:hAnsi="Times New Roman" w:eastAsia="ＭＳ 明朝" w:cs="Times New Roman" w:eastAsiaTheme="minorEastAsia"/>
                <w:color w:val="000000"/>
                <w:sz w:val="18"/>
                <w:szCs w:val="22"/>
              </w:rPr>
              <w:t>Task and depth uncertainty</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1F1E5A1">
            <w:pPr>
              <w:spacing w:after="0" w:line="240" w:lineRule="auto"/>
            </w:pPr>
            <w:r>
              <w:rPr>
                <w:rFonts w:ascii="Times New Roman" w:hAnsi="Times New Roman" w:eastAsia="ＭＳ 明朝" w:cs="Times New Roman" w:eastAsiaTheme="minorEastAsia"/>
                <w:color w:val="000000"/>
                <w:sz w:val="18"/>
                <w:szCs w:val="22"/>
              </w:rPr>
              <w:t>Perception with confidence/visibility</w:t>
            </w:r>
          </w:p>
        </w:tc>
      </w:tr>
      <w:tr>
        <w:tc>
          <w:tcPr>
            <w:tcW w:w="16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489747E">
            <w:pPr>
              <w:spacing w:after="0" w:line="240" w:lineRule="auto"/>
            </w:pPr>
            <w:r>
              <w:rPr>
                <w:rFonts w:ascii="Times New Roman" w:hAnsi="Times New Roman" w:eastAsia="ＭＳ 明朝" w:cs="Times New Roman" w:eastAsiaTheme="minorEastAsia"/>
                <w:color w:val="000000"/>
                <w:sz w:val="18"/>
                <w:szCs w:val="22"/>
              </w:rPr>
              <w:t>Skeleton graphs</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AC1D3EF">
            <w:pPr>
              <w:spacing w:after="0" w:line="240" w:lineRule="auto"/>
            </w:pPr>
            <w:r>
              <w:rPr>
                <w:rFonts w:ascii="Times New Roman" w:hAnsi="Times New Roman" w:eastAsia="ＭＳ 明朝" w:cs="Times New Roman" w:eastAsiaTheme="minorEastAsia"/>
                <w:color w:val="000000"/>
                <w:sz w:val="18"/>
                <w:szCs w:val="22"/>
              </w:rPr>
              <w:t>Spatial-temporal joint representation</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638B01F">
            <w:pPr>
              <w:spacing w:after="0" w:line="240" w:lineRule="auto"/>
            </w:pPr>
            <w:r>
              <w:rPr>
                <w:rFonts w:ascii="Times New Roman" w:hAnsi="Times New Roman" w:eastAsia="ＭＳ 明朝" w:cs="Times New Roman" w:eastAsiaTheme="minorEastAsia"/>
                <w:color w:val="000000"/>
                <w:sz w:val="18"/>
                <w:szCs w:val="22"/>
              </w:rPr>
              <w:t>Recognition differs from prediction</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CF65D64">
            <w:pPr>
              <w:spacing w:after="0" w:line="240" w:lineRule="auto"/>
            </w:pPr>
            <w:r>
              <w:rPr>
                <w:rFonts w:ascii="Times New Roman" w:hAnsi="Times New Roman" w:eastAsia="ＭＳ 明朝" w:cs="Times New Roman" w:eastAsiaTheme="minorEastAsia"/>
                <w:color w:val="000000"/>
                <w:sz w:val="18"/>
                <w:szCs w:val="22"/>
              </w:rPr>
              <w:t>ACP/phase design rationale</w:t>
            </w:r>
          </w:p>
        </w:tc>
      </w:tr>
      <w:tr>
        <w:tc>
          <w:tcPr>
            <w:tcW w:w="16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8A8D79B">
            <w:pPr>
              <w:spacing w:after="0" w:line="240" w:lineRule="auto"/>
            </w:pPr>
            <w:r>
              <w:rPr>
                <w:rFonts w:ascii="Times New Roman" w:hAnsi="Times New Roman" w:eastAsia="ＭＳ 明朝" w:cs="Times New Roman" w:eastAsiaTheme="minorEastAsia"/>
                <w:color w:val="000000"/>
                <w:sz w:val="18"/>
                <w:szCs w:val="22"/>
              </w:rPr>
              <w:t>Motion prediction</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B871D84">
            <w:pPr>
              <w:spacing w:after="0" w:line="240" w:lineRule="auto"/>
            </w:pPr>
            <w:r>
              <w:rPr>
                <w:rFonts w:ascii="Times New Roman" w:hAnsi="Times New Roman" w:eastAsia="ＭＳ 明朝" w:cs="Times New Roman" w:eastAsiaTheme="minorEastAsia"/>
                <w:color w:val="000000"/>
                <w:sz w:val="18"/>
                <w:szCs w:val="22"/>
              </w:rPr>
              <w:t>Baselines and horizon errors</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5C46555">
            <w:pPr>
              <w:spacing w:after="0" w:line="240" w:lineRule="auto"/>
            </w:pPr>
            <w:r>
              <w:rPr>
                <w:rFonts w:ascii="Times New Roman" w:hAnsi="Times New Roman" w:eastAsia="ＭＳ 明朝" w:cs="Times New Roman" w:eastAsiaTheme="minorEastAsia"/>
                <w:color w:val="000000"/>
                <w:sz w:val="18"/>
                <w:szCs w:val="22"/>
              </w:rPr>
              <w:t>Benchmark/domain dependence</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23C5D6F">
            <w:pPr>
              <w:spacing w:after="0" w:line="240" w:lineRule="auto"/>
            </w:pPr>
            <w:r>
              <w:rPr>
                <w:rFonts w:ascii="Times New Roman" w:hAnsi="Times New Roman" w:eastAsia="ＭＳ 明朝" w:cs="Times New Roman" w:eastAsiaTheme="minorEastAsia"/>
                <w:color w:val="000000"/>
                <w:sz w:val="18"/>
                <w:szCs w:val="22"/>
              </w:rPr>
              <w:t>ACP evaluation protocol</w:t>
            </w:r>
          </w:p>
        </w:tc>
      </w:tr>
      <w:tr>
        <w:tc>
          <w:tcPr>
            <w:tcW w:w="16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FB2CAC2">
            <w:pPr>
              <w:spacing w:after="0" w:line="240" w:lineRule="auto"/>
            </w:pPr>
            <w:r>
              <w:rPr>
                <w:rFonts w:ascii="Times New Roman" w:hAnsi="Times New Roman" w:eastAsia="ＭＳ 明朝" w:cs="Times New Roman" w:eastAsiaTheme="minorEastAsia"/>
                <w:color w:val="000000"/>
                <w:sz w:val="18"/>
                <w:szCs w:val="22"/>
              </w:rPr>
              <w:t>Temporal segmentation</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5EF3790">
            <w:pPr>
              <w:spacing w:after="0" w:line="240" w:lineRule="auto"/>
            </w:pPr>
            <w:r>
              <w:rPr>
                <w:rFonts w:ascii="Times New Roman" w:hAnsi="Times New Roman" w:eastAsia="ＭＳ 明朝" w:cs="Times New Roman" w:eastAsiaTheme="minorEastAsia"/>
                <w:color w:val="000000"/>
                <w:sz w:val="18"/>
                <w:szCs w:val="22"/>
              </w:rPr>
              <w:t>Sequence and boundary metrics</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269EE76">
            <w:pPr>
              <w:spacing w:after="0" w:line="240" w:lineRule="auto"/>
            </w:pPr>
            <w:r>
              <w:rPr>
                <w:rFonts w:ascii="Times New Roman" w:hAnsi="Times New Roman" w:eastAsia="ＭＳ 明朝" w:cs="Times New Roman" w:eastAsiaTheme="minorEastAsia"/>
                <w:color w:val="000000"/>
                <w:sz w:val="18"/>
                <w:szCs w:val="22"/>
              </w:rPr>
              <w:t>Requires labelled real sequences</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7035610">
            <w:pPr>
              <w:spacing w:after="0" w:line="240" w:lineRule="auto"/>
            </w:pPr>
            <w:r>
              <w:rPr>
                <w:rFonts w:ascii="Times New Roman" w:hAnsi="Times New Roman" w:eastAsia="ＭＳ 明朝" w:cs="Times New Roman" w:eastAsiaTheme="minorEastAsia"/>
                <w:color w:val="000000"/>
                <w:sz w:val="18"/>
                <w:szCs w:val="22"/>
              </w:rPr>
              <w:t>Phase pipeline and decoder</w:t>
            </w:r>
          </w:p>
        </w:tc>
      </w:tr>
      <w:tr>
        <w:tc>
          <w:tcPr>
            <w:tcW w:w="16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928E0E6">
            <w:pPr>
              <w:spacing w:after="0" w:line="240" w:lineRule="auto"/>
            </w:pPr>
            <w:r>
              <w:rPr>
                <w:rFonts w:ascii="Times New Roman" w:hAnsi="Times New Roman" w:eastAsia="ＭＳ 明朝" w:cs="Times New Roman" w:eastAsiaTheme="minorEastAsia"/>
                <w:color w:val="000000"/>
                <w:sz w:val="18"/>
                <w:szCs w:val="22"/>
              </w:rPr>
              <w:t>Situation awareness</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2C50B9E">
            <w:pPr>
              <w:spacing w:after="0" w:line="240" w:lineRule="auto"/>
            </w:pPr>
            <w:r>
              <w:rPr>
                <w:rFonts w:ascii="Times New Roman" w:hAnsi="Times New Roman" w:eastAsia="ＭＳ 明朝" w:cs="Times New Roman" w:eastAsiaTheme="minorEastAsia"/>
                <w:color w:val="000000"/>
                <w:sz w:val="18"/>
                <w:szCs w:val="22"/>
              </w:rPr>
              <w:t>Perception-comprehension-projection lens</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D1B8EC6">
            <w:pPr>
              <w:spacing w:after="0" w:line="240" w:lineRule="auto"/>
            </w:pPr>
            <w:r>
              <w:rPr>
                <w:rFonts w:ascii="Times New Roman" w:hAnsi="Times New Roman" w:eastAsia="ＭＳ 明朝" w:cs="Times New Roman" w:eastAsiaTheme="minorEastAsia"/>
                <w:color w:val="000000"/>
                <w:sz w:val="18"/>
                <w:szCs w:val="22"/>
              </w:rPr>
              <w:t>Human theory does not prove machine awareness</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0EB686A">
            <w:pPr>
              <w:spacing w:after="0" w:line="240" w:lineRule="auto"/>
            </w:pPr>
            <w:r>
              <w:rPr>
                <w:rFonts w:ascii="Times New Roman" w:hAnsi="Times New Roman" w:eastAsia="ＭＳ 明朝" w:cs="Times New Roman" w:eastAsiaTheme="minorEastAsia"/>
                <w:color w:val="000000"/>
                <w:sz w:val="18"/>
                <w:szCs w:val="22"/>
              </w:rPr>
              <w:t>Bounded L1-L4 evidence gates</w:t>
            </w:r>
          </w:p>
        </w:tc>
      </w:tr>
      <w:tr>
        <w:tc>
          <w:tcPr>
            <w:tcW w:w="16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ADC50AA">
            <w:pPr>
              <w:spacing w:after="0" w:line="240" w:lineRule="auto"/>
            </w:pPr>
            <w:r>
              <w:rPr>
                <w:rFonts w:ascii="Times New Roman" w:hAnsi="Times New Roman" w:eastAsia="ＭＳ 明朝" w:cs="Times New Roman" w:eastAsiaTheme="minorEastAsia"/>
                <w:color w:val="000000"/>
                <w:sz w:val="18"/>
                <w:szCs w:val="22"/>
              </w:rPr>
              <w:t>Jab biomechanics</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FD2E091">
            <w:pPr>
              <w:spacing w:after="0" w:line="240" w:lineRule="auto"/>
            </w:pPr>
            <w:r>
              <w:rPr>
                <w:rFonts w:ascii="Times New Roman" w:hAnsi="Times New Roman" w:eastAsia="ＭＳ 明朝" w:cs="Times New Roman" w:eastAsiaTheme="minorEastAsia"/>
                <w:color w:val="000000"/>
                <w:sz w:val="18"/>
                <w:szCs w:val="22"/>
              </w:rPr>
              <w:t>Multi-joint, context-dependent movement</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C25DE6F">
            <w:pPr>
              <w:spacing w:after="0" w:line="240" w:lineRule="auto"/>
            </w:pPr>
            <w:r>
              <w:rPr>
                <w:rFonts w:ascii="Times New Roman" w:hAnsi="Times New Roman" w:eastAsia="ＭＳ 明朝" w:cs="Times New Roman" w:eastAsiaTheme="minorEastAsia"/>
                <w:color w:val="000000"/>
                <w:sz w:val="18"/>
                <w:szCs w:val="22"/>
              </w:rPr>
              <w:t>Small/heterogeneous studies</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C5D0B9F">
            <w:pPr>
              <w:spacing w:after="0" w:line="240" w:lineRule="auto"/>
            </w:pPr>
            <w:r>
              <w:rPr>
                <w:rFonts w:ascii="Times New Roman" w:hAnsi="Times New Roman" w:eastAsia="ＭＳ 明朝" w:cs="Times New Roman" w:eastAsiaTheme="minorEastAsia"/>
                <w:color w:val="000000"/>
                <w:sz w:val="18"/>
                <w:szCs w:val="22"/>
              </w:rPr>
              <w:t>Variable selection, not universal thresholds</w:t>
            </w:r>
          </w:p>
        </w:tc>
      </w:tr>
    </w:tbl>
    <w:p w14:paraId="23050F2A">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synthesis identifies an integration gap rather than claiming that no related systems exist. The literature contains mature work on pose estimation, graph action recognition, motion prediction and temporal segmentation, but each external result has a different task, dataset and measurement boundary. Combat Cognition's contribution is the explicit integration of those computational functions with deterministic biomechanics, multi-timescale state, evidence gating, session memory and coaching. The empirical contribution is feasibility evidence for that integration, not proof that it outperforms all alternative coaching systems.</w:t>
      </w:r>
    </w:p>
    <w:p w14:paraId="667C683F">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ICCV paper named STGAT predicts pedestrian trajectories rather than articulated skeletal pose (Huang et al., 2019). It is retained as a terminology exclusion because acronym similarity can be misleading. Its displacement results are not used to validate ACP-STGAT.</w:t>
      </w:r>
    </w:p>
    <w:p w14:paraId="0E804FA5">
      <w:pPr>
        <w:pageBreakBefore/>
        <w:widowControl/>
      </w:pPr>
      <w:r/>
    </w:p>
    <w:p w14:paraId="7B59B756">
      <w:pPr>
        <w:pStyle w:val="Heading1"/>
        <w:keepNext/>
        <w:widowControl/>
        <w:spacing w:before="0" w:after="360"/>
        <w:jc w:val="center"/>
      </w:pPr>
      <w:r>
        <w:rPr>
          <w:rFonts w:ascii="Times New Roman" w:hAnsi="Times New Roman" w:eastAsia="ＭＳ ゴシック" w:cs="Times New Roman" w:eastAsiaTheme="majorEastAsia"/>
          <w:b/>
          <w:bCs/>
          <w:color w:val="000000"/>
          <w:sz w:val="28"/>
          <w:szCs w:val="28"/>
        </w:rPr>
        <w:t>CHAPTER 3</w:t>
      </w:r>
      <w:r>
        <w:br w:type="textWrapping"/>
      </w:r>
      <w:r>
        <w:rPr>
          <w:rFonts w:ascii="Times New Roman" w:hAnsi="Times New Roman" w:eastAsia="ＭＳ ゴシック" w:cs="Times New Roman" w:eastAsiaTheme="majorEastAsia"/>
          <w:b/>
          <w:bCs/>
          <w:color w:val="000000"/>
          <w:sz w:val="28"/>
          <w:szCs w:val="28"/>
        </w:rPr>
        <w:t>METHODOLOGY</w:t>
      </w:r>
    </w:p>
    <w:p w14:paraId="02A79DE3">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3.1 Research Design</w:t>
      </w:r>
    </w:p>
    <w:p w14:paraId="6ED19B30">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study follows an expert-informed design-science case approach. The artifact was designed from literature, software requirements and the researcher's martial-arts knowledge; implemented as an interactive laptop-camera application; and evaluated through separate evidence tiers. The empirical case is P001 only. P001 is simultaneously the researcher, developer and martial-arts expert, so observations are treated as reflective expert self-evaluation rather than independent participant evidence.</w:t>
      </w:r>
    </w:p>
    <w:p w14:paraId="369FB5D6">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evaluation was intentionally constrained after practical limitations made a multi-participant study infeasible. The protocol was not converted into an effectiveness study. Instead, the final question became whether the system components functioned, whether model pipelines produced reproducible measured outputs under their declared datasets, whether an end-to-end jab session could be demonstrated, and whether failures and unsupported claims could be identified.</w:t>
      </w:r>
    </w:p>
    <w:p w14:paraId="4DB5440B">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3.2 Framework Architecture</w:t>
      </w:r>
    </w:p>
    <w:p w14:paraId="29646E21">
      <w:pPr>
        <w:keepNext/>
        <w:widowControl/>
        <w:jc w:val="center"/>
      </w:pPr>
      <w:r>
        <w:drawing>
          <wp:inline distT="0" distB="0" distL="0" distR="0">
            <wp:extent cx="5534025" cy="3390900"/>
            <wp:effectExtent l="0" t="0" r="0" b="0"/>
            <wp:docPr id="100000" name="Combat Cognition architecture and evidence flow" descr="Combat Cognition architecture and evidence flow, showing implemented perception, L1-L4 context, situation-awareness gates, deterministic coaching and the planned non-operational LLM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Combat Cognition architecture and evidence flow, showing implemented perception, L1-L4 context, situation-awareness gates, deterministic coaching and the planned non-operational LLM boundary."/>
                    <pic:cNvPicPr/>
                  </pic:nvPicPr>
                  <pic:blipFill>
                    <a:blip r:embed="rId31"/>
                    <a:stretch>
                      <a:fillRect/>
                    </a:stretch>
                  </pic:blipFill>
                  <pic:spPr>
                    <a:xfrm>
                      <a:off x="0" y="0"/>
                      <a:ext cx="5534025" cy="3390900"/>
                    </a:xfrm>
                    <a:prstGeom prst="rect">
                      <a:avLst/>
                    </a:prstGeom>
                  </pic:spPr>
                </pic:pic>
              </a:graphicData>
            </a:graphic>
          </wp:inline>
        </w:drawing>
      </w:r>
    </w:p>
    <w:p w14:paraId="641F4A8C">
      <w:pPr>
        <w:pStyle w:val="Caption"/>
        <w:keepNext w:val="0"/>
        <w:widowControl/>
        <w:spacing w:before="60" w:after="160"/>
        <w:jc w:val="center"/>
      </w:pPr>
      <w:r>
        <w:rPr>
          <w:rFonts w:ascii="Times New Roman" w:hAnsi="Times New Roman" w:eastAsia="ＭＳ 明朝" w:cs="Times New Roman" w:eastAsiaTheme="minorEastAsia"/>
          <w:i/>
          <w:iCs/>
          <w:color w:val="000000"/>
          <w:sz w:val="20"/>
          <w:szCs w:val="18"/>
        </w:rPr>
        <w:t>Figure 3.1 Combat Cognition implemented architecture and evidence flow. Solid boxes are implemented; the dashed LLM component is planned and not operational. Evidence classes remain separate.</w:t>
      </w:r>
    </w:p>
    <w:p w14:paraId="50618BA3">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Figure 3.1 shows the implemented data path. Laptop-camera frames feed MediaPipe-derived perception. L1 calculates immediate motion and deterministic biomechanical evidence. L2 combines phase estimation, ordered decoding, future-pose prediction and forecast trust. L3 aggregates repetition and session trends. L4 stores longer-term learner context. A situation-awareness layer selects an evidence-supported target, a structured context packet crosses the coaching boundary, and deterministic rules/templates produce voice and interface feedback. Timeline and analysis services persist session evidence.</w:t>
      </w:r>
    </w:p>
    <w:p w14:paraId="08798A49">
      <w:pPr>
        <w:widowControl/>
        <w:spacing w:before="160" w:after="80"/>
        <w:jc w:val="left"/>
      </w:pPr>
      <w:r>
        <w:rPr>
          <w:rFonts w:ascii="Times New Roman" w:hAnsi="Times New Roman" w:eastAsia="ＭＳ 明朝" w:cs="Times New Roman" w:eastAsiaTheme="minorEastAsia"/>
          <w:b/>
          <w:bCs/>
          <w:color w:val="000000"/>
          <w:sz w:val="24"/>
          <w:szCs w:val="22"/>
        </w:rPr>
        <w:t>Table 3.1 Combat Cognition component architecture</w:t>
      </w:r>
    </w:p>
    <w:tbl>
      <w:tblPr>
        <w:tblStyle w:val="TableGrid"/>
        <w:tblW w:w="8784"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197"/>
        <w:gridCol w:w="2197"/>
        <w:gridCol w:w="2197"/>
        <w:gridCol w:w="2197"/>
      </w:tblGrid>
      <w:tr>
        <w:trPr>
          <w:tblHeader/>
        </w:trPr>
        <w:tc>
          <w:tcPr>
            <w:tcW w:w="1080"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5D85A592">
            <w:pPr>
              <w:spacing w:after="0"/>
              <w:jc w:val="center"/>
            </w:pPr>
            <w:r>
              <w:rPr>
                <w:rFonts w:ascii="Times New Roman" w:hAnsi="Times New Roman" w:eastAsia="ＭＳ 明朝" w:cs="Times New Roman" w:eastAsiaTheme="minorEastAsia"/>
                <w:b/>
                <w:bCs/>
                <w:color w:val="000000"/>
                <w:sz w:val="18"/>
                <w:szCs w:val="22"/>
              </w:rPr>
              <w:t>Layer</w:t>
            </w:r>
          </w:p>
        </w:tc>
        <w:tc>
          <w:tcPr>
            <w:tcW w:w="2376"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6B8B4358">
            <w:pPr>
              <w:spacing w:after="0"/>
              <w:jc w:val="center"/>
            </w:pPr>
            <w:r>
              <w:rPr>
                <w:rFonts w:ascii="Times New Roman" w:hAnsi="Times New Roman" w:eastAsia="ＭＳ 明朝" w:cs="Times New Roman" w:eastAsiaTheme="minorEastAsia"/>
                <w:b/>
                <w:bCs/>
                <w:color w:val="000000"/>
                <w:sz w:val="18"/>
                <w:szCs w:val="22"/>
              </w:rPr>
              <w:t>Implementation</w:t>
            </w:r>
          </w:p>
        </w:tc>
        <w:tc>
          <w:tcPr>
            <w:tcW w:w="2952"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2D1872C1">
            <w:pPr>
              <w:spacing w:after="0"/>
              <w:jc w:val="center"/>
            </w:pPr>
            <w:r>
              <w:rPr>
                <w:rFonts w:ascii="Times New Roman" w:hAnsi="Times New Roman" w:eastAsia="ＭＳ 明朝" w:cs="Times New Roman" w:eastAsiaTheme="minorEastAsia"/>
                <w:b/>
                <w:bCs/>
                <w:color w:val="000000"/>
                <w:sz w:val="18"/>
                <w:szCs w:val="22"/>
              </w:rPr>
              <w:t>Output</w:t>
            </w:r>
          </w:p>
        </w:tc>
        <w:tc>
          <w:tcPr>
            <w:tcW w:w="2376"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7C12FC76">
            <w:pPr>
              <w:spacing w:after="0"/>
              <w:jc w:val="center"/>
            </w:pPr>
            <w:r>
              <w:rPr>
                <w:rFonts w:ascii="Times New Roman" w:hAnsi="Times New Roman" w:eastAsia="ＭＳ 明朝" w:cs="Times New Roman" w:eastAsiaTheme="minorEastAsia"/>
                <w:b/>
                <w:bCs/>
                <w:color w:val="000000"/>
                <w:sz w:val="18"/>
                <w:szCs w:val="22"/>
              </w:rPr>
              <w:t>Boundary</w:t>
            </w:r>
          </w:p>
        </w:tc>
      </w:tr>
      <w:tr>
        <w:tc>
          <w:tcPr>
            <w:tcW w:w="10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121AC1B">
            <w:pPr>
              <w:spacing w:after="0" w:line="240" w:lineRule="auto"/>
            </w:pPr>
            <w:r>
              <w:rPr>
                <w:rFonts w:ascii="Times New Roman" w:hAnsi="Times New Roman" w:eastAsia="ＭＳ 明朝" w:cs="Times New Roman" w:eastAsiaTheme="minorEastAsia"/>
                <w:color w:val="000000"/>
                <w:sz w:val="18"/>
                <w:szCs w:val="22"/>
              </w:rPr>
              <w:t>Perception</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B5917EA">
            <w:pPr>
              <w:spacing w:after="0" w:line="240" w:lineRule="auto"/>
            </w:pPr>
            <w:r>
              <w:rPr>
                <w:rFonts w:ascii="Times New Roman" w:hAnsi="Times New Roman" w:eastAsia="ＭＳ 明朝" w:cs="Times New Roman" w:eastAsiaTheme="minorEastAsia"/>
                <w:color w:val="000000"/>
                <w:sz w:val="18"/>
                <w:szCs w:val="22"/>
              </w:rPr>
              <w:t>MediaPipe pose/hand signals</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ADBC55A">
            <w:pPr>
              <w:spacing w:after="0" w:line="240" w:lineRule="auto"/>
            </w:pPr>
            <w:r>
              <w:rPr>
                <w:rFonts w:ascii="Times New Roman" w:hAnsi="Times New Roman" w:eastAsia="ＭＳ 明朝" w:cs="Times New Roman" w:eastAsiaTheme="minorEastAsia"/>
                <w:color w:val="000000"/>
                <w:sz w:val="18"/>
                <w:szCs w:val="22"/>
              </w:rPr>
              <w:t>33 body landmarks, readiness proxies, visibility</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5B4E523">
            <w:pPr>
              <w:spacing w:after="0" w:line="240" w:lineRule="auto"/>
            </w:pPr>
            <w:r>
              <w:rPr>
                <w:rFonts w:ascii="Times New Roman" w:hAnsi="Times New Roman" w:eastAsia="ＭＳ 明朝" w:cs="Times New Roman" w:eastAsiaTheme="minorEastAsia"/>
                <w:color w:val="000000"/>
                <w:sz w:val="18"/>
                <w:szCs w:val="22"/>
              </w:rPr>
              <w:t>Implemented; reliability unquantified</w:t>
            </w:r>
          </w:p>
        </w:tc>
      </w:tr>
      <w:tr>
        <w:tc>
          <w:tcPr>
            <w:tcW w:w="10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5B15878">
            <w:pPr>
              <w:spacing w:after="0" w:line="240" w:lineRule="auto"/>
            </w:pPr>
            <w:r>
              <w:rPr>
                <w:rFonts w:ascii="Times New Roman" w:hAnsi="Times New Roman" w:eastAsia="ＭＳ 明朝" w:cs="Times New Roman" w:eastAsiaTheme="minorEastAsia"/>
                <w:color w:val="000000"/>
                <w:sz w:val="18"/>
                <w:szCs w:val="22"/>
              </w:rPr>
              <w:t>Biomechanics</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72CFB51">
            <w:pPr>
              <w:spacing w:after="0" w:line="240" w:lineRule="auto"/>
            </w:pPr>
            <w:r>
              <w:rPr>
                <w:rFonts w:ascii="Times New Roman" w:hAnsi="Times New Roman" w:eastAsia="ＭＳ 明朝" w:cs="Times New Roman" w:eastAsiaTheme="minorEastAsia"/>
                <w:color w:val="000000"/>
                <w:sz w:val="18"/>
                <w:szCs w:val="22"/>
              </w:rPr>
              <w:t>Angle and rule engine</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0F7B240">
            <w:pPr>
              <w:spacing w:after="0" w:line="240" w:lineRule="auto"/>
            </w:pPr>
            <w:r>
              <w:rPr>
                <w:rFonts w:ascii="Times New Roman" w:hAnsi="Times New Roman" w:eastAsia="ＭＳ 明朝" w:cs="Times New Roman" w:eastAsiaTheme="minorEastAsia"/>
                <w:color w:val="000000"/>
                <w:sz w:val="18"/>
                <w:szCs w:val="22"/>
              </w:rPr>
              <w:t>Joint angles, issues, form evidence</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BF69083">
            <w:pPr>
              <w:spacing w:after="0" w:line="240" w:lineRule="auto"/>
            </w:pPr>
            <w:r>
              <w:rPr>
                <w:rFonts w:ascii="Times New Roman" w:hAnsi="Times New Roman" w:eastAsia="ＭＳ 明朝" w:cs="Times New Roman" w:eastAsiaTheme="minorEastAsia"/>
                <w:color w:val="000000"/>
                <w:sz w:val="18"/>
                <w:szCs w:val="22"/>
              </w:rPr>
              <w:t>Expert-authored thresholds</w:t>
            </w:r>
          </w:p>
        </w:tc>
      </w:tr>
      <w:tr>
        <w:tc>
          <w:tcPr>
            <w:tcW w:w="10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9026B83">
            <w:pPr>
              <w:spacing w:after="0" w:line="240" w:lineRule="auto"/>
            </w:pPr>
            <w:r>
              <w:rPr>
                <w:rFonts w:ascii="Times New Roman" w:hAnsi="Times New Roman" w:eastAsia="ＭＳ 明朝" w:cs="Times New Roman" w:eastAsiaTheme="minorEastAsia"/>
                <w:color w:val="000000"/>
                <w:sz w:val="18"/>
                <w:szCs w:val="22"/>
              </w:rPr>
              <w:t>L1</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0FE7D37">
            <w:pPr>
              <w:spacing w:after="0" w:line="240" w:lineRule="auto"/>
            </w:pPr>
            <w:r>
              <w:rPr>
                <w:rFonts w:ascii="Times New Roman" w:hAnsi="Times New Roman" w:eastAsia="ＭＳ 明朝" w:cs="Times New Roman" w:eastAsiaTheme="minorEastAsia"/>
                <w:color w:val="000000"/>
                <w:sz w:val="18"/>
                <w:szCs w:val="22"/>
              </w:rPr>
              <w:t>Immediate motion layer</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45DED86">
            <w:pPr>
              <w:spacing w:after="0" w:line="240" w:lineRule="auto"/>
            </w:pPr>
            <w:r>
              <w:rPr>
                <w:rFonts w:ascii="Times New Roman" w:hAnsi="Times New Roman" w:eastAsia="ＭＳ 明朝" w:cs="Times New Roman" w:eastAsiaTheme="minorEastAsia"/>
                <w:color w:val="000000"/>
                <w:sz w:val="18"/>
                <w:szCs w:val="22"/>
              </w:rPr>
              <w:t>Recent motion and tracking context</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A9E6551">
            <w:pPr>
              <w:spacing w:after="0" w:line="240" w:lineRule="auto"/>
            </w:pPr>
            <w:r>
              <w:rPr>
                <w:rFonts w:ascii="Times New Roman" w:hAnsi="Times New Roman" w:eastAsia="ＭＳ 明朝" w:cs="Times New Roman" w:eastAsiaTheme="minorEastAsia"/>
                <w:color w:val="000000"/>
                <w:sz w:val="18"/>
                <w:szCs w:val="22"/>
              </w:rPr>
              <w:t>Camera dependent</w:t>
            </w:r>
          </w:p>
        </w:tc>
      </w:tr>
      <w:tr>
        <w:tc>
          <w:tcPr>
            <w:tcW w:w="10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67F1C41">
            <w:pPr>
              <w:spacing w:after="0" w:line="240" w:lineRule="auto"/>
            </w:pPr>
            <w:r>
              <w:rPr>
                <w:rFonts w:ascii="Times New Roman" w:hAnsi="Times New Roman" w:eastAsia="ＭＳ 明朝" w:cs="Times New Roman" w:eastAsiaTheme="minorEastAsia"/>
                <w:color w:val="000000"/>
                <w:sz w:val="18"/>
                <w:szCs w:val="22"/>
              </w:rPr>
              <w:t>L2</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FDEC037">
            <w:pPr>
              <w:spacing w:after="0" w:line="240" w:lineRule="auto"/>
            </w:pPr>
            <w:r>
              <w:rPr>
                <w:rFonts w:ascii="Times New Roman" w:hAnsi="Times New Roman" w:eastAsia="ＭＳ 明朝" w:cs="Times New Roman" w:eastAsiaTheme="minorEastAsia"/>
                <w:color w:val="000000"/>
                <w:sz w:val="18"/>
                <w:szCs w:val="22"/>
              </w:rPr>
              <w:t>ACP-STGAT and phase/decoder</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B5D5ABB">
            <w:pPr>
              <w:spacing w:after="0" w:line="240" w:lineRule="auto"/>
            </w:pPr>
            <w:r>
              <w:rPr>
                <w:rFonts w:ascii="Times New Roman" w:hAnsi="Times New Roman" w:eastAsia="ＭＳ 明朝" w:cs="Times New Roman" w:eastAsiaTheme="minorEastAsia"/>
                <w:color w:val="000000"/>
                <w:sz w:val="18"/>
                <w:szCs w:val="22"/>
              </w:rPr>
              <w:t>Future pose, phase, risk and trusted forecast</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A1050A1">
            <w:pPr>
              <w:spacing w:after="0" w:line="240" w:lineRule="auto"/>
            </w:pPr>
            <w:r>
              <w:rPr>
                <w:rFonts w:ascii="Times New Roman" w:hAnsi="Times New Roman" w:eastAsia="ＭＳ 明朝" w:cs="Times New Roman" w:eastAsiaTheme="minorEastAsia"/>
                <w:color w:val="000000"/>
                <w:sz w:val="18"/>
                <w:szCs w:val="22"/>
              </w:rPr>
              <w:t>Benchmark/generated evidence</w:t>
            </w:r>
          </w:p>
        </w:tc>
      </w:tr>
      <w:tr>
        <w:tc>
          <w:tcPr>
            <w:tcW w:w="10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71E042F">
            <w:pPr>
              <w:spacing w:after="0" w:line="240" w:lineRule="auto"/>
            </w:pPr>
            <w:r>
              <w:rPr>
                <w:rFonts w:ascii="Times New Roman" w:hAnsi="Times New Roman" w:eastAsia="ＭＳ 明朝" w:cs="Times New Roman" w:eastAsiaTheme="minorEastAsia"/>
                <w:color w:val="000000"/>
                <w:sz w:val="18"/>
                <w:szCs w:val="22"/>
              </w:rPr>
              <w:t>L3</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0100FB5">
            <w:pPr>
              <w:spacing w:after="0" w:line="240" w:lineRule="auto"/>
            </w:pPr>
            <w:r>
              <w:rPr>
                <w:rFonts w:ascii="Times New Roman" w:hAnsi="Times New Roman" w:eastAsia="ＭＳ 明朝" w:cs="Times New Roman" w:eastAsiaTheme="minorEastAsia"/>
                <w:color w:val="000000"/>
                <w:sz w:val="18"/>
                <w:szCs w:val="22"/>
              </w:rPr>
              <w:t>Session layer</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74BA09C">
            <w:pPr>
              <w:spacing w:after="0" w:line="240" w:lineRule="auto"/>
            </w:pPr>
            <w:r>
              <w:rPr>
                <w:rFonts w:ascii="Times New Roman" w:hAnsi="Times New Roman" w:eastAsia="ＭＳ 明朝" w:cs="Times New Roman" w:eastAsiaTheme="minorEastAsia"/>
                <w:color w:val="000000"/>
                <w:sz w:val="18"/>
                <w:szCs w:val="22"/>
              </w:rPr>
              <w:t>Repetition, trend, consistency, fatigue proxy</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CD00274">
            <w:pPr>
              <w:spacing w:after="0" w:line="240" w:lineRule="auto"/>
            </w:pPr>
            <w:r>
              <w:rPr>
                <w:rFonts w:ascii="Times New Roman" w:hAnsi="Times New Roman" w:eastAsia="ＭＳ 明朝" w:cs="Times New Roman" w:eastAsiaTheme="minorEastAsia"/>
                <w:color w:val="000000"/>
                <w:sz w:val="18"/>
                <w:szCs w:val="22"/>
              </w:rPr>
              <w:t>Not physiological fatigue</w:t>
            </w:r>
          </w:p>
        </w:tc>
      </w:tr>
      <w:tr>
        <w:tc>
          <w:tcPr>
            <w:tcW w:w="10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E5F94B1">
            <w:pPr>
              <w:spacing w:after="0" w:line="240" w:lineRule="auto"/>
            </w:pPr>
            <w:r>
              <w:rPr>
                <w:rFonts w:ascii="Times New Roman" w:hAnsi="Times New Roman" w:eastAsia="ＭＳ 明朝" w:cs="Times New Roman" w:eastAsiaTheme="minorEastAsia"/>
                <w:color w:val="000000"/>
                <w:sz w:val="18"/>
                <w:szCs w:val="22"/>
              </w:rPr>
              <w:t>L4</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A3FFD43">
            <w:pPr>
              <w:spacing w:after="0" w:line="240" w:lineRule="auto"/>
            </w:pPr>
            <w:r>
              <w:rPr>
                <w:rFonts w:ascii="Times New Roman" w:hAnsi="Times New Roman" w:eastAsia="ＭＳ 明朝" w:cs="Times New Roman" w:eastAsiaTheme="minorEastAsia"/>
                <w:color w:val="000000"/>
                <w:sz w:val="18"/>
                <w:szCs w:val="22"/>
              </w:rPr>
              <w:t>User memory</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E39AFC2">
            <w:pPr>
              <w:spacing w:after="0" w:line="240" w:lineRule="auto"/>
            </w:pPr>
            <w:r>
              <w:rPr>
                <w:rFonts w:ascii="Times New Roman" w:hAnsi="Times New Roman" w:eastAsia="ＭＳ 明朝" w:cs="Times New Roman" w:eastAsiaTheme="minorEastAsia"/>
                <w:color w:val="000000"/>
                <w:sz w:val="18"/>
                <w:szCs w:val="22"/>
              </w:rPr>
              <w:t>Weakness, mastery and progression structure</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F1F9982">
            <w:pPr>
              <w:spacing w:after="0" w:line="240" w:lineRule="auto"/>
            </w:pPr>
            <w:r>
              <w:rPr>
                <w:rFonts w:ascii="Times New Roman" w:hAnsi="Times New Roman" w:eastAsia="ＭＳ 明朝" w:cs="Times New Roman" w:eastAsiaTheme="minorEastAsia"/>
                <w:color w:val="000000"/>
                <w:sz w:val="18"/>
                <w:szCs w:val="22"/>
              </w:rPr>
              <w:t>Longitudinal validity absent</w:t>
            </w:r>
          </w:p>
        </w:tc>
      </w:tr>
      <w:tr>
        <w:tc>
          <w:tcPr>
            <w:tcW w:w="10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9E31541">
            <w:pPr>
              <w:spacing w:after="0" w:line="240" w:lineRule="auto"/>
            </w:pPr>
            <w:r>
              <w:rPr>
                <w:rFonts w:ascii="Times New Roman" w:hAnsi="Times New Roman" w:eastAsia="ＭＳ 明朝" w:cs="Times New Roman" w:eastAsiaTheme="minorEastAsia"/>
                <w:color w:val="000000"/>
                <w:sz w:val="18"/>
                <w:szCs w:val="22"/>
              </w:rPr>
              <w:t>Situation</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1FEBA68">
            <w:pPr>
              <w:spacing w:after="0" w:line="240" w:lineRule="auto"/>
            </w:pPr>
            <w:r>
              <w:rPr>
                <w:rFonts w:ascii="Times New Roman" w:hAnsi="Times New Roman" w:eastAsia="ＭＳ 明朝" w:cs="Times New Roman" w:eastAsiaTheme="minorEastAsia"/>
                <w:color w:val="000000"/>
                <w:sz w:val="18"/>
                <w:szCs w:val="22"/>
              </w:rPr>
              <w:t>Evidence gates</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BF35AE8">
            <w:pPr>
              <w:spacing w:after="0" w:line="240" w:lineRule="auto"/>
            </w:pPr>
            <w:r>
              <w:rPr>
                <w:rFonts w:ascii="Times New Roman" w:hAnsi="Times New Roman" w:eastAsia="ＭＳ 明朝" w:cs="Times New Roman" w:eastAsiaTheme="minorEastAsia"/>
                <w:color w:val="000000"/>
                <w:sz w:val="18"/>
                <w:szCs w:val="22"/>
              </w:rPr>
              <w:t>Priority target, decision and next action</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0CBA752">
            <w:pPr>
              <w:spacing w:after="0" w:line="240" w:lineRule="auto"/>
            </w:pPr>
            <w:r>
              <w:rPr>
                <w:rFonts w:ascii="Times New Roman" w:hAnsi="Times New Roman" w:eastAsia="ＭＳ 明朝" w:cs="Times New Roman" w:eastAsiaTheme="minorEastAsia"/>
                <w:color w:val="000000"/>
                <w:sz w:val="18"/>
                <w:szCs w:val="22"/>
              </w:rPr>
              <w:t>No human-awareness claim</w:t>
            </w:r>
          </w:p>
        </w:tc>
      </w:tr>
      <w:tr>
        <w:tc>
          <w:tcPr>
            <w:tcW w:w="10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975BB9A">
            <w:pPr>
              <w:spacing w:after="0" w:line="240" w:lineRule="auto"/>
            </w:pPr>
            <w:r>
              <w:rPr>
                <w:rFonts w:ascii="Times New Roman" w:hAnsi="Times New Roman" w:eastAsia="ＭＳ 明朝" w:cs="Times New Roman" w:eastAsiaTheme="minorEastAsia"/>
                <w:color w:val="000000"/>
                <w:sz w:val="18"/>
                <w:szCs w:val="22"/>
              </w:rPr>
              <w:t>Reasoning</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58222AC">
            <w:pPr>
              <w:spacing w:after="0" w:line="240" w:lineRule="auto"/>
            </w:pPr>
            <w:r>
              <w:rPr>
                <w:rFonts w:ascii="Times New Roman" w:hAnsi="Times New Roman" w:eastAsia="ＭＳ 明朝" w:cs="Times New Roman" w:eastAsiaTheme="minorEastAsia"/>
                <w:color w:val="000000"/>
                <w:sz w:val="18"/>
                <w:szCs w:val="22"/>
              </w:rPr>
              <w:t>Rule/template coach</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BE1FBBF">
            <w:pPr>
              <w:spacing w:after="0" w:line="240" w:lineRule="auto"/>
            </w:pPr>
            <w:r>
              <w:rPr>
                <w:rFonts w:ascii="Times New Roman" w:hAnsi="Times New Roman" w:eastAsia="ＭＳ 明朝" w:cs="Times New Roman" w:eastAsiaTheme="minorEastAsia"/>
                <w:color w:val="000000"/>
                <w:sz w:val="18"/>
                <w:szCs w:val="22"/>
              </w:rPr>
              <w:t>Voice/UI correction</w:t>
            </w:r>
          </w:p>
        </w:tc>
        <w:tc>
          <w:tcPr>
            <w:tcW w:w="23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D2EB301">
            <w:pPr>
              <w:spacing w:after="0" w:line="240" w:lineRule="auto"/>
            </w:pPr>
            <w:r>
              <w:rPr>
                <w:rFonts w:ascii="Times New Roman" w:hAnsi="Times New Roman" w:eastAsia="ＭＳ 明朝" w:cs="Times New Roman" w:eastAsiaTheme="minorEastAsia"/>
                <w:color w:val="000000"/>
                <w:sz w:val="18"/>
                <w:szCs w:val="22"/>
              </w:rPr>
              <w:t>No operational LLM</w:t>
            </w:r>
          </w:p>
        </w:tc>
      </w:tr>
    </w:tbl>
    <w:p w14:paraId="4EF5C852">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3.3 Perception and Biomechanical Processing</w:t>
      </w:r>
    </w:p>
    <w:p w14:paraId="517B0A7F">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perception pipeline processes a single person in browser video and extracts body landmarks, visibility and derived hand/face readiness features. Landmark histories are normalized for the downstream temporal components. The angle engine uses joint triplets to calculate form evidence, while a deterministic rule evaluator compares evidence against technique targets. Tracking confidence and short-gap handling are retained because a geometrically plausible angle can still be unreliable when one landmark is occluded.</w:t>
      </w:r>
    </w:p>
    <w:p w14:paraId="618BFB49">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rule system prioritizes contextual correction. For example, an elbow-extension issue is not evaluated independently of shoulder and guard evidence. During the documented Train Hard interaction, the system waited for the user's response, accepted voice input, prioritized the left elbow, reported angle-related feedback and progressed after detecting a movement transition rather than merely asking for a larger angle. Shoulder reduction was interpreted in relation to body guard. These observations demonstrate the intended interaction logic but do not constitute independent coaching accuracy.</w:t>
      </w:r>
    </w:p>
    <w:p w14:paraId="58C3EE6B">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3.4 ACP-STGAT Future-Pose Model</w:t>
      </w:r>
    </w:p>
    <w:p w14:paraId="448D1581">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ACP-STGAT consumes a recent 17-joint three-dimensional skeleton window and predicts 30 future frames. The evaluation used a participant-held-out Human3.6M protocol with up to 10,000 test windows and three training seeds (42, 43 and 44). Performance was measured through normalized MPJPE/ADE, final displacement error and bone-length mean absolute error. Last-pose and constant-velocity predictors were included as required simple baselines. Robustness trials added coordinate noise and simulated missing landmarks. The selected model was exported to ONNX and compared numerically with its PyTorch output.</w:t>
      </w:r>
    </w:p>
    <w:p w14:paraId="07DB9FB7">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live application uses MediaPipe-33 landmarks, whereas the offline benchmark uses a 17-joint representation. The benchmark therefore evaluates general forecasting capability and export readiness, not live jab prediction. No error is converted to a percentage or physical unit. The model-only latency excludes camera capture, MediaPipe processing, visualization and coaching logic.</w:t>
      </w:r>
    </w:p>
    <w:p w14:paraId="73F6285E">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3.5 Temporal Phase Classification and Ordered Decoding</w:t>
      </w:r>
    </w:p>
    <w:p w14:paraId="4F9F0A48">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temporal classifier combines spatial skeleton processing with temporal convolution to produce probabilities for tracking lost, preparation, entry, execution, peak, retraction and recovery. A duration-aware decoder and application state machine constrain invalid transitions and support repetition completion. The training/evaluation bootstrap contained 48 generated sessions: 24 jab and 24 front-kick sessions. Three random seeds were evaluated, and deployment selection used validation macro F1 rather than test performance.</w:t>
      </w:r>
    </w:p>
    <w:p w14:paraId="433108F2">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Evaluation included accuracy, balanced accuracy, macro precision/recall/F1, weighted F1, per-phase metrics, confusion, boundary precision/recall/timing, coarse repetition diagnostics, corruption robustness and ONNX parity/latency. Because generated sessions share a procedural generator family, the evaluation tests pipeline consistency rather than real-world generalization. P001 post-session decoding is used only as qualitative functional evidence.</w:t>
      </w:r>
    </w:p>
    <w:p w14:paraId="6DFA950E">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3.6 Multi-Level Context and Situation-Awareness Gates</w:t>
      </w:r>
    </w:p>
    <w:p w14:paraId="0A4D81C0">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L1 maintains current and recent motion evidence. L2 combines current action state, phase probabilities, biomechanical issues and forecast confidence. L3 aggregates repetitions, repeated issues, consistency and a non-medical fatigue-risk proxy. L4 stores learner history and mastery-oriented state. The situation layer receives L1-L4 evidence, determines the current target and suppresses feedback that lacks sufficient support. This structure operationalizes perception, computational comprehension and bounded projection while keeping deterministic gates authoritative.</w:t>
      </w:r>
    </w:p>
    <w:p w14:paraId="4BE104DE">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3.7 Coaching, Voice Interaction and Memory</w:t>
      </w:r>
    </w:p>
    <w:p w14:paraId="08FEF86B">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operational coaching layer is deterministic. A structured context packet summarizes relevant L1-L4 evidence and selected actions; backend rule/template generators produce the final coaching message. The interface supports voice/microphone responses, waits for the user where required and allows explicit commands such as moving to the next step or training again. No operational OpenAI API call or deployed LLM was found in the audited repository. A replaceable LLM remains a future component behind the same structured boundary and safety gates.</w:t>
      </w:r>
    </w:p>
    <w:p w14:paraId="7741B138">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Session recording stores timelines, repetitions, feedback events, analytics and selected landmark tapes. The dashboard and analysis interfaces expose filters, movement clusters, selected-frame evidence, diagnostics and multi-level skeleton visualizations. Stored history supports later review, but development records are not automatically treated as controlled research data.</w:t>
      </w:r>
    </w:p>
    <w:p w14:paraId="048630B4">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3.8 Evidence Hierarchy and Evaluation Protocol</w:t>
      </w:r>
    </w:p>
    <w:p w14:paraId="3EEE478C">
      <w:pPr>
        <w:widowControl/>
        <w:spacing w:before="160" w:after="80"/>
        <w:jc w:val="left"/>
      </w:pPr>
      <w:r>
        <w:rPr>
          <w:rFonts w:ascii="Times New Roman" w:hAnsi="Times New Roman" w:eastAsia="ＭＳ 明朝" w:cs="Times New Roman" w:eastAsiaTheme="minorEastAsia"/>
          <w:b/>
          <w:bCs/>
          <w:color w:val="000000"/>
          <w:sz w:val="24"/>
          <w:szCs w:val="22"/>
        </w:rPr>
        <w:t>Table 3.2 Evaluation evidence hierarchy</w:t>
      </w:r>
    </w:p>
    <w:tbl>
      <w:tblPr>
        <w:tblStyle w:val="TableGrid"/>
        <w:tblW w:w="8784"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197"/>
        <w:gridCol w:w="2197"/>
        <w:gridCol w:w="2197"/>
        <w:gridCol w:w="2197"/>
      </w:tblGrid>
      <w:tr>
        <w:trPr>
          <w:tblHeader/>
        </w:trPr>
        <w:tc>
          <w:tcPr>
            <w:tcW w:w="1440"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6F1EB19A">
            <w:pPr>
              <w:spacing w:after="0"/>
              <w:jc w:val="center"/>
            </w:pPr>
            <w:r>
              <w:rPr>
                <w:rFonts w:ascii="Times New Roman" w:hAnsi="Times New Roman" w:eastAsia="ＭＳ 明朝" w:cs="Times New Roman" w:eastAsiaTheme="minorEastAsia"/>
                <w:b/>
                <w:bCs/>
                <w:color w:val="000000"/>
                <w:sz w:val="18"/>
                <w:szCs w:val="22"/>
              </w:rPr>
              <w:t>Tier</w:t>
            </w:r>
          </w:p>
        </w:tc>
        <w:tc>
          <w:tcPr>
            <w:tcW w:w="2448"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1E0CFF5B">
            <w:pPr>
              <w:spacing w:after="0"/>
              <w:jc w:val="center"/>
            </w:pPr>
            <w:r>
              <w:rPr>
                <w:rFonts w:ascii="Times New Roman" w:hAnsi="Times New Roman" w:eastAsia="ＭＳ 明朝" w:cs="Times New Roman" w:eastAsiaTheme="minorEastAsia"/>
                <w:b/>
                <w:bCs/>
                <w:color w:val="000000"/>
                <w:sz w:val="18"/>
                <w:szCs w:val="22"/>
              </w:rPr>
              <w:t>Evidence</w:t>
            </w:r>
          </w:p>
        </w:tc>
        <w:tc>
          <w:tcPr>
            <w:tcW w:w="2592"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15CE5AAA">
            <w:pPr>
              <w:spacing w:after="0"/>
              <w:jc w:val="center"/>
            </w:pPr>
            <w:r>
              <w:rPr>
                <w:rFonts w:ascii="Times New Roman" w:hAnsi="Times New Roman" w:eastAsia="ＭＳ 明朝" w:cs="Times New Roman" w:eastAsiaTheme="minorEastAsia"/>
                <w:b/>
                <w:bCs/>
                <w:color w:val="000000"/>
                <w:sz w:val="18"/>
                <w:szCs w:val="22"/>
              </w:rPr>
              <w:t>Supports</w:t>
            </w:r>
          </w:p>
        </w:tc>
        <w:tc>
          <w:tcPr>
            <w:tcW w:w="2304"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2031EC4F">
            <w:pPr>
              <w:spacing w:after="0"/>
              <w:jc w:val="center"/>
            </w:pPr>
            <w:r>
              <w:rPr>
                <w:rFonts w:ascii="Times New Roman" w:hAnsi="Times New Roman" w:eastAsia="ＭＳ 明朝" w:cs="Times New Roman" w:eastAsiaTheme="minorEastAsia"/>
                <w:b/>
                <w:bCs/>
                <w:color w:val="000000"/>
                <w:sz w:val="18"/>
                <w:szCs w:val="22"/>
              </w:rPr>
              <w:t>Does not support</w:t>
            </w:r>
          </w:p>
        </w:tc>
      </w:tr>
      <w:tr>
        <w:tc>
          <w:tcPr>
            <w:tcW w:w="1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6590067">
            <w:pPr>
              <w:spacing w:after="0" w:line="240" w:lineRule="auto"/>
            </w:pPr>
            <w:r>
              <w:rPr>
                <w:rFonts w:ascii="Times New Roman" w:hAnsi="Times New Roman" w:eastAsia="ＭＳ 明朝" w:cs="Times New Roman" w:eastAsiaTheme="minorEastAsia"/>
                <w:color w:val="000000"/>
                <w:sz w:val="18"/>
                <w:szCs w:val="22"/>
              </w:rPr>
              <w:t>Offline model</w:t>
            </w:r>
          </w:p>
        </w:tc>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A5B51C8">
            <w:pPr>
              <w:spacing w:after="0" w:line="240" w:lineRule="auto"/>
            </w:pPr>
            <w:r>
              <w:rPr>
                <w:rFonts w:ascii="Times New Roman" w:hAnsi="Times New Roman" w:eastAsia="ＭＳ 明朝" w:cs="Times New Roman" w:eastAsiaTheme="minorEastAsia"/>
                <w:color w:val="000000"/>
                <w:sz w:val="18"/>
                <w:szCs w:val="22"/>
              </w:rPr>
              <w:t>ACP benchmark; generated phase bootstrap</w:t>
            </w:r>
          </w:p>
        </w:tc>
        <w:tc>
          <w:tcPr>
            <w:tcW w:w="25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F230D69">
            <w:pPr>
              <w:spacing w:after="0" w:line="240" w:lineRule="auto"/>
            </w:pPr>
            <w:r>
              <w:rPr>
                <w:rFonts w:ascii="Times New Roman" w:hAnsi="Times New Roman" w:eastAsia="ＭＳ 明朝" w:cs="Times New Roman" w:eastAsiaTheme="minorEastAsia"/>
                <w:color w:val="000000"/>
                <w:sz w:val="18"/>
                <w:szCs w:val="22"/>
              </w:rPr>
              <w:t>Forecasting and pipeline behaviour under declared datasets</w:t>
            </w:r>
          </w:p>
        </w:tc>
        <w:tc>
          <w:tcPr>
            <w:tcW w:w="23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F5BBECF">
            <w:pPr>
              <w:spacing w:after="0" w:line="240" w:lineRule="auto"/>
            </w:pPr>
            <w:r>
              <w:rPr>
                <w:rFonts w:ascii="Times New Roman" w:hAnsi="Times New Roman" w:eastAsia="ＭＳ 明朝" w:cs="Times New Roman" w:eastAsiaTheme="minorEastAsia"/>
                <w:color w:val="000000"/>
                <w:sz w:val="18"/>
                <w:szCs w:val="22"/>
              </w:rPr>
              <w:t>Live-system or real-human accuracy</w:t>
            </w:r>
          </w:p>
        </w:tc>
      </w:tr>
      <w:tr>
        <w:tc>
          <w:tcPr>
            <w:tcW w:w="1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DB0EE46">
            <w:pPr>
              <w:spacing w:after="0" w:line="240" w:lineRule="auto"/>
            </w:pPr>
            <w:r>
              <w:rPr>
                <w:rFonts w:ascii="Times New Roman" w:hAnsi="Times New Roman" w:eastAsia="ＭＳ 明朝" w:cs="Times New Roman" w:eastAsiaTheme="minorEastAsia"/>
                <w:color w:val="000000"/>
                <w:sz w:val="18"/>
                <w:szCs w:val="22"/>
              </w:rPr>
              <w:t>Software</w:t>
            </w:r>
          </w:p>
        </w:tc>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1C69828">
            <w:pPr>
              <w:spacing w:after="0" w:line="240" w:lineRule="auto"/>
            </w:pPr>
            <w:r>
              <w:rPr>
                <w:rFonts w:ascii="Times New Roman" w:hAnsi="Times New Roman" w:eastAsia="ＭＳ 明朝" w:cs="Times New Roman" w:eastAsiaTheme="minorEastAsia"/>
                <w:color w:val="000000"/>
                <w:sz w:val="18"/>
                <w:szCs w:val="22"/>
              </w:rPr>
              <w:t>Frontend/backend tests and implementation audit</w:t>
            </w:r>
          </w:p>
        </w:tc>
        <w:tc>
          <w:tcPr>
            <w:tcW w:w="25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FA9B9A9">
            <w:pPr>
              <w:spacing w:after="0" w:line="240" w:lineRule="auto"/>
            </w:pPr>
            <w:r>
              <w:rPr>
                <w:rFonts w:ascii="Times New Roman" w:hAnsi="Times New Roman" w:eastAsia="ＭＳ 明朝" w:cs="Times New Roman" w:eastAsiaTheme="minorEastAsia"/>
                <w:color w:val="000000"/>
                <w:sz w:val="18"/>
                <w:szCs w:val="22"/>
              </w:rPr>
              <w:t>Verified code paths and contracts</w:t>
            </w:r>
          </w:p>
        </w:tc>
        <w:tc>
          <w:tcPr>
            <w:tcW w:w="23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BC486C3">
            <w:pPr>
              <w:spacing w:after="0" w:line="240" w:lineRule="auto"/>
            </w:pPr>
            <w:r>
              <w:rPr>
                <w:rFonts w:ascii="Times New Roman" w:hAnsi="Times New Roman" w:eastAsia="ＭＳ 明朝" w:cs="Times New Roman" w:eastAsiaTheme="minorEastAsia"/>
                <w:color w:val="000000"/>
                <w:sz w:val="18"/>
                <w:szCs w:val="22"/>
              </w:rPr>
              <w:t>Task accuracy or effectiveness</w:t>
            </w:r>
          </w:p>
        </w:tc>
      </w:tr>
      <w:tr>
        <w:tc>
          <w:tcPr>
            <w:tcW w:w="1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6E2584A">
            <w:pPr>
              <w:spacing w:after="0" w:line="240" w:lineRule="auto"/>
            </w:pPr>
            <w:r>
              <w:rPr>
                <w:rFonts w:ascii="Times New Roman" w:hAnsi="Times New Roman" w:eastAsia="ＭＳ 明朝" w:cs="Times New Roman" w:eastAsiaTheme="minorEastAsia"/>
                <w:color w:val="000000"/>
                <w:sz w:val="18"/>
                <w:szCs w:val="22"/>
              </w:rPr>
              <w:t>Framework case</w:t>
            </w:r>
          </w:p>
        </w:tc>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D659CC2">
            <w:pPr>
              <w:spacing w:after="0" w:line="240" w:lineRule="auto"/>
            </w:pPr>
            <w:r>
              <w:rPr>
                <w:rFonts w:ascii="Times New Roman" w:hAnsi="Times New Roman" w:eastAsia="ＭＳ 明朝" w:cs="Times New Roman" w:eastAsiaTheme="minorEastAsia"/>
                <w:color w:val="000000"/>
                <w:sz w:val="18"/>
                <w:szCs w:val="22"/>
              </w:rPr>
              <w:t>P001 practice-42, screenshots and curated export</w:t>
            </w:r>
          </w:p>
        </w:tc>
        <w:tc>
          <w:tcPr>
            <w:tcW w:w="25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BF27DE1">
            <w:pPr>
              <w:spacing w:after="0" w:line="240" w:lineRule="auto"/>
            </w:pPr>
            <w:r>
              <w:rPr>
                <w:rFonts w:ascii="Times New Roman" w:hAnsi="Times New Roman" w:eastAsia="ＭＳ 明朝" w:cs="Times New Roman" w:eastAsiaTheme="minorEastAsia"/>
                <w:color w:val="000000"/>
                <w:sz w:val="18"/>
                <w:szCs w:val="22"/>
              </w:rPr>
              <w:t>Single expert feasibility/self-evaluation</w:t>
            </w:r>
          </w:p>
        </w:tc>
        <w:tc>
          <w:tcPr>
            <w:tcW w:w="23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973A589">
            <w:pPr>
              <w:spacing w:after="0" w:line="240" w:lineRule="auto"/>
            </w:pPr>
            <w:r>
              <w:rPr>
                <w:rFonts w:ascii="Times New Roman" w:hAnsi="Times New Roman" w:eastAsia="ＭＳ 明朝" w:cs="Times New Roman" w:eastAsiaTheme="minorEastAsia"/>
                <w:color w:val="000000"/>
                <w:sz w:val="18"/>
                <w:szCs w:val="22"/>
              </w:rPr>
              <w:t>Independent usability or generalization</w:t>
            </w:r>
          </w:p>
        </w:tc>
      </w:tr>
      <w:tr>
        <w:tc>
          <w:tcPr>
            <w:tcW w:w="1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A56CD88">
            <w:pPr>
              <w:spacing w:after="0" w:line="240" w:lineRule="auto"/>
            </w:pPr>
            <w:r>
              <w:rPr>
                <w:rFonts w:ascii="Times New Roman" w:hAnsi="Times New Roman" w:eastAsia="ＭＳ 明朝" w:cs="Times New Roman" w:eastAsiaTheme="minorEastAsia"/>
                <w:color w:val="000000"/>
                <w:sz w:val="18"/>
                <w:szCs w:val="22"/>
              </w:rPr>
              <w:t>Literature</w:t>
            </w:r>
          </w:p>
        </w:tc>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E59DB6C">
            <w:pPr>
              <w:spacing w:after="0" w:line="240" w:lineRule="auto"/>
            </w:pPr>
            <w:r>
              <w:rPr>
                <w:rFonts w:ascii="Times New Roman" w:hAnsi="Times New Roman" w:eastAsia="ＭＳ 明朝" w:cs="Times New Roman" w:eastAsiaTheme="minorEastAsia"/>
                <w:color w:val="000000"/>
                <w:sz w:val="18"/>
                <w:szCs w:val="22"/>
              </w:rPr>
              <w:t>22-source matrix and 39 extracts</w:t>
            </w:r>
          </w:p>
        </w:tc>
        <w:tc>
          <w:tcPr>
            <w:tcW w:w="25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DDB3755">
            <w:pPr>
              <w:spacing w:after="0" w:line="240" w:lineRule="auto"/>
            </w:pPr>
            <w:r>
              <w:rPr>
                <w:rFonts w:ascii="Times New Roman" w:hAnsi="Times New Roman" w:eastAsia="ＭＳ 明朝" w:cs="Times New Roman" w:eastAsiaTheme="minorEastAsia"/>
                <w:color w:val="000000"/>
                <w:sz w:val="18"/>
                <w:szCs w:val="22"/>
              </w:rPr>
              <w:t>Design rationale and claim boundaries</w:t>
            </w:r>
          </w:p>
        </w:tc>
        <w:tc>
          <w:tcPr>
            <w:tcW w:w="23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795064F">
            <w:pPr>
              <w:spacing w:after="0" w:line="240" w:lineRule="auto"/>
            </w:pPr>
            <w:r>
              <w:rPr>
                <w:rFonts w:ascii="Times New Roman" w:hAnsi="Times New Roman" w:eastAsia="ＭＳ 明朝" w:cs="Times New Roman" w:eastAsiaTheme="minorEastAsia"/>
                <w:color w:val="000000"/>
                <w:sz w:val="18"/>
                <w:szCs w:val="22"/>
              </w:rPr>
              <w:t>Local empirical performance</w:t>
            </w:r>
          </w:p>
        </w:tc>
      </w:tr>
    </w:tbl>
    <w:p w14:paraId="00A70ED1">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protocol prohibits combining these tiers into one overall accuracy. Each metric is reported with its dataset, unit and evidence status. Historical sessions lacking an experiment condition are retained for availability and failure analysis but excluded from the headline case. Missing measures, such as end-to-end response time and structured usability ratings, are not reconstructed retrospectively.</w:t>
      </w:r>
    </w:p>
    <w:p w14:paraId="24A10448">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3.9 Privacy, Ethics and Reflexivity</w:t>
      </w:r>
    </w:p>
    <w:p w14:paraId="1FDA98F7">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participant identifier P001 replaces account identity. Original recordings are private and excluded. The 31.97 MB database export was checked for common identity and credential fields, preserved with a content hash and kept outside the submitted appendices because landmark tapes can be identifying movement data. Only curated interpretations and approved anonymized derivatives are used.</w:t>
      </w:r>
    </w:p>
    <w:p w14:paraId="79BD4702">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Self-evaluation creates confirmation risk because the researcher has an interest in the artifact's success and supplied the expert rules. The mitigation is transparency rather than a false claim of independence: the report states the dual role, freezes permitted claims, reports contradictory evidence, avoids retrospective ratings and identifies second-expert review as future work.</w:t>
      </w:r>
    </w:p>
    <w:p w14:paraId="0A8FD5A1">
      <w:pPr>
        <w:pageBreakBefore/>
        <w:widowControl/>
      </w:pPr>
      <w:r/>
    </w:p>
    <w:p w14:paraId="55A44E1D">
      <w:pPr>
        <w:pStyle w:val="Heading1"/>
        <w:keepNext/>
        <w:widowControl/>
        <w:spacing w:before="0" w:after="360"/>
        <w:jc w:val="center"/>
      </w:pPr>
      <w:r>
        <w:rPr>
          <w:rFonts w:ascii="Times New Roman" w:hAnsi="Times New Roman" w:eastAsia="ＭＳ ゴシック" w:cs="Times New Roman" w:eastAsiaTheme="majorEastAsia"/>
          <w:b/>
          <w:bCs/>
          <w:color w:val="000000"/>
          <w:sz w:val="28"/>
          <w:szCs w:val="28"/>
        </w:rPr>
        <w:t>CHAPTER 4</w:t>
      </w:r>
      <w:r>
        <w:br w:type="textWrapping"/>
      </w:r>
      <w:r>
        <w:rPr>
          <w:rFonts w:ascii="Times New Roman" w:hAnsi="Times New Roman" w:eastAsia="ＭＳ ゴシック" w:cs="Times New Roman" w:eastAsiaTheme="majorEastAsia"/>
          <w:b/>
          <w:bCs/>
          <w:color w:val="000000"/>
          <w:sz w:val="28"/>
          <w:szCs w:val="28"/>
        </w:rPr>
        <w:t>RESULTS AND DISCUSSION</w:t>
      </w:r>
    </w:p>
    <w:p w14:paraId="5851F0DD">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4.1 ACP-STGAT Offline Results</w:t>
      </w:r>
    </w:p>
    <w:p w14:paraId="1CA28233">
      <w:pPr>
        <w:widowControl/>
        <w:spacing w:before="160" w:after="80"/>
        <w:jc w:val="left"/>
      </w:pPr>
      <w:r>
        <w:rPr>
          <w:rFonts w:ascii="Times New Roman" w:hAnsi="Times New Roman" w:eastAsia="ＭＳ 明朝" w:cs="Times New Roman" w:eastAsiaTheme="minorEastAsia"/>
          <w:b/>
          <w:bCs/>
          <w:color w:val="000000"/>
          <w:sz w:val="24"/>
          <w:szCs w:val="22"/>
        </w:rPr>
        <w:t>Table 4.1 ACP-STGAT model results and baselines</w:t>
      </w:r>
    </w:p>
    <w:tbl>
      <w:tblPr>
        <w:tblStyle w:val="TableGrid"/>
        <w:tblW w:w="8784"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197"/>
        <w:gridCol w:w="2197"/>
        <w:gridCol w:w="2197"/>
        <w:gridCol w:w="2197"/>
      </w:tblGrid>
      <w:tr>
        <w:trPr>
          <w:tblHeader/>
        </w:trPr>
        <w:tc>
          <w:tcPr>
            <w:tcW w:w="2160"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6C21AF8F">
            <w:pPr>
              <w:spacing w:after="0"/>
              <w:jc w:val="center"/>
            </w:pPr>
            <w:r>
              <w:rPr>
                <w:rFonts w:ascii="Times New Roman" w:hAnsi="Times New Roman" w:eastAsia="ＭＳ 明朝" w:cs="Times New Roman" w:eastAsiaTheme="minorEastAsia"/>
                <w:b/>
                <w:bCs/>
                <w:color w:val="000000"/>
                <w:sz w:val="18"/>
                <w:szCs w:val="22"/>
              </w:rPr>
              <w:t>Metric</w:t>
            </w:r>
          </w:p>
        </w:tc>
        <w:tc>
          <w:tcPr>
            <w:tcW w:w="2592"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0ECC1C80">
            <w:pPr>
              <w:spacing w:after="0"/>
              <w:jc w:val="center"/>
            </w:pPr>
            <w:r>
              <w:rPr>
                <w:rFonts w:ascii="Times New Roman" w:hAnsi="Times New Roman" w:eastAsia="ＭＳ 明朝" w:cs="Times New Roman" w:eastAsiaTheme="minorEastAsia"/>
                <w:b/>
                <w:bCs/>
                <w:color w:val="000000"/>
                <w:sz w:val="18"/>
                <w:szCs w:val="22"/>
              </w:rPr>
              <w:t>ACP-STGAT mean ± SD</w:t>
            </w:r>
          </w:p>
        </w:tc>
        <w:tc>
          <w:tcPr>
            <w:tcW w:w="1944"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25E5C0F4">
            <w:pPr>
              <w:spacing w:after="0"/>
              <w:jc w:val="center"/>
            </w:pPr>
            <w:r>
              <w:rPr>
                <w:rFonts w:ascii="Times New Roman" w:hAnsi="Times New Roman" w:eastAsia="ＭＳ 明朝" w:cs="Times New Roman" w:eastAsiaTheme="minorEastAsia"/>
                <w:b/>
                <w:bCs/>
                <w:color w:val="000000"/>
                <w:sz w:val="18"/>
                <w:szCs w:val="22"/>
              </w:rPr>
              <w:t>Last pose</w:t>
            </w:r>
          </w:p>
        </w:tc>
        <w:tc>
          <w:tcPr>
            <w:tcW w:w="2088"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179D3FFE">
            <w:pPr>
              <w:spacing w:after="0"/>
              <w:jc w:val="center"/>
            </w:pPr>
            <w:r>
              <w:rPr>
                <w:rFonts w:ascii="Times New Roman" w:hAnsi="Times New Roman" w:eastAsia="ＭＳ 明朝" w:cs="Times New Roman" w:eastAsiaTheme="minorEastAsia"/>
                <w:b/>
                <w:bCs/>
                <w:color w:val="000000"/>
                <w:sz w:val="18"/>
                <w:szCs w:val="22"/>
              </w:rPr>
              <w:t>Constant velocity</w:t>
            </w:r>
          </w:p>
        </w:tc>
      </w:tr>
      <w:tr>
        <w:tc>
          <w:tcPr>
            <w:tcW w:w="21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7DE6553">
            <w:pPr>
              <w:spacing w:after="0" w:line="240" w:lineRule="auto"/>
            </w:pPr>
            <w:r>
              <w:rPr>
                <w:rFonts w:ascii="Times New Roman" w:hAnsi="Times New Roman" w:eastAsia="ＭＳ 明朝" w:cs="Times New Roman" w:eastAsiaTheme="minorEastAsia"/>
                <w:color w:val="000000"/>
                <w:sz w:val="18"/>
                <w:szCs w:val="22"/>
              </w:rPr>
              <w:t>Normalized MPJPE / ADE</w:t>
            </w:r>
          </w:p>
        </w:tc>
        <w:tc>
          <w:tcPr>
            <w:tcW w:w="25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B283249">
            <w:pPr>
              <w:spacing w:after="0" w:line="240" w:lineRule="auto"/>
            </w:pPr>
            <w:r>
              <w:rPr>
                <w:rFonts w:ascii="Times New Roman" w:hAnsi="Times New Roman" w:eastAsia="ＭＳ 明朝" w:cs="Times New Roman" w:eastAsiaTheme="minorEastAsia"/>
                <w:color w:val="000000"/>
                <w:sz w:val="18"/>
                <w:szCs w:val="22"/>
              </w:rPr>
              <w:t>0.07839 ± 0.00155</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8231C25">
            <w:pPr>
              <w:spacing w:after="0" w:line="240" w:lineRule="auto"/>
            </w:pPr>
            <w:r>
              <w:rPr>
                <w:rFonts w:ascii="Times New Roman" w:hAnsi="Times New Roman" w:eastAsia="ＭＳ 明朝" w:cs="Times New Roman" w:eastAsiaTheme="minorEastAsia"/>
                <w:color w:val="000000"/>
                <w:sz w:val="18"/>
                <w:szCs w:val="22"/>
              </w:rPr>
              <w:t>0.09629</w:t>
            </w:r>
          </w:p>
        </w:tc>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A215759">
            <w:pPr>
              <w:spacing w:after="0" w:line="240" w:lineRule="auto"/>
            </w:pPr>
            <w:r>
              <w:rPr>
                <w:rFonts w:ascii="Times New Roman" w:hAnsi="Times New Roman" w:eastAsia="ＭＳ 明朝" w:cs="Times New Roman" w:eastAsiaTheme="minorEastAsia"/>
                <w:color w:val="000000"/>
                <w:sz w:val="18"/>
                <w:szCs w:val="22"/>
              </w:rPr>
              <w:t>0.10004</w:t>
            </w:r>
          </w:p>
        </w:tc>
      </w:tr>
      <w:tr>
        <w:tc>
          <w:tcPr>
            <w:tcW w:w="21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D6FD696">
            <w:pPr>
              <w:spacing w:after="0" w:line="240" w:lineRule="auto"/>
            </w:pPr>
            <w:r>
              <w:rPr>
                <w:rFonts w:ascii="Times New Roman" w:hAnsi="Times New Roman" w:eastAsia="ＭＳ 明朝" w:cs="Times New Roman" w:eastAsiaTheme="minorEastAsia"/>
                <w:color w:val="000000"/>
                <w:sz w:val="18"/>
                <w:szCs w:val="22"/>
              </w:rPr>
              <w:t>Final displacement error</w:t>
            </w:r>
          </w:p>
        </w:tc>
        <w:tc>
          <w:tcPr>
            <w:tcW w:w="25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84B495D">
            <w:pPr>
              <w:spacing w:after="0" w:line="240" w:lineRule="auto"/>
            </w:pPr>
            <w:r>
              <w:rPr>
                <w:rFonts w:ascii="Times New Roman" w:hAnsi="Times New Roman" w:eastAsia="ＭＳ 明朝" w:cs="Times New Roman" w:eastAsiaTheme="minorEastAsia"/>
                <w:color w:val="000000"/>
                <w:sz w:val="18"/>
                <w:szCs w:val="22"/>
              </w:rPr>
              <w:t>0.13639 ± 0.00237</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1F49F0F">
            <w:pPr>
              <w:spacing w:after="0" w:line="240" w:lineRule="auto"/>
            </w:pPr>
            <w:r>
              <w:rPr>
                <w:rFonts w:ascii="Times New Roman" w:hAnsi="Times New Roman" w:eastAsia="ＭＳ 明朝" w:cs="Times New Roman" w:eastAsiaTheme="minorEastAsia"/>
                <w:color w:val="000000"/>
                <w:sz w:val="18"/>
                <w:szCs w:val="22"/>
              </w:rPr>
              <w:t>0.16470</w:t>
            </w:r>
          </w:p>
        </w:tc>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DBE2F76">
            <w:pPr>
              <w:spacing w:after="0" w:line="240" w:lineRule="auto"/>
            </w:pPr>
            <w:r>
              <w:rPr>
                <w:rFonts w:ascii="Times New Roman" w:hAnsi="Times New Roman" w:eastAsia="ＭＳ 明朝" w:cs="Times New Roman" w:eastAsiaTheme="minorEastAsia"/>
                <w:color w:val="000000"/>
                <w:sz w:val="18"/>
                <w:szCs w:val="22"/>
              </w:rPr>
              <w:t>0.22710</w:t>
            </w:r>
          </w:p>
        </w:tc>
      </w:tr>
      <w:tr>
        <w:tc>
          <w:tcPr>
            <w:tcW w:w="21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0986A26">
            <w:pPr>
              <w:spacing w:after="0" w:line="240" w:lineRule="auto"/>
            </w:pPr>
            <w:r>
              <w:rPr>
                <w:rFonts w:ascii="Times New Roman" w:hAnsi="Times New Roman" w:eastAsia="ＭＳ 明朝" w:cs="Times New Roman" w:eastAsiaTheme="minorEastAsia"/>
                <w:color w:val="000000"/>
                <w:sz w:val="18"/>
                <w:szCs w:val="22"/>
              </w:rPr>
              <w:t>Bone-length MAE</w:t>
            </w:r>
          </w:p>
        </w:tc>
        <w:tc>
          <w:tcPr>
            <w:tcW w:w="25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226AF9F">
            <w:pPr>
              <w:spacing w:after="0" w:line="240" w:lineRule="auto"/>
            </w:pPr>
            <w:r>
              <w:rPr>
                <w:rFonts w:ascii="Times New Roman" w:hAnsi="Times New Roman" w:eastAsia="ＭＳ 明朝" w:cs="Times New Roman" w:eastAsiaTheme="minorEastAsia"/>
                <w:color w:val="000000"/>
                <w:sz w:val="18"/>
                <w:szCs w:val="22"/>
              </w:rPr>
              <w:t>0.00576 ± 0.00019</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B3FCE74">
            <w:pPr>
              <w:spacing w:after="0" w:line="240" w:lineRule="auto"/>
            </w:pPr>
            <w:r>
              <w:rPr>
                <w:rFonts w:ascii="Times New Roman" w:hAnsi="Times New Roman" w:eastAsia="ＭＳ 明朝" w:cs="Times New Roman" w:eastAsiaTheme="minorEastAsia"/>
                <w:color w:val="000000"/>
                <w:sz w:val="18"/>
                <w:szCs w:val="22"/>
              </w:rPr>
              <w:t>approximately 0</w:t>
            </w:r>
          </w:p>
        </w:tc>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9D1F1C0">
            <w:pPr>
              <w:spacing w:after="0" w:line="240" w:lineRule="auto"/>
            </w:pPr>
            <w:r>
              <w:rPr>
                <w:rFonts w:ascii="Times New Roman" w:hAnsi="Times New Roman" w:eastAsia="ＭＳ 明朝" w:cs="Times New Roman" w:eastAsiaTheme="minorEastAsia"/>
                <w:color w:val="000000"/>
                <w:sz w:val="18"/>
                <w:szCs w:val="22"/>
              </w:rPr>
              <w:t>0.02487</w:t>
            </w:r>
          </w:p>
        </w:tc>
      </w:tr>
      <w:tr>
        <w:tc>
          <w:tcPr>
            <w:tcW w:w="21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BABA15D">
            <w:pPr>
              <w:spacing w:after="0" w:line="240" w:lineRule="auto"/>
            </w:pPr>
            <w:r>
              <w:rPr>
                <w:rFonts w:ascii="Times New Roman" w:hAnsi="Times New Roman" w:eastAsia="ＭＳ 明朝" w:cs="Times New Roman" w:eastAsiaTheme="minorEastAsia"/>
                <w:color w:val="000000"/>
                <w:sz w:val="18"/>
                <w:szCs w:val="22"/>
              </w:rPr>
              <w:t>Model-only CPU latency</w:t>
            </w:r>
          </w:p>
        </w:tc>
        <w:tc>
          <w:tcPr>
            <w:tcW w:w="25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307C5B9">
            <w:pPr>
              <w:spacing w:after="0" w:line="240" w:lineRule="auto"/>
            </w:pPr>
            <w:r>
              <w:rPr>
                <w:rFonts w:ascii="Times New Roman" w:hAnsi="Times New Roman" w:eastAsia="ＭＳ 明朝" w:cs="Times New Roman" w:eastAsiaTheme="minorEastAsia"/>
                <w:color w:val="000000"/>
                <w:sz w:val="18"/>
                <w:szCs w:val="22"/>
              </w:rPr>
              <w:t>median 9.88 ms; p95 12.81 ms</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9D3177A">
            <w:pPr>
              <w:spacing w:after="0" w:line="240" w:lineRule="auto"/>
            </w:pPr>
            <w:r>
              <w:rPr>
                <w:rFonts w:ascii="Times New Roman" w:hAnsi="Times New Roman" w:eastAsia="ＭＳ 明朝" w:cs="Times New Roman" w:eastAsiaTheme="minorEastAsia"/>
                <w:color w:val="000000"/>
                <w:sz w:val="18"/>
                <w:szCs w:val="22"/>
              </w:rPr>
              <w:t>-</w:t>
            </w:r>
          </w:p>
        </w:tc>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FF940A5">
            <w:pPr>
              <w:spacing w:after="0" w:line="240" w:lineRule="auto"/>
            </w:pPr>
            <w:r>
              <w:rPr>
                <w:rFonts w:ascii="Times New Roman" w:hAnsi="Times New Roman" w:eastAsia="ＭＳ 明朝" w:cs="Times New Roman" w:eastAsiaTheme="minorEastAsia"/>
                <w:color w:val="000000"/>
                <w:sz w:val="18"/>
                <w:szCs w:val="22"/>
              </w:rPr>
              <w:t>-</w:t>
            </w:r>
          </w:p>
        </w:tc>
      </w:tr>
    </w:tbl>
    <w:p w14:paraId="741121E3">
      <w:pPr>
        <w:widowControl/>
        <w:spacing w:before="60" w:after="120"/>
      </w:pPr>
      <w:r>
        <w:rPr>
          <w:rFonts w:ascii="Times New Roman" w:hAnsi="Times New Roman" w:eastAsia="ＭＳ 明朝" w:cs="Times New Roman" w:eastAsiaTheme="minorEastAsia"/>
          <w:i/>
          <w:iCs/>
          <w:color w:val="000000"/>
          <w:sz w:val="18"/>
          <w:szCs w:val="22"/>
        </w:rPr>
        <w:t>Note: Coordinates are normalized. MPJPE and ADE are equivalent in this implementation; they are not separate findings.</w:t>
      </w:r>
    </w:p>
    <w:p w14:paraId="0AF47541">
      <w:pPr>
        <w:keepNext/>
        <w:widowControl/>
        <w:jc w:val="center"/>
      </w:pPr>
      <w:r>
        <w:drawing>
          <wp:inline distT="0" distB="0" distL="0" distR="0">
            <wp:extent cx="5305425" cy="2647950"/>
            <wp:effectExtent l="0" t="0" r="0" b="0"/>
            <wp:docPr id="100001" name="Line chart comparing normalized ACP-STGAT" descr="Line chart comparing normalized ACP-STGAT, last-pose and constant-velocity prediction error across the 30-frame forecast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Line chart comparing normalized ACP-STGAT, last-pose and constant-velocity prediction error across the 30-frame forecast horizon."/>
                    <pic:cNvPicPr/>
                  </pic:nvPicPr>
                  <pic:blipFill>
                    <a:blip r:embed="rId32"/>
                    <a:stretch>
                      <a:fillRect/>
                    </a:stretch>
                  </pic:blipFill>
                  <pic:spPr>
                    <a:xfrm>
                      <a:off x="0" y="0"/>
                      <a:ext cx="5305425" cy="2647950"/>
                    </a:xfrm>
                    <a:prstGeom prst="rect">
                      <a:avLst/>
                    </a:prstGeom>
                  </pic:spPr>
                </pic:pic>
              </a:graphicData>
            </a:graphic>
          </wp:inline>
        </w:drawing>
      </w:r>
    </w:p>
    <w:p w14:paraId="73EE1438">
      <w:pPr>
        <w:pStyle w:val="Caption"/>
        <w:keepNext w:val="0"/>
        <w:widowControl/>
        <w:spacing w:before="60" w:after="160"/>
        <w:jc w:val="center"/>
      </w:pPr>
      <w:r>
        <w:rPr>
          <w:rFonts w:ascii="Times New Roman" w:hAnsi="Times New Roman" w:eastAsia="ＭＳ 明朝" w:cs="Times New Roman" w:eastAsiaTheme="minorEastAsia"/>
          <w:i/>
          <w:iCs/>
          <w:color w:val="000000"/>
          <w:sz w:val="20"/>
          <w:szCs w:val="18"/>
        </w:rPr>
        <w:t>Figure 4.1 ACP-STGAT normalized prediction error across the 30-frame forecast horizon on the participant-held-out Human3.6M-17 protocol. Error is not expressed in millimetres or as an accuracy percentage.</w:t>
      </w:r>
    </w:p>
    <w:p w14:paraId="22D3686B">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ACP-STGAT reduced mean prediction error by 18.6% relative to last pose and 21.6% relative to constant velocity. Final-frame error was 17.2% lower than last pose and 39.9% lower than constant velocity. Error increased with horizon for all approaches. Constant velocity was competitive in the first frames but accumulated greater drift, while the learned model better controlled the longer horizon. The across-seed standard deviations were small enough to support preliminary repeatability across the three runs.</w:t>
      </w:r>
    </w:p>
    <w:p w14:paraId="570CBD4F">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Robustness testing showed sensitivity to coordinate noise: noise with standard deviation 0.005 increased normalized MPJPE by about 18.4%, and standard deviation 0.010 increased it by about 50.4% relative to the clean seed-42 result. Simulated missing-landmark rates of 5% and 10% produced much smaller increases under the notebook's imputation procedure. This pattern supports confidence filtering and smoothing, but it cannot be generalized beyond the tested corruption model.</w:t>
      </w:r>
    </w:p>
    <w:p w14:paraId="105274C7">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ONNX export passed parity with a maximum absolute PyTorch-ONNX difference of approximately 1.19 × 10^-7. Median model inference was 9.88 ms and p95 was 12.81 ms. These values are promising for deployment, but camera-to-feedback latency was not measured. The evidence supports a successful prototype benchmark result, not state-of-the-art performance or validated jab anticipation.</w:t>
      </w:r>
    </w:p>
    <w:p w14:paraId="36FDFF03">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4.2 Temporal Phase-Classifier Results</w:t>
      </w:r>
    </w:p>
    <w:p w14:paraId="2339E036">
      <w:pPr>
        <w:widowControl/>
        <w:spacing w:before="160" w:after="80"/>
        <w:jc w:val="left"/>
      </w:pPr>
      <w:r>
        <w:rPr>
          <w:rFonts w:ascii="Times New Roman" w:hAnsi="Times New Roman" w:eastAsia="ＭＳ 明朝" w:cs="Times New Roman" w:eastAsiaTheme="minorEastAsia"/>
          <w:b/>
          <w:bCs/>
          <w:color w:val="000000"/>
          <w:sz w:val="24"/>
          <w:szCs w:val="22"/>
        </w:rPr>
        <w:t>Table 4.2 Temporal phase-classifier generated-bootstrap results</w:t>
      </w:r>
    </w:p>
    <w:tbl>
      <w:tblPr>
        <w:tblStyle w:val="TableGrid"/>
        <w:tblW w:w="8784"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929"/>
        <w:gridCol w:w="2929"/>
        <w:gridCol w:w="2929"/>
      </w:tblGrid>
      <w:tr>
        <w:trPr>
          <w:tblHeader/>
        </w:trPr>
        <w:tc>
          <w:tcPr>
            <w:tcW w:w="2448"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6F3C9105">
            <w:pPr>
              <w:spacing w:after="0"/>
              <w:jc w:val="center"/>
            </w:pPr>
            <w:r>
              <w:rPr>
                <w:rFonts w:ascii="Times New Roman" w:hAnsi="Times New Roman" w:eastAsia="ＭＳ 明朝" w:cs="Times New Roman" w:eastAsiaTheme="minorEastAsia"/>
                <w:b/>
                <w:bCs/>
                <w:color w:val="000000"/>
                <w:sz w:val="18"/>
                <w:szCs w:val="22"/>
              </w:rPr>
              <w:t>Metric</w:t>
            </w:r>
          </w:p>
        </w:tc>
        <w:tc>
          <w:tcPr>
            <w:tcW w:w="3888"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73FBB60F">
            <w:pPr>
              <w:spacing w:after="0"/>
              <w:jc w:val="center"/>
            </w:pPr>
            <w:r>
              <w:rPr>
                <w:rFonts w:ascii="Times New Roman" w:hAnsi="Times New Roman" w:eastAsia="ＭＳ 明朝" w:cs="Times New Roman" w:eastAsiaTheme="minorEastAsia"/>
                <w:b/>
                <w:bCs/>
                <w:color w:val="000000"/>
                <w:sz w:val="18"/>
                <w:szCs w:val="22"/>
              </w:rPr>
              <w:t>ST-GCN/TCN mean ± SD</w:t>
            </w:r>
          </w:p>
        </w:tc>
        <w:tc>
          <w:tcPr>
            <w:tcW w:w="2448"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2C137540">
            <w:pPr>
              <w:spacing w:after="0"/>
              <w:jc w:val="center"/>
            </w:pPr>
            <w:r>
              <w:rPr>
                <w:rFonts w:ascii="Times New Roman" w:hAnsi="Times New Roman" w:eastAsia="ＭＳ 明朝" w:cs="Times New Roman" w:eastAsiaTheme="minorEastAsia"/>
                <w:b/>
                <w:bCs/>
                <w:color w:val="000000"/>
                <w:sz w:val="18"/>
                <w:szCs w:val="22"/>
              </w:rPr>
              <w:t>Majority baseline</w:t>
            </w:r>
          </w:p>
        </w:tc>
      </w:tr>
      <w:tr>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55CA6F4">
            <w:pPr>
              <w:spacing w:after="0" w:line="240" w:lineRule="auto"/>
            </w:pPr>
            <w:r>
              <w:rPr>
                <w:rFonts w:ascii="Times New Roman" w:hAnsi="Times New Roman" w:eastAsia="ＭＳ 明朝" w:cs="Times New Roman" w:eastAsiaTheme="minorEastAsia"/>
                <w:color w:val="000000"/>
                <w:sz w:val="18"/>
                <w:szCs w:val="22"/>
              </w:rPr>
              <w:t>Accuracy</w:t>
            </w:r>
          </w:p>
        </w:tc>
        <w:tc>
          <w:tcPr>
            <w:tcW w:w="38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3849020">
            <w:pPr>
              <w:spacing w:after="0" w:line="240" w:lineRule="auto"/>
            </w:pPr>
            <w:r>
              <w:rPr>
                <w:rFonts w:ascii="Times New Roman" w:hAnsi="Times New Roman" w:eastAsia="ＭＳ 明朝" w:cs="Times New Roman" w:eastAsiaTheme="minorEastAsia"/>
                <w:color w:val="000000"/>
                <w:sz w:val="18"/>
                <w:szCs w:val="22"/>
              </w:rPr>
              <w:t>87.84% ± 1.31 percentage points</w:t>
            </w:r>
          </w:p>
        </w:tc>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34A5C16">
            <w:pPr>
              <w:spacing w:after="0" w:line="240" w:lineRule="auto"/>
            </w:pPr>
            <w:r>
              <w:rPr>
                <w:rFonts w:ascii="Times New Roman" w:hAnsi="Times New Roman" w:eastAsia="ＭＳ 明朝" w:cs="Times New Roman" w:eastAsiaTheme="minorEastAsia"/>
                <w:color w:val="000000"/>
                <w:sz w:val="18"/>
                <w:szCs w:val="22"/>
              </w:rPr>
              <w:t>33.49%</w:t>
            </w:r>
          </w:p>
        </w:tc>
      </w:tr>
      <w:tr>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E761A25">
            <w:pPr>
              <w:spacing w:after="0" w:line="240" w:lineRule="auto"/>
            </w:pPr>
            <w:r>
              <w:rPr>
                <w:rFonts w:ascii="Times New Roman" w:hAnsi="Times New Roman" w:eastAsia="ＭＳ 明朝" w:cs="Times New Roman" w:eastAsiaTheme="minorEastAsia"/>
                <w:color w:val="000000"/>
                <w:sz w:val="18"/>
                <w:szCs w:val="22"/>
              </w:rPr>
              <w:t>Balanced accuracy</w:t>
            </w:r>
          </w:p>
        </w:tc>
        <w:tc>
          <w:tcPr>
            <w:tcW w:w="38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3E2BA34">
            <w:pPr>
              <w:spacing w:after="0" w:line="240" w:lineRule="auto"/>
            </w:pPr>
            <w:r>
              <w:rPr>
                <w:rFonts w:ascii="Times New Roman" w:hAnsi="Times New Roman" w:eastAsia="ＭＳ 明朝" w:cs="Times New Roman" w:eastAsiaTheme="minorEastAsia"/>
                <w:color w:val="000000"/>
                <w:sz w:val="18"/>
                <w:szCs w:val="22"/>
              </w:rPr>
              <w:t>90.84% ± 0.71 percentage points</w:t>
            </w:r>
          </w:p>
        </w:tc>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2087EB7">
            <w:pPr>
              <w:spacing w:after="0" w:line="240" w:lineRule="auto"/>
            </w:pPr>
            <w:r>
              <w:rPr>
                <w:rFonts w:ascii="Times New Roman" w:hAnsi="Times New Roman" w:eastAsia="ＭＳ 明朝" w:cs="Times New Roman" w:eastAsiaTheme="minorEastAsia"/>
                <w:color w:val="000000"/>
                <w:sz w:val="18"/>
                <w:szCs w:val="22"/>
              </w:rPr>
              <w:t>14.29%</w:t>
            </w:r>
          </w:p>
        </w:tc>
      </w:tr>
      <w:tr>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B4CAA85">
            <w:pPr>
              <w:spacing w:after="0" w:line="240" w:lineRule="auto"/>
            </w:pPr>
            <w:r>
              <w:rPr>
                <w:rFonts w:ascii="Times New Roman" w:hAnsi="Times New Roman" w:eastAsia="ＭＳ 明朝" w:cs="Times New Roman" w:eastAsiaTheme="minorEastAsia"/>
                <w:color w:val="000000"/>
                <w:sz w:val="18"/>
                <w:szCs w:val="22"/>
              </w:rPr>
              <w:t>Macro precision</w:t>
            </w:r>
          </w:p>
        </w:tc>
        <w:tc>
          <w:tcPr>
            <w:tcW w:w="38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1CD20B0">
            <w:pPr>
              <w:spacing w:after="0" w:line="240" w:lineRule="auto"/>
            </w:pPr>
            <w:r>
              <w:rPr>
                <w:rFonts w:ascii="Times New Roman" w:hAnsi="Times New Roman" w:eastAsia="ＭＳ 明朝" w:cs="Times New Roman" w:eastAsiaTheme="minorEastAsia"/>
                <w:color w:val="000000"/>
                <w:sz w:val="18"/>
                <w:szCs w:val="22"/>
              </w:rPr>
              <w:t>0.8803 ± 0.0113</w:t>
            </w:r>
          </w:p>
        </w:tc>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BBCCE13">
            <w:pPr>
              <w:spacing w:after="0" w:line="240" w:lineRule="auto"/>
            </w:pPr>
            <w:r>
              <w:rPr>
                <w:rFonts w:ascii="Times New Roman" w:hAnsi="Times New Roman" w:eastAsia="ＭＳ 明朝" w:cs="Times New Roman" w:eastAsiaTheme="minorEastAsia"/>
                <w:color w:val="000000"/>
                <w:sz w:val="18"/>
                <w:szCs w:val="22"/>
              </w:rPr>
              <w:t>0.0478</w:t>
            </w:r>
          </w:p>
        </w:tc>
      </w:tr>
      <w:tr>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B02FDBD">
            <w:pPr>
              <w:spacing w:after="0" w:line="240" w:lineRule="auto"/>
            </w:pPr>
            <w:r>
              <w:rPr>
                <w:rFonts w:ascii="Times New Roman" w:hAnsi="Times New Roman" w:eastAsia="ＭＳ 明朝" w:cs="Times New Roman" w:eastAsiaTheme="minorEastAsia"/>
                <w:color w:val="000000"/>
                <w:sz w:val="18"/>
                <w:szCs w:val="22"/>
              </w:rPr>
              <w:t>Macro recall</w:t>
            </w:r>
          </w:p>
        </w:tc>
        <w:tc>
          <w:tcPr>
            <w:tcW w:w="38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B45D357">
            <w:pPr>
              <w:spacing w:after="0" w:line="240" w:lineRule="auto"/>
            </w:pPr>
            <w:r>
              <w:rPr>
                <w:rFonts w:ascii="Times New Roman" w:hAnsi="Times New Roman" w:eastAsia="ＭＳ 明朝" w:cs="Times New Roman" w:eastAsiaTheme="minorEastAsia"/>
                <w:color w:val="000000"/>
                <w:sz w:val="18"/>
                <w:szCs w:val="22"/>
              </w:rPr>
              <w:t>0.9084 ± 0.0071</w:t>
            </w:r>
          </w:p>
        </w:tc>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BEAE617">
            <w:pPr>
              <w:spacing w:after="0" w:line="240" w:lineRule="auto"/>
            </w:pPr>
            <w:r>
              <w:rPr>
                <w:rFonts w:ascii="Times New Roman" w:hAnsi="Times New Roman" w:eastAsia="ＭＳ 明朝" w:cs="Times New Roman" w:eastAsiaTheme="minorEastAsia"/>
                <w:color w:val="000000"/>
                <w:sz w:val="18"/>
                <w:szCs w:val="22"/>
              </w:rPr>
              <w:t>0.1429</w:t>
            </w:r>
          </w:p>
        </w:tc>
      </w:tr>
      <w:tr>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8ABE9D0">
            <w:pPr>
              <w:spacing w:after="0" w:line="240" w:lineRule="auto"/>
            </w:pPr>
            <w:r>
              <w:rPr>
                <w:rFonts w:ascii="Times New Roman" w:hAnsi="Times New Roman" w:eastAsia="ＭＳ 明朝" w:cs="Times New Roman" w:eastAsiaTheme="minorEastAsia"/>
                <w:color w:val="000000"/>
                <w:sz w:val="18"/>
                <w:szCs w:val="22"/>
              </w:rPr>
              <w:t>Macro F1</w:t>
            </w:r>
          </w:p>
        </w:tc>
        <w:tc>
          <w:tcPr>
            <w:tcW w:w="38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0CCC737">
            <w:pPr>
              <w:spacing w:after="0" w:line="240" w:lineRule="auto"/>
            </w:pPr>
            <w:r>
              <w:rPr>
                <w:rFonts w:ascii="Times New Roman" w:hAnsi="Times New Roman" w:eastAsia="ＭＳ 明朝" w:cs="Times New Roman" w:eastAsiaTheme="minorEastAsia"/>
                <w:color w:val="000000"/>
                <w:sz w:val="18"/>
                <w:szCs w:val="22"/>
              </w:rPr>
              <w:t>0.8915 ± 0.0093</w:t>
            </w:r>
          </w:p>
        </w:tc>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5A0622C">
            <w:pPr>
              <w:spacing w:after="0" w:line="240" w:lineRule="auto"/>
            </w:pPr>
            <w:r>
              <w:rPr>
                <w:rFonts w:ascii="Times New Roman" w:hAnsi="Times New Roman" w:eastAsia="ＭＳ 明朝" w:cs="Times New Roman" w:eastAsiaTheme="minorEastAsia"/>
                <w:color w:val="000000"/>
                <w:sz w:val="18"/>
                <w:szCs w:val="22"/>
              </w:rPr>
              <w:t>0.0717</w:t>
            </w:r>
          </w:p>
        </w:tc>
      </w:tr>
      <w:tr>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69D6E84">
            <w:pPr>
              <w:spacing w:after="0" w:line="240" w:lineRule="auto"/>
            </w:pPr>
            <w:r>
              <w:rPr>
                <w:rFonts w:ascii="Times New Roman" w:hAnsi="Times New Roman" w:eastAsia="ＭＳ 明朝" w:cs="Times New Roman" w:eastAsiaTheme="minorEastAsia"/>
                <w:color w:val="000000"/>
                <w:sz w:val="18"/>
                <w:szCs w:val="22"/>
              </w:rPr>
              <w:t>Weighted F1</w:t>
            </w:r>
          </w:p>
        </w:tc>
        <w:tc>
          <w:tcPr>
            <w:tcW w:w="38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2A22582">
            <w:pPr>
              <w:spacing w:after="0" w:line="240" w:lineRule="auto"/>
            </w:pPr>
            <w:r>
              <w:rPr>
                <w:rFonts w:ascii="Times New Roman" w:hAnsi="Times New Roman" w:eastAsia="ＭＳ 明朝" w:cs="Times New Roman" w:eastAsiaTheme="minorEastAsia"/>
                <w:color w:val="000000"/>
                <w:sz w:val="18"/>
                <w:szCs w:val="22"/>
              </w:rPr>
              <w:t>0.8786 ± 0.0133</w:t>
            </w:r>
          </w:p>
        </w:tc>
        <w:tc>
          <w:tcPr>
            <w:tcW w:w="24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A89026C">
            <w:pPr>
              <w:spacing w:after="0" w:line="240" w:lineRule="auto"/>
            </w:pPr>
            <w:r>
              <w:rPr>
                <w:rFonts w:ascii="Times New Roman" w:hAnsi="Times New Roman" w:eastAsia="ＭＳ 明朝" w:cs="Times New Roman" w:eastAsiaTheme="minorEastAsia"/>
                <w:color w:val="000000"/>
                <w:sz w:val="18"/>
                <w:szCs w:val="22"/>
              </w:rPr>
              <w:t>0.1680</w:t>
            </w:r>
          </w:p>
        </w:tc>
      </w:tr>
    </w:tbl>
    <w:p w14:paraId="13798366">
      <w:pPr>
        <w:widowControl/>
        <w:spacing w:before="60" w:after="120"/>
      </w:pPr>
      <w:r>
        <w:rPr>
          <w:rFonts w:ascii="Times New Roman" w:hAnsi="Times New Roman" w:eastAsia="ＭＳ 明朝" w:cs="Times New Roman" w:eastAsiaTheme="minorEastAsia"/>
          <w:i/>
          <w:iCs/>
          <w:color w:val="000000"/>
          <w:sz w:val="18"/>
          <w:szCs w:val="22"/>
        </w:rPr>
        <w:t>Note: All results are measured on generated bootstrap sessions and do not represent real-human accuracy.</w:t>
      </w:r>
    </w:p>
    <w:p w14:paraId="335D8648">
      <w:pPr>
        <w:keepNext/>
        <w:widowControl/>
        <w:jc w:val="center"/>
      </w:pPr>
      <w:r>
        <w:drawing>
          <wp:inline distT="0" distB="0" distL="0" distR="0">
            <wp:extent cx="4848225" cy="3876675"/>
            <wp:effectExtent l="0" t="0" r="0" b="0"/>
            <wp:docPr id="100002" name="Confusion matrix for the generated-bootstrap temporal phase-classifier evaluation" descr="Confusion matrix for the generated-bootstrap temporal phase-classifier evaluation, with generator-defined phas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Confusion matrix for the generated-bootstrap temporal phase-classifier evaluation, with generator-defined phase classes."/>
                    <pic:cNvPicPr/>
                  </pic:nvPicPr>
                  <pic:blipFill>
                    <a:blip r:embed="rId33"/>
                    <a:stretch>
                      <a:fillRect/>
                    </a:stretch>
                  </pic:blipFill>
                  <pic:spPr>
                    <a:xfrm>
                      <a:off x="0" y="0"/>
                      <a:ext cx="4848225" cy="3876675"/>
                    </a:xfrm>
                    <a:prstGeom prst="rect">
                      <a:avLst/>
                    </a:prstGeom>
                  </pic:spPr>
                </pic:pic>
              </a:graphicData>
            </a:graphic>
          </wp:inline>
        </w:drawing>
      </w:r>
    </w:p>
    <w:p w14:paraId="61C8107B">
      <w:pPr>
        <w:pStyle w:val="Caption"/>
        <w:keepNext w:val="0"/>
        <w:widowControl/>
        <w:spacing w:before="60" w:after="160"/>
        <w:jc w:val="center"/>
      </w:pPr>
      <w:r>
        <w:rPr>
          <w:rFonts w:ascii="Times New Roman" w:hAnsi="Times New Roman" w:eastAsia="ＭＳ 明朝" w:cs="Times New Roman" w:eastAsiaTheme="minorEastAsia"/>
          <w:i/>
          <w:iCs/>
          <w:color w:val="000000"/>
          <w:sz w:val="20"/>
          <w:szCs w:val="18"/>
        </w:rPr>
        <w:t>Figure 4.2 Temporal phase-classifier confusion matrix for the generated-bootstrap evaluation set. The matrix verifies generator-defined pipeline behaviour only.</w:t>
      </w:r>
    </w:p>
    <w:p w14:paraId="09C20FC9">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learned classifier improved accuracy by 54.35 percentage points over the technique-majority baseline. Seed results were 87.42%, 86.79% and 89.31% accuracy. Seed 43 was selected for deployment because it had the highest validation macro F1 (0.9246), even though seed 44 had the highest test score; this avoids selecting on the test set.</w:t>
      </w:r>
    </w:p>
    <w:p w14:paraId="72021E54">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For the selected model, ordinary-phase F1 ranged from 0.842 for execution to 0.899 for retraction. Preparation recall was 0.793, while execution recall was 0.960 with lower precision of 0.750, indicating that execution was sometimes over-predicted. Tracking-lost achieved a nominal F1 of 1.0 but had support of only two test frames and is not emphasized. Jab technique-level accuracy was 83.99%, lower than the front-kick result of 89.84%, reinforcing the need for real grouped jab data.</w:t>
      </w:r>
    </w:p>
    <w:p w14:paraId="034B5C09">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Synthetic boundary precision was 1.000, recall 0.952 and F1 0.974, with mean timing error of 0.954 frames. Coarse repetition recall was 0.8125 and repetition-count MAE was 0.375 per session; two multi-repetition jab sessions were under-counted. Ten-percent missing landmarks reduced macro F1 from 0.8867 to 0.8514. The ONNX test passed, with median model-only latency 5.74 ms and p95 30.49 ms. Each result remains generator-specific.</w:t>
      </w:r>
    </w:p>
    <w:p w14:paraId="51EA7480">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4.3 Automated Software Verification</w:t>
      </w:r>
    </w:p>
    <w:p w14:paraId="18E67A32">
      <w:pPr>
        <w:widowControl/>
        <w:spacing w:before="160" w:after="80"/>
        <w:jc w:val="left"/>
      </w:pPr>
      <w:r>
        <w:rPr>
          <w:rFonts w:ascii="Times New Roman" w:hAnsi="Times New Roman" w:eastAsia="ＭＳ 明朝" w:cs="Times New Roman" w:eastAsiaTheme="minorEastAsia"/>
          <w:b/>
          <w:bCs/>
          <w:color w:val="000000"/>
          <w:sz w:val="24"/>
          <w:szCs w:val="22"/>
        </w:rPr>
        <w:t>Table 4.3 Automated software verification</w:t>
      </w:r>
    </w:p>
    <w:tbl>
      <w:tblPr>
        <w:tblStyle w:val="TableGrid"/>
        <w:tblW w:w="8784"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758"/>
        <w:gridCol w:w="1758"/>
        <w:gridCol w:w="1758"/>
        <w:gridCol w:w="1758"/>
        <w:gridCol w:w="1758"/>
      </w:tblGrid>
      <w:tr>
        <w:trPr>
          <w:tblHeader/>
        </w:trPr>
        <w:tc>
          <w:tcPr>
            <w:tcW w:w="1440"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56EF04DF">
            <w:pPr>
              <w:spacing w:after="0"/>
              <w:jc w:val="center"/>
            </w:pPr>
            <w:r>
              <w:rPr>
                <w:rFonts w:ascii="Times New Roman" w:hAnsi="Times New Roman" w:eastAsia="ＭＳ 明朝" w:cs="Times New Roman" w:eastAsiaTheme="minorEastAsia"/>
                <w:b/>
                <w:bCs/>
                <w:color w:val="000000"/>
                <w:sz w:val="18"/>
                <w:szCs w:val="22"/>
              </w:rPr>
              <w:t>Area</w:t>
            </w:r>
          </w:p>
        </w:tc>
        <w:tc>
          <w:tcPr>
            <w:tcW w:w="2088"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4D4126DC">
            <w:pPr>
              <w:spacing w:after="0"/>
              <w:jc w:val="center"/>
            </w:pPr>
            <w:r>
              <w:rPr>
                <w:rFonts w:ascii="Times New Roman" w:hAnsi="Times New Roman" w:eastAsia="ＭＳ 明朝" w:cs="Times New Roman" w:eastAsiaTheme="minorEastAsia"/>
                <w:b/>
                <w:bCs/>
                <w:color w:val="000000"/>
                <w:sz w:val="18"/>
                <w:szCs w:val="22"/>
              </w:rPr>
              <w:t>Scope</w:t>
            </w:r>
          </w:p>
        </w:tc>
        <w:tc>
          <w:tcPr>
            <w:tcW w:w="1944"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7FC670AA">
            <w:pPr>
              <w:spacing w:after="0"/>
              <w:jc w:val="center"/>
            </w:pPr>
            <w:r>
              <w:rPr>
                <w:rFonts w:ascii="Times New Roman" w:hAnsi="Times New Roman" w:eastAsia="ＭＳ 明朝" w:cs="Times New Roman" w:eastAsiaTheme="minorEastAsia"/>
                <w:b/>
                <w:bCs/>
                <w:color w:val="000000"/>
                <w:sz w:val="18"/>
                <w:szCs w:val="22"/>
              </w:rPr>
              <w:t>Expected</w:t>
            </w:r>
          </w:p>
        </w:tc>
        <w:tc>
          <w:tcPr>
            <w:tcW w:w="2232"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2F50BF05">
            <w:pPr>
              <w:spacing w:after="0"/>
              <w:jc w:val="center"/>
            </w:pPr>
            <w:r>
              <w:rPr>
                <w:rFonts w:ascii="Times New Roman" w:hAnsi="Times New Roman" w:eastAsia="ＭＳ 明朝" w:cs="Times New Roman" w:eastAsiaTheme="minorEastAsia"/>
                <w:b/>
                <w:bCs/>
                <w:color w:val="000000"/>
                <w:sz w:val="18"/>
                <w:szCs w:val="22"/>
              </w:rPr>
              <w:t>Observed</w:t>
            </w:r>
          </w:p>
        </w:tc>
        <w:tc>
          <w:tcPr>
            <w:tcW w:w="1080"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0D331143">
            <w:pPr>
              <w:spacing w:after="0"/>
              <w:jc w:val="center"/>
            </w:pPr>
            <w:r>
              <w:rPr>
                <w:rFonts w:ascii="Times New Roman" w:hAnsi="Times New Roman" w:eastAsia="ＭＳ 明朝" w:cs="Times New Roman" w:eastAsiaTheme="minorEastAsia"/>
                <w:b/>
                <w:bCs/>
                <w:color w:val="000000"/>
                <w:sz w:val="18"/>
                <w:szCs w:val="22"/>
              </w:rPr>
              <w:t>Status</w:t>
            </w:r>
          </w:p>
        </w:tc>
      </w:tr>
      <w:tr>
        <w:tc>
          <w:tcPr>
            <w:tcW w:w="1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2D84A3E">
            <w:pPr>
              <w:spacing w:after="0" w:line="240" w:lineRule="auto"/>
            </w:pPr>
            <w:r>
              <w:rPr>
                <w:rFonts w:ascii="Times New Roman" w:hAnsi="Times New Roman" w:eastAsia="ＭＳ 明朝" w:cs="Times New Roman" w:eastAsiaTheme="minorEastAsia"/>
                <w:color w:val="000000"/>
                <w:sz w:val="18"/>
                <w:szCs w:val="22"/>
              </w:rPr>
              <w:t>Frontend</w:t>
            </w:r>
          </w:p>
        </w:tc>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F37DF1C">
            <w:pPr>
              <w:spacing w:after="0" w:line="240" w:lineRule="auto"/>
            </w:pPr>
            <w:r>
              <w:rPr>
                <w:rFonts w:ascii="Times New Roman" w:hAnsi="Times New Roman" w:eastAsia="ＭＳ 明朝" w:cs="Times New Roman" w:eastAsiaTheme="minorEastAsia"/>
                <w:color w:val="000000"/>
                <w:sz w:val="18"/>
                <w:szCs w:val="22"/>
              </w:rPr>
              <w:t>23 test files</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A129AE3">
            <w:pPr>
              <w:spacing w:after="0" w:line="240" w:lineRule="auto"/>
            </w:pPr>
            <w:r>
              <w:rPr>
                <w:rFonts w:ascii="Times New Roman" w:hAnsi="Times New Roman" w:eastAsia="ＭＳ 明朝" w:cs="Times New Roman" w:eastAsiaTheme="minorEastAsia"/>
                <w:color w:val="000000"/>
                <w:sz w:val="18"/>
                <w:szCs w:val="22"/>
              </w:rPr>
              <w:t>129</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A3CDFE0">
            <w:pPr>
              <w:spacing w:after="0" w:line="240" w:lineRule="auto"/>
            </w:pPr>
            <w:r>
              <w:rPr>
                <w:rFonts w:ascii="Times New Roman" w:hAnsi="Times New Roman" w:eastAsia="ＭＳ 明朝" w:cs="Times New Roman" w:eastAsiaTheme="minorEastAsia"/>
                <w:color w:val="000000"/>
                <w:sz w:val="18"/>
                <w:szCs w:val="22"/>
              </w:rPr>
              <w:t>129</w:t>
            </w:r>
          </w:p>
        </w:tc>
        <w:tc>
          <w:tcPr>
            <w:tcW w:w="10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3C52146">
            <w:pPr>
              <w:spacing w:after="0" w:line="240" w:lineRule="auto"/>
            </w:pPr>
            <w:r>
              <w:rPr>
                <w:rFonts w:ascii="Times New Roman" w:hAnsi="Times New Roman" w:eastAsia="ＭＳ 明朝" w:cs="Times New Roman" w:eastAsiaTheme="minorEastAsia"/>
                <w:color w:val="000000"/>
                <w:sz w:val="18"/>
                <w:szCs w:val="22"/>
              </w:rPr>
              <w:t>Passed</w:t>
            </w:r>
          </w:p>
        </w:tc>
      </w:tr>
      <w:tr>
        <w:tc>
          <w:tcPr>
            <w:tcW w:w="1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9FDC87E">
            <w:pPr>
              <w:spacing w:after="0" w:line="240" w:lineRule="auto"/>
            </w:pPr>
            <w:r>
              <w:rPr>
                <w:rFonts w:ascii="Times New Roman" w:hAnsi="Times New Roman" w:eastAsia="ＭＳ 明朝" w:cs="Times New Roman" w:eastAsiaTheme="minorEastAsia"/>
                <w:color w:val="000000"/>
                <w:sz w:val="18"/>
                <w:szCs w:val="22"/>
              </w:rPr>
              <w:t>Backend</w:t>
            </w:r>
          </w:p>
        </w:tc>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4F1CAE2">
            <w:pPr>
              <w:spacing w:after="0" w:line="240" w:lineRule="auto"/>
            </w:pPr>
            <w:r>
              <w:rPr>
                <w:rFonts w:ascii="Times New Roman" w:hAnsi="Times New Roman" w:eastAsia="ＭＳ 明朝" w:cs="Times New Roman" w:eastAsiaTheme="minorEastAsia"/>
                <w:color w:val="000000"/>
                <w:sz w:val="18"/>
                <w:szCs w:val="22"/>
              </w:rPr>
              <w:t>Current suite</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41F24B5">
            <w:pPr>
              <w:spacing w:after="0" w:line="240" w:lineRule="auto"/>
            </w:pPr>
            <w:r>
              <w:rPr>
                <w:rFonts w:ascii="Times New Roman" w:hAnsi="Times New Roman" w:eastAsia="ＭＳ 明朝" w:cs="Times New Roman" w:eastAsiaTheme="minorEastAsia"/>
                <w:color w:val="000000"/>
                <w:sz w:val="18"/>
                <w:szCs w:val="22"/>
              </w:rPr>
              <w:t>24</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D05E4FB">
            <w:pPr>
              <w:spacing w:after="0" w:line="240" w:lineRule="auto"/>
            </w:pPr>
            <w:r>
              <w:rPr>
                <w:rFonts w:ascii="Times New Roman" w:hAnsi="Times New Roman" w:eastAsia="ＭＳ 明朝" w:cs="Times New Roman" w:eastAsiaTheme="minorEastAsia"/>
                <w:color w:val="000000"/>
                <w:sz w:val="18"/>
                <w:szCs w:val="22"/>
              </w:rPr>
              <w:t>24</w:t>
            </w:r>
          </w:p>
        </w:tc>
        <w:tc>
          <w:tcPr>
            <w:tcW w:w="10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F0C14AF">
            <w:pPr>
              <w:spacing w:after="0" w:line="240" w:lineRule="auto"/>
            </w:pPr>
            <w:r>
              <w:rPr>
                <w:rFonts w:ascii="Times New Roman" w:hAnsi="Times New Roman" w:eastAsia="ＭＳ 明朝" w:cs="Times New Roman" w:eastAsiaTheme="minorEastAsia"/>
                <w:color w:val="000000"/>
                <w:sz w:val="18"/>
                <w:szCs w:val="22"/>
              </w:rPr>
              <w:t>Passed</w:t>
            </w:r>
          </w:p>
        </w:tc>
      </w:tr>
      <w:tr>
        <w:tc>
          <w:tcPr>
            <w:tcW w:w="1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E8A7604">
            <w:pPr>
              <w:spacing w:after="0" w:line="240" w:lineRule="auto"/>
            </w:pPr>
            <w:r>
              <w:rPr>
                <w:rFonts w:ascii="Times New Roman" w:hAnsi="Times New Roman" w:eastAsia="ＭＳ 明朝" w:cs="Times New Roman" w:eastAsiaTheme="minorEastAsia"/>
                <w:color w:val="000000"/>
                <w:sz w:val="18"/>
                <w:szCs w:val="22"/>
              </w:rPr>
              <w:t>ACP ONNX</w:t>
            </w:r>
          </w:p>
        </w:tc>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46121B9">
            <w:pPr>
              <w:spacing w:after="0" w:line="240" w:lineRule="auto"/>
            </w:pPr>
            <w:r>
              <w:rPr>
                <w:rFonts w:ascii="Times New Roman" w:hAnsi="Times New Roman" w:eastAsia="ＭＳ 明朝" w:cs="Times New Roman" w:eastAsiaTheme="minorEastAsia"/>
                <w:color w:val="000000"/>
                <w:sz w:val="18"/>
                <w:szCs w:val="22"/>
              </w:rPr>
              <w:t>Numerical parity</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F8D371A">
            <w:pPr>
              <w:spacing w:after="0" w:line="240" w:lineRule="auto"/>
            </w:pPr>
            <w:r>
              <w:rPr>
                <w:rFonts w:ascii="Times New Roman" w:hAnsi="Times New Roman" w:eastAsia="ＭＳ 明朝" w:cs="Times New Roman" w:eastAsiaTheme="minorEastAsia"/>
                <w:color w:val="000000"/>
                <w:sz w:val="18"/>
                <w:szCs w:val="22"/>
              </w:rPr>
              <w:t>Tolerance 1 × 10^-4</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CD09BC2">
            <w:pPr>
              <w:spacing w:after="0" w:line="240" w:lineRule="auto"/>
            </w:pPr>
            <w:r>
              <w:rPr>
                <w:rFonts w:ascii="Times New Roman" w:hAnsi="Times New Roman" w:eastAsia="ＭＳ 明朝" w:cs="Times New Roman" w:eastAsiaTheme="minorEastAsia"/>
                <w:color w:val="000000"/>
                <w:sz w:val="18"/>
                <w:szCs w:val="22"/>
              </w:rPr>
              <w:t>Max diff 1.19 × 10^-7</w:t>
            </w:r>
          </w:p>
        </w:tc>
        <w:tc>
          <w:tcPr>
            <w:tcW w:w="10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FDDAA8B">
            <w:pPr>
              <w:spacing w:after="0" w:line="240" w:lineRule="auto"/>
            </w:pPr>
            <w:r>
              <w:rPr>
                <w:rFonts w:ascii="Times New Roman" w:hAnsi="Times New Roman" w:eastAsia="ＭＳ 明朝" w:cs="Times New Roman" w:eastAsiaTheme="minorEastAsia"/>
                <w:color w:val="000000"/>
                <w:sz w:val="18"/>
                <w:szCs w:val="22"/>
              </w:rPr>
              <w:t>Passed</w:t>
            </w:r>
          </w:p>
        </w:tc>
      </w:tr>
      <w:tr>
        <w:tc>
          <w:tcPr>
            <w:tcW w:w="1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D78A04A">
            <w:pPr>
              <w:spacing w:after="0" w:line="240" w:lineRule="auto"/>
            </w:pPr>
            <w:r>
              <w:rPr>
                <w:rFonts w:ascii="Times New Roman" w:hAnsi="Times New Roman" w:eastAsia="ＭＳ 明朝" w:cs="Times New Roman" w:eastAsiaTheme="minorEastAsia"/>
                <w:color w:val="000000"/>
                <w:sz w:val="18"/>
                <w:szCs w:val="22"/>
              </w:rPr>
              <w:t>Phase ONNX</w:t>
            </w:r>
          </w:p>
        </w:tc>
        <w:tc>
          <w:tcPr>
            <w:tcW w:w="20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32CC63A">
            <w:pPr>
              <w:spacing w:after="0" w:line="240" w:lineRule="auto"/>
            </w:pPr>
            <w:r>
              <w:rPr>
                <w:rFonts w:ascii="Times New Roman" w:hAnsi="Times New Roman" w:eastAsia="ＭＳ 明朝" w:cs="Times New Roman" w:eastAsiaTheme="minorEastAsia"/>
                <w:color w:val="000000"/>
                <w:sz w:val="18"/>
                <w:szCs w:val="22"/>
              </w:rPr>
              <w:t>Deployment check</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C5DA9D2">
            <w:pPr>
              <w:spacing w:after="0" w:line="240" w:lineRule="auto"/>
            </w:pPr>
            <w:r>
              <w:rPr>
                <w:rFonts w:ascii="Times New Roman" w:hAnsi="Times New Roman" w:eastAsia="ＭＳ 明朝" w:cs="Times New Roman" w:eastAsiaTheme="minorEastAsia"/>
                <w:color w:val="000000"/>
                <w:sz w:val="18"/>
                <w:szCs w:val="22"/>
              </w:rPr>
              <w:t>Parity and inference</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FA8F972">
            <w:pPr>
              <w:spacing w:after="0" w:line="240" w:lineRule="auto"/>
            </w:pPr>
            <w:r>
              <w:rPr>
                <w:rFonts w:ascii="Times New Roman" w:hAnsi="Times New Roman" w:eastAsia="ＭＳ 明朝" w:cs="Times New Roman" w:eastAsiaTheme="minorEastAsia"/>
                <w:color w:val="000000"/>
                <w:sz w:val="18"/>
                <w:szCs w:val="22"/>
              </w:rPr>
              <w:t>Passed</w:t>
            </w:r>
          </w:p>
        </w:tc>
        <w:tc>
          <w:tcPr>
            <w:tcW w:w="10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67E9C34">
            <w:pPr>
              <w:spacing w:after="0" w:line="240" w:lineRule="auto"/>
            </w:pPr>
            <w:r>
              <w:rPr>
                <w:rFonts w:ascii="Times New Roman" w:hAnsi="Times New Roman" w:eastAsia="ＭＳ 明朝" w:cs="Times New Roman" w:eastAsiaTheme="minorEastAsia"/>
                <w:color w:val="000000"/>
                <w:sz w:val="18"/>
                <w:szCs w:val="22"/>
              </w:rPr>
              <w:t>Passed</w:t>
            </w:r>
          </w:p>
        </w:tc>
      </w:tr>
    </w:tbl>
    <w:p w14:paraId="50B49C4D">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tests verify implementation paths, data contracts and deterministic behaviour exercised by the suites. They provide strong evidence that the checked software behaves as specified under test conditions. They do not measure landmark correctness, coaching effectiveness or user outcomes. This distinction is important because a technically correct rule can still encode an unvalidated threshold, and a passing component can still fail when integrated with live camera timing.</w:t>
      </w:r>
    </w:p>
    <w:p w14:paraId="7B4CC0FD">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4.4 P001 Expert Feasibility/Self-Evaluation Case</w:t>
      </w:r>
    </w:p>
    <w:p w14:paraId="15F89225">
      <w:pPr>
        <w:widowControl/>
        <w:spacing w:before="160" w:after="80"/>
        <w:jc w:val="left"/>
      </w:pPr>
      <w:r>
        <w:rPr>
          <w:rFonts w:ascii="Times New Roman" w:hAnsi="Times New Roman" w:eastAsia="ＭＳ 明朝" w:cs="Times New Roman" w:eastAsiaTheme="minorEastAsia"/>
          <w:b/>
          <w:bCs/>
          <w:color w:val="000000"/>
          <w:sz w:val="24"/>
          <w:szCs w:val="22"/>
        </w:rPr>
        <w:t>Table 4.4 P001 practice-42 evidence summary</w:t>
      </w:r>
    </w:p>
    <w:tbl>
      <w:tblPr>
        <w:tblStyle w:val="TableGrid"/>
        <w:tblW w:w="8784"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394"/>
        <w:gridCol w:w="4394"/>
      </w:tblGrid>
      <w:tr>
        <w:trPr>
          <w:tblHeader/>
        </w:trPr>
        <w:tc>
          <w:tcPr>
            <w:tcW w:w="2736"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5C45A67C">
            <w:pPr>
              <w:spacing w:after="0"/>
              <w:jc w:val="center"/>
            </w:pPr>
            <w:r>
              <w:rPr>
                <w:rFonts w:ascii="Times New Roman" w:hAnsi="Times New Roman" w:eastAsia="ＭＳ 明朝" w:cs="Times New Roman" w:eastAsiaTheme="minorEastAsia"/>
                <w:b/>
                <w:bCs/>
                <w:color w:val="000000"/>
                <w:sz w:val="18"/>
                <w:szCs w:val="22"/>
              </w:rPr>
              <w:t>Item</w:t>
            </w:r>
          </w:p>
        </w:tc>
        <w:tc>
          <w:tcPr>
            <w:tcW w:w="6048"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7FDAA68A">
            <w:pPr>
              <w:spacing w:after="0"/>
              <w:jc w:val="center"/>
            </w:pPr>
            <w:r>
              <w:rPr>
                <w:rFonts w:ascii="Times New Roman" w:hAnsi="Times New Roman" w:eastAsia="ＭＳ 明朝" w:cs="Times New Roman" w:eastAsiaTheme="minorEastAsia"/>
                <w:b/>
                <w:bCs/>
                <w:color w:val="000000"/>
                <w:sz w:val="18"/>
                <w:szCs w:val="22"/>
              </w:rPr>
              <w:t>Verified value</w:t>
            </w:r>
          </w:p>
        </w:tc>
      </w:tr>
      <w:tr>
        <w:tc>
          <w:tcPr>
            <w:tcW w:w="27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33A4ABE">
            <w:pPr>
              <w:spacing w:after="0" w:line="240" w:lineRule="auto"/>
            </w:pPr>
            <w:r>
              <w:rPr>
                <w:rFonts w:ascii="Times New Roman" w:hAnsi="Times New Roman" w:eastAsia="ＭＳ 明朝" w:cs="Times New Roman" w:eastAsiaTheme="minorEastAsia"/>
                <w:color w:val="000000"/>
                <w:sz w:val="18"/>
                <w:szCs w:val="22"/>
              </w:rPr>
              <w:t>Participant</w:t>
            </w:r>
          </w:p>
        </w:tc>
        <w:tc>
          <w:tcPr>
            <w:tcW w:w="60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0EBAFB6">
            <w:pPr>
              <w:spacing w:after="0" w:line="240" w:lineRule="auto"/>
            </w:pPr>
            <w:r>
              <w:rPr>
                <w:rFonts w:ascii="Times New Roman" w:hAnsi="Times New Roman" w:eastAsia="ＭＳ 明朝" w:cs="Times New Roman" w:eastAsiaTheme="minorEastAsia"/>
                <w:color w:val="000000"/>
                <w:sz w:val="18"/>
                <w:szCs w:val="22"/>
              </w:rPr>
              <w:t>P001: researcher, developer and martial-arts expert</w:t>
            </w:r>
          </w:p>
        </w:tc>
      </w:tr>
      <w:tr>
        <w:tc>
          <w:tcPr>
            <w:tcW w:w="27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EA6BBF9">
            <w:pPr>
              <w:spacing w:after="0" w:line="240" w:lineRule="auto"/>
            </w:pPr>
            <w:r>
              <w:rPr>
                <w:rFonts w:ascii="Times New Roman" w:hAnsi="Times New Roman" w:eastAsia="ＭＳ 明朝" w:cs="Times New Roman" w:eastAsiaTheme="minorEastAsia"/>
                <w:color w:val="000000"/>
                <w:sz w:val="18"/>
                <w:szCs w:val="22"/>
              </w:rPr>
              <w:t>Technique / device</w:t>
            </w:r>
          </w:p>
        </w:tc>
        <w:tc>
          <w:tcPr>
            <w:tcW w:w="60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67A7A4C">
            <w:pPr>
              <w:spacing w:after="0" w:line="240" w:lineRule="auto"/>
            </w:pPr>
            <w:r>
              <w:rPr>
                <w:rFonts w:ascii="Times New Roman" w:hAnsi="Times New Roman" w:eastAsia="ＭＳ 明朝" w:cs="Times New Roman" w:eastAsiaTheme="minorEastAsia"/>
                <w:color w:val="000000"/>
                <w:sz w:val="18"/>
                <w:szCs w:val="22"/>
              </w:rPr>
              <w:t>Jab / laptop camera</w:t>
            </w:r>
          </w:p>
        </w:tc>
      </w:tr>
      <w:tr>
        <w:tc>
          <w:tcPr>
            <w:tcW w:w="27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8D5017D">
            <w:pPr>
              <w:spacing w:after="0" w:line="240" w:lineRule="auto"/>
            </w:pPr>
            <w:r>
              <w:rPr>
                <w:rFonts w:ascii="Times New Roman" w:hAnsi="Times New Roman" w:eastAsia="ＭＳ 明朝" w:cs="Times New Roman" w:eastAsiaTheme="minorEastAsia"/>
                <w:color w:val="000000"/>
                <w:sz w:val="18"/>
                <w:szCs w:val="22"/>
              </w:rPr>
              <w:t>Confirmed session</w:t>
            </w:r>
          </w:p>
        </w:tc>
        <w:tc>
          <w:tcPr>
            <w:tcW w:w="60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6594057">
            <w:pPr>
              <w:spacing w:after="0" w:line="240" w:lineRule="auto"/>
            </w:pPr>
            <w:r>
              <w:rPr>
                <w:rFonts w:ascii="Times New Roman" w:hAnsi="Times New Roman" w:eastAsia="ＭＳ 明朝" w:cs="Times New Roman" w:eastAsiaTheme="minorEastAsia"/>
                <w:color w:val="000000"/>
                <w:sz w:val="18"/>
                <w:szCs w:val="22"/>
              </w:rPr>
              <w:t>practice-42, 1 August 2026</w:t>
            </w:r>
          </w:p>
        </w:tc>
      </w:tr>
      <w:tr>
        <w:tc>
          <w:tcPr>
            <w:tcW w:w="27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6EA47D2">
            <w:pPr>
              <w:spacing w:after="0" w:line="240" w:lineRule="auto"/>
            </w:pPr>
            <w:r>
              <w:rPr>
                <w:rFonts w:ascii="Times New Roman" w:hAnsi="Times New Roman" w:eastAsia="ＭＳ 明朝" w:cs="Times New Roman" w:eastAsiaTheme="minorEastAsia"/>
                <w:color w:val="000000"/>
                <w:sz w:val="18"/>
                <w:szCs w:val="22"/>
              </w:rPr>
              <w:t>Capture</w:t>
            </w:r>
          </w:p>
        </w:tc>
        <w:tc>
          <w:tcPr>
            <w:tcW w:w="60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A008C83">
            <w:pPr>
              <w:spacing w:after="0" w:line="240" w:lineRule="auto"/>
            </w:pPr>
            <w:r>
              <w:rPr>
                <w:rFonts w:ascii="Times New Roman" w:hAnsi="Times New Roman" w:eastAsia="ＭＳ 明朝" w:cs="Times New Roman" w:eastAsiaTheme="minorEastAsia"/>
                <w:color w:val="000000"/>
                <w:sz w:val="18"/>
                <w:szCs w:val="22"/>
              </w:rPr>
              <w:t>250 frames; 8.3 seconds</w:t>
            </w:r>
          </w:p>
        </w:tc>
      </w:tr>
      <w:tr>
        <w:tc>
          <w:tcPr>
            <w:tcW w:w="27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D425DF3">
            <w:pPr>
              <w:spacing w:after="0" w:line="240" w:lineRule="auto"/>
            </w:pPr>
            <w:r>
              <w:rPr>
                <w:rFonts w:ascii="Times New Roman" w:hAnsi="Times New Roman" w:eastAsia="ＭＳ 明朝" w:cs="Times New Roman" w:eastAsiaTheme="minorEastAsia"/>
                <w:color w:val="000000"/>
                <w:sz w:val="18"/>
                <w:szCs w:val="22"/>
              </w:rPr>
              <w:t>Canonical repetitions</w:t>
            </w:r>
          </w:p>
        </w:tc>
        <w:tc>
          <w:tcPr>
            <w:tcW w:w="60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5838AAD">
            <w:pPr>
              <w:spacing w:after="0" w:line="240" w:lineRule="auto"/>
            </w:pPr>
            <w:r>
              <w:rPr>
                <w:rFonts w:ascii="Times New Roman" w:hAnsi="Times New Roman" w:eastAsia="ＭＳ 明朝" w:cs="Times New Roman" w:eastAsiaTheme="minorEastAsia"/>
                <w:color w:val="000000"/>
                <w:sz w:val="18"/>
                <w:szCs w:val="22"/>
              </w:rPr>
              <w:t>3 completed</w:t>
            </w:r>
          </w:p>
        </w:tc>
      </w:tr>
      <w:tr>
        <w:tc>
          <w:tcPr>
            <w:tcW w:w="27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8E73BDB">
            <w:pPr>
              <w:spacing w:after="0" w:line="240" w:lineRule="auto"/>
            </w:pPr>
            <w:r>
              <w:rPr>
                <w:rFonts w:ascii="Times New Roman" w:hAnsi="Times New Roman" w:eastAsia="ＭＳ 明朝" w:cs="Times New Roman" w:eastAsiaTheme="minorEastAsia"/>
                <w:color w:val="000000"/>
                <w:sz w:val="18"/>
                <w:szCs w:val="22"/>
              </w:rPr>
              <w:t>Tracking quality</w:t>
            </w:r>
          </w:p>
        </w:tc>
        <w:tc>
          <w:tcPr>
            <w:tcW w:w="60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0F4DF04">
            <w:pPr>
              <w:spacing w:after="0" w:line="240" w:lineRule="auto"/>
            </w:pPr>
            <w:r>
              <w:rPr>
                <w:rFonts w:ascii="Times New Roman" w:hAnsi="Times New Roman" w:eastAsia="ＭＳ 明朝" w:cs="Times New Roman" w:eastAsiaTheme="minorEastAsia"/>
                <w:color w:val="000000"/>
                <w:sz w:val="18"/>
                <w:szCs w:val="22"/>
              </w:rPr>
              <w:t>96.0% recorded application measure</w:t>
            </w:r>
          </w:p>
        </w:tc>
      </w:tr>
      <w:tr>
        <w:tc>
          <w:tcPr>
            <w:tcW w:w="27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113990D">
            <w:pPr>
              <w:spacing w:after="0" w:line="240" w:lineRule="auto"/>
            </w:pPr>
            <w:r>
              <w:rPr>
                <w:rFonts w:ascii="Times New Roman" w:hAnsi="Times New Roman" w:eastAsia="ＭＳ 明朝" w:cs="Times New Roman" w:eastAsiaTheme="minorEastAsia"/>
                <w:color w:val="000000"/>
                <w:sz w:val="18"/>
                <w:szCs w:val="22"/>
              </w:rPr>
              <w:t>Post-session clusters</w:t>
            </w:r>
          </w:p>
        </w:tc>
        <w:tc>
          <w:tcPr>
            <w:tcW w:w="60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3482672">
            <w:pPr>
              <w:spacing w:after="0" w:line="240" w:lineRule="auto"/>
            </w:pPr>
            <w:r>
              <w:rPr>
                <w:rFonts w:ascii="Times New Roman" w:hAnsi="Times New Roman" w:eastAsia="ＭＳ 明朝" w:cs="Times New Roman" w:eastAsiaTheme="minorEastAsia"/>
                <w:color w:val="000000"/>
                <w:sz w:val="18"/>
                <w:szCs w:val="22"/>
              </w:rPr>
              <w:t>3 confirmed by P001 as good/correct</w:t>
            </w:r>
          </w:p>
        </w:tc>
      </w:tr>
      <w:tr>
        <w:tc>
          <w:tcPr>
            <w:tcW w:w="27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6B5B584">
            <w:pPr>
              <w:spacing w:after="0" w:line="240" w:lineRule="auto"/>
            </w:pPr>
            <w:r>
              <w:rPr>
                <w:rFonts w:ascii="Times New Roman" w:hAnsi="Times New Roman" w:eastAsia="ＭＳ 明朝" w:cs="Times New Roman" w:eastAsiaTheme="minorEastAsia"/>
                <w:color w:val="000000"/>
                <w:sz w:val="18"/>
                <w:szCs w:val="22"/>
              </w:rPr>
              <w:t>Decoder changes</w:t>
            </w:r>
          </w:p>
        </w:tc>
        <w:tc>
          <w:tcPr>
            <w:tcW w:w="60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F7DF767">
            <w:pPr>
              <w:spacing w:after="0" w:line="240" w:lineRule="auto"/>
            </w:pPr>
            <w:r>
              <w:rPr>
                <w:rFonts w:ascii="Times New Roman" w:hAnsi="Times New Roman" w:eastAsia="ＭＳ 明朝" w:cs="Times New Roman" w:eastAsiaTheme="minorEastAsia"/>
                <w:color w:val="000000"/>
                <w:sz w:val="18"/>
                <w:szCs w:val="22"/>
              </w:rPr>
              <w:t>22 frames changed from live labels</w:t>
            </w:r>
          </w:p>
        </w:tc>
      </w:tr>
    </w:tbl>
    <w:p w14:paraId="64882805">
      <w:pPr>
        <w:widowControl/>
        <w:spacing w:before="60" w:after="120"/>
      </w:pPr>
      <w:r>
        <w:rPr>
          <w:rFonts w:ascii="Times New Roman" w:hAnsi="Times New Roman" w:eastAsia="ＭＳ 明朝" w:cs="Times New Roman" w:eastAsiaTheme="minorEastAsia"/>
          <w:i/>
          <w:iCs/>
          <w:color w:val="000000"/>
          <w:sz w:val="18"/>
          <w:szCs w:val="22"/>
        </w:rPr>
        <w:t>Note: This is expert self-validation.</w:t>
      </w:r>
    </w:p>
    <w:p w14:paraId="5AB843EA">
      <w:pPr>
        <w:keepNext/>
        <w:widowControl/>
        <w:jc w:val="center"/>
      </w:pPr>
      <w:r>
        <w:drawing>
          <wp:inline distT="0" distB="0" distL="0" distR="0">
            <wp:extent cx="5391150" cy="3552825"/>
            <wp:effectExtent l="0" t="0" r="0" b="0"/>
            <wp:docPr id="100003" name="Practice-42 post-session timeline showing three completed jab repetition clusters and selected movement phases." descr="Practice-42 post-session timeline showing three completed jab repetition clusters and selected movement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Practice-42 post-session timeline showing three completed jab repetition clusters and selected movement phases."/>
                    <pic:cNvPicPr/>
                  </pic:nvPicPr>
                  <pic:blipFill>
                    <a:blip r:embed="rId34"/>
                    <a:stretch>
                      <a:fillRect/>
                    </a:stretch>
                  </pic:blipFill>
                  <pic:spPr>
                    <a:xfrm>
                      <a:off x="0" y="0"/>
                      <a:ext cx="5391150" cy="3552825"/>
                    </a:xfrm>
                    <a:prstGeom prst="rect">
                      <a:avLst/>
                    </a:prstGeom>
                  </pic:spPr>
                </pic:pic>
              </a:graphicData>
            </a:graphic>
          </wp:inline>
        </w:drawing>
      </w:r>
    </w:p>
    <w:p w14:paraId="2BA3C482">
      <w:pPr>
        <w:pStyle w:val="Caption"/>
        <w:keepNext w:val="0"/>
        <w:widowControl/>
        <w:spacing w:before="60" w:after="160"/>
        <w:jc w:val="center"/>
      </w:pPr>
      <w:r>
        <w:rPr>
          <w:rFonts w:ascii="Times New Roman" w:hAnsi="Times New Roman" w:eastAsia="ＭＳ 明朝" w:cs="Times New Roman" w:eastAsiaTheme="minorEastAsia"/>
          <w:i/>
          <w:iCs/>
          <w:color w:val="000000"/>
          <w:sz w:val="20"/>
          <w:szCs w:val="18"/>
        </w:rPr>
        <w:t>Figure 4.3 Post-session three-cluster timeline for the confirmed P001 practice-42 jab case. P001 is the researcher/developer/martial-arts expert; confirmation is self-validation.</w:t>
      </w:r>
    </w:p>
    <w:p w14:paraId="2FE37540">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wider screenshot set also documents the implemented interaction path across mode selection, dashboard review, Easy and Hard coaching, voice-mediated transitions, practice-set execution, post-session analysis and administrator diagnostics. Representative anonymized frames are preserved in Appendix A4. They establish that these interface states and outputs were displayed during the P001 feasibility case; they do not independently validate the numerical scores, model accuracy, coaching effectiveness or generalizability.</w:t>
      </w:r>
    </w:p>
    <w:p w14:paraId="3424735F">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case demonstrates an end-to-end path from camera tracking through live interaction, session recording and post-session analysis. P001 confirmed the three displayed movement clusters as correct/good representations of the demonstrated repetitions. The analysis panel exposed the movement timeline, session accuracy trace, selected moments, phase labels, skeleton view and hand/face diagnostics. Train Easy and Train Hard screenshots additionally showed that the interface waited for responses, accepted microphone commands, prioritized corrections, and started a new session when requested.</w:t>
      </w:r>
    </w:p>
    <w:p w14:paraId="1E86368B">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These observations support functional feasibility and qualitative alignment with the researcher's expert interpretation. They do not provide independent annotation, a usability scale or a controlled comparison. The 96% tracking field is an application diagnostic and not ground-truth landmark accuracy. The historical export contained many development and outlier sessions, which were excluded from the headline case rather than averaged into a misleading score.</w:t>
      </w:r>
    </w:p>
    <w:p w14:paraId="246CB973">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4.5 Retained Integration Failure</w:t>
      </w:r>
    </w:p>
    <w:p w14:paraId="5D21C9E2">
      <w:pPr>
        <w:widowControl/>
        <w:spacing w:before="160" w:after="80"/>
        <w:jc w:val="left"/>
      </w:pPr>
      <w:r>
        <w:rPr>
          <w:rFonts w:ascii="Times New Roman" w:hAnsi="Times New Roman" w:eastAsia="ＭＳ 明朝" w:cs="Times New Roman" w:eastAsiaTheme="minorEastAsia"/>
          <w:b/>
          <w:bCs/>
          <w:color w:val="000000"/>
          <w:sz w:val="24"/>
          <w:szCs w:val="22"/>
        </w:rPr>
        <w:t>Table 4.5 Retained practice-42 data-layer inconsistency</w:t>
      </w:r>
    </w:p>
    <w:tbl>
      <w:tblPr>
        <w:tblStyle w:val="TableGrid"/>
        <w:tblW w:w="8784"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929"/>
        <w:gridCol w:w="2929"/>
        <w:gridCol w:w="2929"/>
      </w:tblGrid>
      <w:tr>
        <w:trPr>
          <w:tblHeader/>
        </w:trPr>
        <w:tc>
          <w:tcPr>
            <w:tcW w:w="2592"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6AB4459B">
            <w:pPr>
              <w:spacing w:after="0"/>
              <w:jc w:val="center"/>
            </w:pPr>
            <w:r>
              <w:rPr>
                <w:rFonts w:ascii="Times New Roman" w:hAnsi="Times New Roman" w:eastAsia="ＭＳ 明朝" w:cs="Times New Roman" w:eastAsiaTheme="minorEastAsia"/>
                <w:b/>
                <w:bCs/>
                <w:color w:val="000000"/>
                <w:sz w:val="18"/>
                <w:szCs w:val="22"/>
              </w:rPr>
              <w:t>Representation</w:t>
            </w:r>
          </w:p>
        </w:tc>
        <w:tc>
          <w:tcPr>
            <w:tcW w:w="2952"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58210B84">
            <w:pPr>
              <w:spacing w:after="0"/>
              <w:jc w:val="center"/>
            </w:pPr>
            <w:r>
              <w:rPr>
                <w:rFonts w:ascii="Times New Roman" w:hAnsi="Times New Roman" w:eastAsia="ＭＳ 明朝" w:cs="Times New Roman" w:eastAsiaTheme="minorEastAsia"/>
                <w:b/>
                <w:bCs/>
                <w:color w:val="000000"/>
                <w:sz w:val="18"/>
                <w:szCs w:val="22"/>
              </w:rPr>
              <w:t>Observed value</w:t>
            </w:r>
          </w:p>
        </w:tc>
        <w:tc>
          <w:tcPr>
            <w:tcW w:w="3240"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4051ECDD">
            <w:pPr>
              <w:spacing w:after="0"/>
              <w:jc w:val="center"/>
            </w:pPr>
            <w:r>
              <w:rPr>
                <w:rFonts w:ascii="Times New Roman" w:hAnsi="Times New Roman" w:eastAsia="ＭＳ 明朝" w:cs="Times New Roman" w:eastAsiaTheme="minorEastAsia"/>
                <w:b/>
                <w:bCs/>
                <w:color w:val="000000"/>
                <w:sz w:val="18"/>
                <w:szCs w:val="22"/>
              </w:rPr>
              <w:t>Interpretation</w:t>
            </w:r>
          </w:p>
        </w:tc>
      </w:tr>
      <w:tr>
        <w:tc>
          <w:tcPr>
            <w:tcW w:w="25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1BF12CB">
            <w:pPr>
              <w:spacing w:after="0" w:line="240" w:lineRule="auto"/>
            </w:pPr>
            <w:r>
              <w:rPr>
                <w:rFonts w:ascii="Times New Roman" w:hAnsi="Times New Roman" w:eastAsia="ＭＳ 明朝" w:cs="Times New Roman" w:eastAsiaTheme="minorEastAsia"/>
                <w:color w:val="000000"/>
                <w:sz w:val="18"/>
                <w:szCs w:val="22"/>
              </w:rPr>
              <w:t>Canonical session summary</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3941830">
            <w:pPr>
              <w:spacing w:after="0" w:line="240" w:lineRule="auto"/>
            </w:pPr>
            <w:r>
              <w:rPr>
                <w:rFonts w:ascii="Times New Roman" w:hAnsi="Times New Roman" w:eastAsia="ＭＳ 明朝" w:cs="Times New Roman" w:eastAsiaTheme="minorEastAsia"/>
                <w:color w:val="000000"/>
                <w:sz w:val="18"/>
                <w:szCs w:val="22"/>
              </w:rPr>
              <w:t>3 completed repetitions</w:t>
            </w:r>
          </w:p>
        </w:tc>
        <w:tc>
          <w:tcPr>
            <w:tcW w:w="32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28D0D7B">
            <w:pPr>
              <w:spacing w:after="0" w:line="240" w:lineRule="auto"/>
            </w:pPr>
            <w:r>
              <w:rPr>
                <w:rFonts w:ascii="Times New Roman" w:hAnsi="Times New Roman" w:eastAsia="ＭＳ 明朝" w:cs="Times New Roman" w:eastAsiaTheme="minorEastAsia"/>
                <w:color w:val="000000"/>
                <w:sz w:val="18"/>
                <w:szCs w:val="22"/>
              </w:rPr>
              <w:t>Used for confirmed case</w:t>
            </w:r>
          </w:p>
        </w:tc>
      </w:tr>
      <w:tr>
        <w:tc>
          <w:tcPr>
            <w:tcW w:w="25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704CACF">
            <w:pPr>
              <w:spacing w:after="0" w:line="240" w:lineRule="auto"/>
            </w:pPr>
            <w:r>
              <w:rPr>
                <w:rFonts w:ascii="Times New Roman" w:hAnsi="Times New Roman" w:eastAsia="ＭＳ 明朝" w:cs="Times New Roman" w:eastAsiaTheme="minorEastAsia"/>
                <w:color w:val="000000"/>
                <w:sz w:val="18"/>
                <w:szCs w:val="22"/>
              </w:rPr>
              <w:t>Saved rule-engine summary</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96347D9">
            <w:pPr>
              <w:spacing w:after="0" w:line="240" w:lineRule="auto"/>
            </w:pPr>
            <w:r>
              <w:rPr>
                <w:rFonts w:ascii="Times New Roman" w:hAnsi="Times New Roman" w:eastAsia="ＭＳ 明朝" w:cs="Times New Roman" w:eastAsiaTheme="minorEastAsia"/>
                <w:color w:val="000000"/>
                <w:sz w:val="18"/>
                <w:szCs w:val="22"/>
              </w:rPr>
              <w:t>0 completed repetitions</w:t>
            </w:r>
          </w:p>
        </w:tc>
        <w:tc>
          <w:tcPr>
            <w:tcW w:w="32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8ADF793">
            <w:pPr>
              <w:spacing w:after="0" w:line="240" w:lineRule="auto"/>
            </w:pPr>
            <w:r>
              <w:rPr>
                <w:rFonts w:ascii="Times New Roman" w:hAnsi="Times New Roman" w:eastAsia="ＭＳ 明朝" w:cs="Times New Roman" w:eastAsiaTheme="minorEastAsia"/>
                <w:color w:val="000000"/>
                <w:sz w:val="18"/>
                <w:szCs w:val="22"/>
              </w:rPr>
              <w:t>Contradicts canonical summary</w:t>
            </w:r>
          </w:p>
        </w:tc>
      </w:tr>
      <w:tr>
        <w:tc>
          <w:tcPr>
            <w:tcW w:w="25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1BD449C">
            <w:pPr>
              <w:spacing w:after="0" w:line="240" w:lineRule="auto"/>
            </w:pPr>
            <w:r>
              <w:rPr>
                <w:rFonts w:ascii="Times New Roman" w:hAnsi="Times New Roman" w:eastAsia="ＭＳ 明朝" w:cs="Times New Roman" w:eastAsiaTheme="minorEastAsia"/>
                <w:color w:val="000000"/>
                <w:sz w:val="18"/>
                <w:szCs w:val="22"/>
              </w:rPr>
              <w:t>Database repetition table</w:t>
            </w:r>
          </w:p>
        </w:tc>
        <w:tc>
          <w:tcPr>
            <w:tcW w:w="295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11A54D0">
            <w:pPr>
              <w:spacing w:after="0" w:line="240" w:lineRule="auto"/>
            </w:pPr>
            <w:r>
              <w:rPr>
                <w:rFonts w:ascii="Times New Roman" w:hAnsi="Times New Roman" w:eastAsia="ＭＳ 明朝" w:cs="Times New Roman" w:eastAsiaTheme="minorEastAsia"/>
                <w:color w:val="000000"/>
                <w:sz w:val="18"/>
                <w:szCs w:val="22"/>
              </w:rPr>
              <w:t>1 row with implausible duration</w:t>
            </w:r>
          </w:p>
        </w:tc>
        <w:tc>
          <w:tcPr>
            <w:tcW w:w="32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DA8783B">
            <w:pPr>
              <w:spacing w:after="0" w:line="240" w:lineRule="auto"/>
            </w:pPr>
            <w:r>
              <w:rPr>
                <w:rFonts w:ascii="Times New Roman" w:hAnsi="Times New Roman" w:eastAsia="ＭＳ 明朝" w:cs="Times New Roman" w:eastAsiaTheme="minorEastAsia"/>
                <w:color w:val="000000"/>
                <w:sz w:val="18"/>
                <w:szCs w:val="22"/>
              </w:rPr>
              <w:t>Persistence inconsistency</w:t>
            </w:r>
          </w:p>
        </w:tc>
      </w:tr>
    </w:tbl>
    <w:p w14:paraId="133DA2AD">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discrepancy is not removed from the evidence. It shows that the application can present a coherent canonical session analysis while other persistence layers disagree. This is a meaningful framework result because reliable cognitive-state and learner-memory claims depend on consistent state across components. The failure motivates a single versioned repetition contract, end-to-end integration tests and reconciliation checks at export time.</w:t>
      </w:r>
    </w:p>
    <w:p w14:paraId="7B8376CB">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4.6 Evidence-to-Claim Reconciliation</w:t>
      </w:r>
    </w:p>
    <w:p w14:paraId="17216C9C">
      <w:pPr>
        <w:widowControl/>
        <w:spacing w:before="160" w:after="80"/>
        <w:jc w:val="left"/>
      </w:pPr>
      <w:r>
        <w:rPr>
          <w:rFonts w:ascii="Times New Roman" w:hAnsi="Times New Roman" w:eastAsia="ＭＳ 明朝" w:cs="Times New Roman" w:eastAsiaTheme="minorEastAsia"/>
          <w:b/>
          <w:bCs/>
          <w:color w:val="000000"/>
          <w:sz w:val="24"/>
          <w:szCs w:val="22"/>
        </w:rPr>
        <w:t>Table 4.6 Controlled claim readiness</w:t>
      </w:r>
    </w:p>
    <w:tbl>
      <w:tblPr>
        <w:tblStyle w:val="TableGrid"/>
        <w:tblW w:w="8784"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929"/>
        <w:gridCol w:w="2929"/>
        <w:gridCol w:w="2929"/>
      </w:tblGrid>
      <w:tr>
        <w:trPr>
          <w:tblHeader/>
        </w:trPr>
        <w:tc>
          <w:tcPr>
            <w:tcW w:w="2232"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5D0D307F">
            <w:pPr>
              <w:spacing w:after="0"/>
              <w:jc w:val="center"/>
            </w:pPr>
            <w:r>
              <w:rPr>
                <w:rFonts w:ascii="Times New Roman" w:hAnsi="Times New Roman" w:eastAsia="ＭＳ 明朝" w:cs="Times New Roman" w:eastAsiaTheme="minorEastAsia"/>
                <w:b/>
                <w:bCs/>
                <w:color w:val="000000"/>
                <w:sz w:val="18"/>
                <w:szCs w:val="22"/>
              </w:rPr>
              <w:t>Classification</w:t>
            </w:r>
          </w:p>
        </w:tc>
        <w:tc>
          <w:tcPr>
            <w:tcW w:w="936"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79231A2C">
            <w:pPr>
              <w:spacing w:after="0"/>
              <w:jc w:val="center"/>
            </w:pPr>
            <w:r>
              <w:rPr>
                <w:rFonts w:ascii="Times New Roman" w:hAnsi="Times New Roman" w:eastAsia="ＭＳ 明朝" w:cs="Times New Roman" w:eastAsiaTheme="minorEastAsia"/>
                <w:b/>
                <w:bCs/>
                <w:color w:val="000000"/>
                <w:sz w:val="18"/>
                <w:szCs w:val="22"/>
              </w:rPr>
              <w:t>Count</w:t>
            </w:r>
          </w:p>
        </w:tc>
        <w:tc>
          <w:tcPr>
            <w:tcW w:w="5616" w:type="dxa"/>
            <w:tcBorders>
              <w:top w:val="single" w:sz="4" w:space="0" w:color="auto"/>
              <w:left w:val="single" w:sz="4" w:space="0" w:color="auto"/>
              <w:bottom w:val="single" w:sz="4" w:space="0" w:color="auto"/>
              <w:right w:val="single" w:sz="4" w:space="0" w:color="auto"/>
            </w:tcBorders>
            <w:shd w:val="clear" w:fill="D9E2F3"/>
            <w:tcMar>
              <w:top w:w="80" w:type="dxa"/>
              <w:left w:w="100" w:type="dxa"/>
              <w:bottom w:w="80" w:type="dxa"/>
              <w:right w:w="100" w:type="dxa"/>
            </w:tcMar>
            <w:vAlign w:val="center"/>
          </w:tcPr>
          <w:p w14:paraId="42997F54">
            <w:pPr>
              <w:spacing w:after="0"/>
              <w:jc w:val="center"/>
            </w:pPr>
            <w:r>
              <w:rPr>
                <w:rFonts w:ascii="Times New Roman" w:hAnsi="Times New Roman" w:eastAsia="ＭＳ 明朝" w:cs="Times New Roman" w:eastAsiaTheme="minorEastAsia"/>
                <w:b/>
                <w:bCs/>
                <w:color w:val="000000"/>
                <w:sz w:val="18"/>
                <w:szCs w:val="22"/>
              </w:rPr>
              <w:t>Interpretation</w:t>
            </w:r>
          </w:p>
        </w:tc>
      </w:tr>
      <w:tr>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5C339D5">
            <w:pPr>
              <w:spacing w:after="0" w:line="240" w:lineRule="auto"/>
            </w:pPr>
            <w:r>
              <w:rPr>
                <w:rFonts w:ascii="Times New Roman" w:hAnsi="Times New Roman" w:eastAsia="ＭＳ 明朝" w:cs="Times New Roman" w:eastAsiaTheme="minorEastAsia"/>
                <w:color w:val="000000"/>
                <w:sz w:val="18"/>
                <w:szCs w:val="22"/>
              </w:rPr>
              <w:t>Supported with boundary</w:t>
            </w:r>
          </w:p>
        </w:tc>
        <w:tc>
          <w:tcPr>
            <w:tcW w:w="9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D624922">
            <w:pPr>
              <w:spacing w:after="0" w:line="240" w:lineRule="auto"/>
            </w:pPr>
            <w:r>
              <w:rPr>
                <w:rFonts w:ascii="Times New Roman" w:hAnsi="Times New Roman" w:eastAsia="ＭＳ 明朝" w:cs="Times New Roman" w:eastAsiaTheme="minorEastAsia"/>
                <w:color w:val="000000"/>
                <w:sz w:val="18"/>
                <w:szCs w:val="22"/>
              </w:rPr>
              <w:t>4</w:t>
            </w:r>
          </w:p>
        </w:tc>
        <w:tc>
          <w:tcPr>
            <w:tcW w:w="56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0D99682">
            <w:pPr>
              <w:spacing w:after="0" w:line="240" w:lineRule="auto"/>
            </w:pPr>
            <w:r>
              <w:rPr>
                <w:rFonts w:ascii="Times New Roman" w:hAnsi="Times New Roman" w:eastAsia="ＭＳ 明朝" w:cs="Times New Roman" w:eastAsiaTheme="minorEastAsia"/>
                <w:color w:val="000000"/>
                <w:sz w:val="18"/>
                <w:szCs w:val="22"/>
              </w:rPr>
              <w:t>Baselines/horizon metrics; monocular uncertainty; design-science case; STGAT exclusion</w:t>
            </w:r>
          </w:p>
        </w:tc>
      </w:tr>
      <w:tr>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C0F0CCE">
            <w:pPr>
              <w:spacing w:after="0" w:line="240" w:lineRule="auto"/>
            </w:pPr>
            <w:r>
              <w:rPr>
                <w:rFonts w:ascii="Times New Roman" w:hAnsi="Times New Roman" w:eastAsia="ＭＳ 明朝" w:cs="Times New Roman" w:eastAsiaTheme="minorEastAsia"/>
                <w:color w:val="000000"/>
                <w:sz w:val="18"/>
                <w:szCs w:val="22"/>
              </w:rPr>
              <w:t>Partially supported</w:t>
            </w:r>
          </w:p>
        </w:tc>
        <w:tc>
          <w:tcPr>
            <w:tcW w:w="9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A540A81">
            <w:pPr>
              <w:spacing w:after="0" w:line="240" w:lineRule="auto"/>
            </w:pPr>
            <w:r>
              <w:rPr>
                <w:rFonts w:ascii="Times New Roman" w:hAnsi="Times New Roman" w:eastAsia="ＭＳ 明朝" w:cs="Times New Roman" w:eastAsiaTheme="minorEastAsia"/>
                <w:color w:val="000000"/>
                <w:sz w:val="18"/>
                <w:szCs w:val="22"/>
              </w:rPr>
              <w:t>5</w:t>
            </w:r>
          </w:p>
        </w:tc>
        <w:tc>
          <w:tcPr>
            <w:tcW w:w="56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F77AAB3">
            <w:pPr>
              <w:spacing w:after="0" w:line="240" w:lineRule="auto"/>
            </w:pPr>
            <w:r>
              <w:rPr>
                <w:rFonts w:ascii="Times New Roman" w:hAnsi="Times New Roman" w:eastAsia="ＭＳ 明朝" w:cs="Times New Roman" w:eastAsiaTheme="minorEastAsia"/>
                <w:color w:val="000000"/>
                <w:sz w:val="18"/>
                <w:szCs w:val="22"/>
              </w:rPr>
              <w:t>Perception accuracy; real-jab ACP; real phase boundaries; comparative decision benefit; threshold validation</w:t>
            </w:r>
          </w:p>
        </w:tc>
      </w:tr>
      <w:tr>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5F73DE0">
            <w:pPr>
              <w:spacing w:after="0" w:line="240" w:lineRule="auto"/>
            </w:pPr>
            <w:r>
              <w:rPr>
                <w:rFonts w:ascii="Times New Roman" w:hAnsi="Times New Roman" w:eastAsia="ＭＳ 明朝" w:cs="Times New Roman" w:eastAsiaTheme="minorEastAsia"/>
                <w:color w:val="000000"/>
                <w:sz w:val="18"/>
                <w:szCs w:val="22"/>
              </w:rPr>
              <w:t>Unsupported</w:t>
            </w:r>
          </w:p>
        </w:tc>
        <w:tc>
          <w:tcPr>
            <w:tcW w:w="9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E9C27EF">
            <w:pPr>
              <w:spacing w:after="0" w:line="240" w:lineRule="auto"/>
            </w:pPr>
            <w:r>
              <w:rPr>
                <w:rFonts w:ascii="Times New Roman" w:hAnsi="Times New Roman" w:eastAsia="ＭＳ 明朝" w:cs="Times New Roman" w:eastAsiaTheme="minorEastAsia"/>
                <w:color w:val="000000"/>
                <w:sz w:val="18"/>
                <w:szCs w:val="22"/>
              </w:rPr>
              <w:t>0</w:t>
            </w:r>
          </w:p>
        </w:tc>
        <w:tc>
          <w:tcPr>
            <w:tcW w:w="56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B567972">
            <w:pPr>
              <w:spacing w:after="0" w:line="240" w:lineRule="auto"/>
            </w:pPr>
            <w:r>
              <w:rPr>
                <w:rFonts w:ascii="Times New Roman" w:hAnsi="Times New Roman" w:eastAsia="ＭＳ 明朝" w:cs="Times New Roman" w:eastAsiaTheme="minorEastAsia"/>
                <w:color w:val="000000"/>
                <w:sz w:val="18"/>
                <w:szCs w:val="22"/>
              </w:rPr>
              <w:t>No controlled claim lacks all relevant evidence</w:t>
            </w:r>
          </w:p>
        </w:tc>
      </w:tr>
      <w:tr>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6789BD3">
            <w:pPr>
              <w:spacing w:after="0" w:line="240" w:lineRule="auto"/>
            </w:pPr>
            <w:r>
              <w:rPr>
                <w:rFonts w:ascii="Times New Roman" w:hAnsi="Times New Roman" w:eastAsia="ＭＳ 明朝" w:cs="Times New Roman" w:eastAsiaTheme="minorEastAsia"/>
                <w:color w:val="000000"/>
                <w:sz w:val="18"/>
                <w:szCs w:val="22"/>
              </w:rPr>
              <w:t>Closed evaluation actions</w:t>
            </w:r>
          </w:p>
        </w:tc>
        <w:tc>
          <w:tcPr>
            <w:tcW w:w="9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BB07660">
            <w:pPr>
              <w:spacing w:after="0" w:line="240" w:lineRule="auto"/>
            </w:pPr>
            <w:r>
              <w:rPr>
                <w:rFonts w:ascii="Times New Roman" w:hAnsi="Times New Roman" w:eastAsia="ＭＳ 明朝" w:cs="Times New Roman" w:eastAsiaTheme="minorEastAsia"/>
                <w:color w:val="000000"/>
                <w:sz w:val="18"/>
                <w:szCs w:val="22"/>
              </w:rPr>
              <w:t>4</w:t>
            </w:r>
          </w:p>
        </w:tc>
        <w:tc>
          <w:tcPr>
            <w:tcW w:w="56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80D606C">
            <w:pPr>
              <w:spacing w:after="0" w:line="240" w:lineRule="auto"/>
            </w:pPr>
            <w:r>
              <w:rPr>
                <w:rFonts w:ascii="Times New Roman" w:hAnsi="Times New Roman" w:eastAsia="ＭＳ 明朝" w:cs="Times New Roman" w:eastAsiaTheme="minorEastAsia"/>
                <w:color w:val="000000"/>
                <w:sz w:val="18"/>
                <w:szCs w:val="22"/>
              </w:rPr>
              <w:t>Baselines; retained inconsistency; LLM non-applicability; video exclusion</w:t>
            </w:r>
          </w:p>
        </w:tc>
      </w:tr>
      <w:tr>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634A18A">
            <w:pPr>
              <w:spacing w:after="0" w:line="240" w:lineRule="auto"/>
            </w:pPr>
            <w:r>
              <w:rPr>
                <w:rFonts w:ascii="Times New Roman" w:hAnsi="Times New Roman" w:eastAsia="ＭＳ 明朝" w:cs="Times New Roman" w:eastAsiaTheme="minorEastAsia"/>
                <w:color w:val="000000"/>
                <w:sz w:val="18"/>
                <w:szCs w:val="22"/>
              </w:rPr>
              <w:t>Open but bounded</w:t>
            </w:r>
          </w:p>
        </w:tc>
        <w:tc>
          <w:tcPr>
            <w:tcW w:w="9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7500DF2">
            <w:pPr>
              <w:spacing w:after="0" w:line="240" w:lineRule="auto"/>
            </w:pPr>
            <w:r>
              <w:rPr>
                <w:rFonts w:ascii="Times New Roman" w:hAnsi="Times New Roman" w:eastAsia="ＭＳ 明朝" w:cs="Times New Roman" w:eastAsiaTheme="minorEastAsia"/>
                <w:color w:val="000000"/>
                <w:sz w:val="18"/>
                <w:szCs w:val="22"/>
              </w:rPr>
              <w:t>8</w:t>
            </w:r>
          </w:p>
        </w:tc>
        <w:tc>
          <w:tcPr>
            <w:tcW w:w="56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7CAB231">
            <w:pPr>
              <w:spacing w:after="0" w:line="240" w:lineRule="auto"/>
            </w:pPr>
            <w:r>
              <w:rPr>
                <w:rFonts w:ascii="Times New Roman" w:hAnsi="Times New Roman" w:eastAsia="ＭＳ 明朝" w:cs="Times New Roman" w:eastAsiaTheme="minorEastAsia"/>
                <w:color w:val="000000"/>
                <w:sz w:val="18"/>
                <w:szCs w:val="22"/>
              </w:rPr>
              <w:t>Explicit limitations/future evaluation; no additional data required for current feasibility conclusion</w:t>
            </w:r>
          </w:p>
        </w:tc>
      </w:tr>
    </w:tbl>
    <w:p w14:paraId="47FCAA50">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reconciliation prevents literature from substituting for local evidence. Laptop-camera perception is technically feasible and visibly implemented, but independent landmark and jab-form accuracy are absent. ACP-STGAT is a successful benchmark prototype, but real jab prediction and component ablation remain open. The phase pipeline has complete generated-data metrics, but no manually annotated real boundaries. Situation-awareness functions are implemented as computational gates, but comparative benefit has not been tested. Jab variables are supported by literature and expert traces, while threshold values remain researcher-authored.</w:t>
      </w:r>
    </w:p>
    <w:p w14:paraId="3B1FD8C9">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4.7 Discussion Against the Research Question</w:t>
      </w:r>
    </w:p>
    <w:p w14:paraId="25CFFCEE">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evidence answers the research question at the architecture and feasibility level. A hybrid framework can simulate selected computational functions by assigning different roles to perception, learned temporal evidence, deterministic constraints and memory. Learned models estimate phase and future pose; deterministic layers judge trust, enforce ordering, calculate form evidence and select an actionable response. Multi-timescale context prevents the system from treating every frame as independent, and structured storage supports post-session interpretation.</w:t>
      </w:r>
    </w:p>
    <w:p w14:paraId="60DBE21B">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strongest evidence concerns implemented integration, reproducible offline model behaviour and software verification. The weakest evidence concerns external validity: one self-evaluating expert, one technique, no calibrated 3D ground truth, no condition-labelled rule-only/hybrid comparison, no end-to-end latency observations and no structured usability instrument. The scientifically appropriate conclusion is therefore feasibility, not effectiveness.</w:t>
      </w:r>
    </w:p>
    <w:p w14:paraId="020A636D">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Endsley's framework helps explain the information flow, but the implementation should be described as computational situation awareness rather than awareness in the human sense. Design-science methodology supports evaluating utility and integrity of the artifact while retaining negative evidence. Jab biomechanics sources justify multi-joint context but do not validate universal degree thresholds. Taken together, the literature and local evidence support the bounded claim that Combat Cognition is a functioning core architecture toward a broader research vision.</w:t>
      </w:r>
    </w:p>
    <w:p w14:paraId="405253B9">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4.8 Limitations</w:t>
      </w:r>
    </w:p>
    <w:p w14:paraId="45B3EEEF">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P001 is the researcher, developer and martial-arts expert; no independent participant or second expert was included.</w:t>
      </w:r>
    </w:p>
    <w:p w14:paraId="62385331">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Only a jab and one laptop-camera setting were evaluated; results cannot be generalized to other techniques, people, viewpoints or devices.</w:t>
      </w:r>
    </w:p>
    <w:p w14:paraId="4C4D339A">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ACP-STGAT was evaluated on Human3.6M-17 rather than grouped real jab ground truth, and no ablation or advanced published-model comparison was completed.</w:t>
      </w:r>
    </w:p>
    <w:p w14:paraId="212ACA61">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Temporal phase results use generated bootstrap sessions; real annotated phase and boundary accuracy is unknown.</w:t>
      </w:r>
    </w:p>
    <w:p w14:paraId="308810C7">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Only model-level ONNX latency was measured; full camera-to-feedback latency and sustained frame rate were not recorded.</w:t>
      </w:r>
    </w:p>
    <w:p w14:paraId="3880E131">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Historical records lack experimental-condition labels, preventing a controlled rule-only versus hybrid comparison.</w:t>
      </w:r>
    </w:p>
    <w:p w14:paraId="3BC9B755">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Expert-authored biomechanical thresholds have not been independently triangulated and cannot support clinical, force, energy or injury claims.</w:t>
      </w:r>
    </w:p>
    <w:p w14:paraId="0A565311">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No structured usability score was captured; qualitative commentary was not converted into retrospective ratings.</w:t>
      </w:r>
    </w:p>
    <w:p w14:paraId="029423A7">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The operational coach is deterministic; no current LLM performance can be claimed.</w:t>
      </w:r>
    </w:p>
    <w:p w14:paraId="35D8327A">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The practice-42 repetition inconsistency shows unresolved integration risk across stored representations.</w:t>
      </w:r>
    </w:p>
    <w:p w14:paraId="11342A13">
      <w:pPr>
        <w:pageBreakBefore/>
        <w:widowControl/>
      </w:pPr>
      <w:r/>
    </w:p>
    <w:p w14:paraId="63F4B97F">
      <w:pPr>
        <w:pStyle w:val="Heading1"/>
        <w:keepNext/>
        <w:widowControl/>
        <w:spacing w:before="0" w:after="360"/>
        <w:jc w:val="center"/>
      </w:pPr>
      <w:r>
        <w:rPr>
          <w:rFonts w:ascii="Times New Roman" w:hAnsi="Times New Roman" w:eastAsia="ＭＳ ゴシック" w:cs="Times New Roman" w:eastAsiaTheme="majorEastAsia"/>
          <w:b/>
          <w:bCs/>
          <w:color w:val="000000"/>
          <w:sz w:val="28"/>
          <w:szCs w:val="28"/>
        </w:rPr>
        <w:t>CHAPTER 5</w:t>
      </w:r>
      <w:r>
        <w:br w:type="textWrapping"/>
      </w:r>
      <w:r>
        <w:rPr>
          <w:rFonts w:ascii="Times New Roman" w:hAnsi="Times New Roman" w:eastAsia="ＭＳ ゴシック" w:cs="Times New Roman" w:eastAsiaTheme="majorEastAsia"/>
          <w:b/>
          <w:bCs/>
          <w:color w:val="000000"/>
          <w:sz w:val="28"/>
          <w:szCs w:val="28"/>
        </w:rPr>
        <w:t>CONCLUSIONS AND RECOMMENDATIONS</w:t>
      </w:r>
    </w:p>
    <w:p w14:paraId="2D5B08AA">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5.1 Conclusion</w:t>
      </w:r>
    </w:p>
    <w:p w14:paraId="6F8AEE62">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This study designed, implemented and evaluated Combat Cognition as a hybrid computational framework toward martial-artist cognitive simulation. The framework connects laptop-camera perception, expert-authored biomechanics, temporal phase estimation, future-pose prediction, four levels of contextual state, bounded situation-awareness gates, deterministic coaching and session memory. The result is an implemented architecture capable of interpreting and responding to a jab practice session while retaining the provenance and limits of its evidence.</w:t>
      </w:r>
    </w:p>
    <w:p w14:paraId="35174105">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ACP-STGAT produced a promising participant-held-out benchmark result and outperformed last-pose and constant-velocity baselines in normalized coordinates. The temporal phase classifier substantially outperformed a majority baseline in generated bootstrap sessions and completed an ONNX deployment path. Automated tests verified the checked frontend and backend behaviour. The P001 practice-42 case demonstrated end-to-end functional use and expert-confirmed movement clustering, while simultaneously revealing a persistence inconsistency that was preserved as failure evidence.</w:t>
      </w:r>
    </w:p>
    <w:p w14:paraId="3030904A">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research question is answered conditionally: a hybrid perception-awareness-decision architecture can simulate selected computational functions by combining learned temporal evidence with deterministic constraints, confidence gates, multi-timescale memory and explainable feedback selection. The work does not establish complete martial-artist cognition, coaching effectiveness, calibrated biomechanics, population usability or generalization. Combat Cognition is therefore best understood as an evidence-bounded core prototype and research platform.</w:t>
      </w:r>
    </w:p>
    <w:p w14:paraId="4E69B898">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5.2 Contributions</w:t>
      </w:r>
    </w:p>
    <w:p w14:paraId="59ABB575">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An implemented end-to-end architecture linking perception, temporal prediction, ordered phase reasoning, multi-level context, situation-aware evidence selection, coaching and analytics.</w:t>
      </w:r>
    </w:p>
    <w:p w14:paraId="7838B84C">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A reproducible ACP-STGAT benchmark evaluation with simple baselines, repeated seeds, robustness, ONNX parity and model-only latency.</w:t>
      </w:r>
    </w:p>
    <w:p w14:paraId="509C5063">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A complete generated-bootstrap temporal phase pipeline evaluation with class, boundary, repetition, robustness and deployment evidence.</w:t>
      </w:r>
    </w:p>
    <w:p w14:paraId="7D0295B8">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A deterministic structured coaching boundary that makes the operational reasoning mechanism explicit and keeps a future LLM optional.</w:t>
      </w:r>
    </w:p>
    <w:p w14:paraId="508334C7">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A curated P001 expert feasibility/self-evaluation case with confirmed clusters and a retained integration failure.</w:t>
      </w:r>
    </w:p>
    <w:p w14:paraId="175D38B7">
      <w:pPr>
        <w:pStyle w:val="ListBullet"/>
        <w:widowControl/>
        <w:spacing w:after="60" w:line="360" w:lineRule="auto"/>
        <w:ind w:left="720" w:hanging="360"/>
      </w:pPr>
      <w:r>
        <w:rPr>
          <w:rFonts w:ascii="Times New Roman" w:hAnsi="Times New Roman" w:eastAsia="ＭＳ 明朝" w:cs="Times New Roman" w:eastAsiaTheme="minorEastAsia"/>
          <w:color w:val="000000"/>
          <w:sz w:val="24"/>
          <w:szCs w:val="22"/>
        </w:rPr>
        <w:t>A claim-control framework that separates literature, model, software and case evidence and prohibits a combined overall accuracy.</w:t>
      </w:r>
    </w:p>
    <w:p w14:paraId="09220B7C">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5.3 Recommendations</w:t>
      </w:r>
    </w:p>
    <w:p w14:paraId="774257F4">
      <w:pPr>
        <w:pStyle w:val="ListNumber"/>
        <w:widowControl/>
        <w:spacing w:after="60" w:line="360" w:lineRule="auto"/>
        <w:ind w:left="720" w:hanging="360"/>
      </w:pPr>
      <w:r>
        <w:rPr>
          <w:rFonts w:ascii="Times New Roman" w:hAnsi="Times New Roman" w:eastAsia="ＭＳ 明朝" w:cs="Times New Roman" w:eastAsiaTheme="minorEastAsia"/>
          <w:color w:val="000000"/>
          <w:sz w:val="24"/>
          <w:szCs w:val="22"/>
        </w:rPr>
        <w:t>Create a manually annotated, grouped real-jab dataset and freeze participant/session splits before windowing.</w:t>
      </w:r>
    </w:p>
    <w:p w14:paraId="0747D552">
      <w:pPr>
        <w:pStyle w:val="ListNumber"/>
        <w:widowControl/>
        <w:spacing w:after="60" w:line="360" w:lineRule="auto"/>
        <w:ind w:left="720" w:hanging="360"/>
      </w:pPr>
      <w:r>
        <w:rPr>
          <w:rFonts w:ascii="Times New Roman" w:hAnsi="Times New Roman" w:eastAsia="ＭＳ 明朝" w:cs="Times New Roman" w:eastAsiaTheme="minorEastAsia"/>
          <w:color w:val="000000"/>
          <w:sz w:val="24"/>
          <w:szCs w:val="22"/>
        </w:rPr>
        <w:t>Evaluate ACP-STGAT on jab-domain future frames, run component ablations and compare with established motion-prediction models under one protocol.</w:t>
      </w:r>
    </w:p>
    <w:p w14:paraId="4B041295">
      <w:pPr>
        <w:pStyle w:val="ListNumber"/>
        <w:widowControl/>
        <w:spacing w:after="60" w:line="360" w:lineRule="auto"/>
        <w:ind w:left="720" w:hanging="360"/>
      </w:pPr>
      <w:r>
        <w:rPr>
          <w:rFonts w:ascii="Times New Roman" w:hAnsi="Times New Roman" w:eastAsia="ＭＳ 明朝" w:cs="Times New Roman" w:eastAsiaTheme="minorEastAsia"/>
          <w:color w:val="000000"/>
          <w:sz w:val="24"/>
          <w:szCs w:val="22"/>
        </w:rPr>
        <w:t>Evaluate phase boundaries, edit score, segmental F1, repetition recovery and tracking-loss behaviour on real sequences with independent labels.</w:t>
      </w:r>
    </w:p>
    <w:p w14:paraId="51DC130B">
      <w:pPr>
        <w:pStyle w:val="ListNumber"/>
        <w:widowControl/>
        <w:spacing w:after="60" w:line="360" w:lineRule="auto"/>
        <w:ind w:left="720" w:hanging="360"/>
      </w:pPr>
      <w:r>
        <w:rPr>
          <w:rFonts w:ascii="Times New Roman" w:hAnsi="Times New Roman" w:eastAsia="ＭＳ 明朝" w:cs="Times New Roman" w:eastAsiaTheme="minorEastAsia"/>
          <w:color w:val="000000"/>
          <w:sz w:val="24"/>
          <w:szCs w:val="22"/>
        </w:rPr>
        <w:t>Instrument camera capture, pose inference, model inference, decision and feedback timestamps to measure end-to-end latency and frame rate.</w:t>
      </w:r>
    </w:p>
    <w:p w14:paraId="153D052A">
      <w:pPr>
        <w:pStyle w:val="ListNumber"/>
        <w:widowControl/>
        <w:spacing w:after="60" w:line="360" w:lineRule="auto"/>
        <w:ind w:left="720" w:hanging="360"/>
      </w:pPr>
      <w:r>
        <w:rPr>
          <w:rFonts w:ascii="Times New Roman" w:hAnsi="Times New Roman" w:eastAsia="ＭＳ 明朝" w:cs="Times New Roman" w:eastAsiaTheme="minorEastAsia"/>
          <w:color w:val="000000"/>
          <w:sz w:val="24"/>
          <w:szCs w:val="22"/>
        </w:rPr>
        <w:t>Add explicit rule-only and hybrid condition labels and run a controlled replay or prospective comparison.</w:t>
      </w:r>
    </w:p>
    <w:p w14:paraId="1D2B2CD3">
      <w:pPr>
        <w:pStyle w:val="ListNumber"/>
        <w:widowControl/>
        <w:spacing w:after="60" w:line="360" w:lineRule="auto"/>
        <w:ind w:left="720" w:hanging="360"/>
      </w:pPr>
      <w:r>
        <w:rPr>
          <w:rFonts w:ascii="Times New Roman" w:hAnsi="Times New Roman" w:eastAsia="ＭＳ 明朝" w:cs="Times New Roman" w:eastAsiaTheme="minorEastAsia"/>
          <w:color w:val="000000"/>
          <w:sz w:val="24"/>
          <w:szCs w:val="22"/>
        </w:rPr>
        <w:t>Triangulate form variables and thresholds with independent martial-arts experts and, where physical claims are required, calibrated IMUs, force or motion-capture sensors.</w:t>
      </w:r>
    </w:p>
    <w:p w14:paraId="5CA454E8">
      <w:pPr>
        <w:pStyle w:val="ListNumber"/>
        <w:widowControl/>
        <w:spacing w:after="60" w:line="360" w:lineRule="auto"/>
        <w:ind w:left="720" w:hanging="360"/>
      </w:pPr>
      <w:r>
        <w:rPr>
          <w:rFonts w:ascii="Times New Roman" w:hAnsi="Times New Roman" w:eastAsia="ＭＳ 明朝" w:cs="Times New Roman" w:eastAsiaTheme="minorEastAsia"/>
          <w:color w:val="000000"/>
          <w:sz w:val="24"/>
          <w:szCs w:val="22"/>
        </w:rPr>
        <w:t>Repair repetition-state contracts across canonical, rule-engine and database layers and add export-time consistency tests.</w:t>
      </w:r>
    </w:p>
    <w:p w14:paraId="798F5973">
      <w:pPr>
        <w:pStyle w:val="ListNumber"/>
        <w:widowControl/>
        <w:spacing w:after="60" w:line="360" w:lineRule="auto"/>
        <w:ind w:left="720" w:hanging="360"/>
      </w:pPr>
      <w:r>
        <w:rPr>
          <w:rFonts w:ascii="Times New Roman" w:hAnsi="Times New Roman" w:eastAsia="ＭＳ 明朝" w:cs="Times New Roman" w:eastAsiaTheme="minorEastAsia"/>
          <w:color w:val="000000"/>
          <w:sz w:val="24"/>
          <w:szCs w:val="22"/>
        </w:rPr>
        <w:t>If an LLM is introduced, retain the structured evidence packet, schema validation, deterministic fallback, safety gates and blinded comparison against the current template baseline.</w:t>
      </w:r>
    </w:p>
    <w:p w14:paraId="18EB7CE7">
      <w:pPr>
        <w:pStyle w:val="ListNumber"/>
        <w:widowControl/>
        <w:spacing w:after="60" w:line="360" w:lineRule="auto"/>
        <w:ind w:left="720" w:hanging="360"/>
      </w:pPr>
      <w:r>
        <w:rPr>
          <w:rFonts w:ascii="Times New Roman" w:hAnsi="Times New Roman" w:eastAsia="ＭＳ 明朝" w:cs="Times New Roman" w:eastAsiaTheme="minorEastAsia"/>
          <w:color w:val="000000"/>
          <w:sz w:val="24"/>
          <w:szCs w:val="22"/>
        </w:rPr>
        <w:t>Extend evaluation gradually to additional participants, viewpoints, devices and techniques without treating the present jab case as universal evidence.</w:t>
      </w:r>
    </w:p>
    <w:p w14:paraId="3B0C4426">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5.4 Future Research Vision</w:t>
      </w:r>
    </w:p>
    <w:p w14:paraId="55BDD468">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longer-term vision is a progressively richer computational model of martial-arts perception, anticipation, tactical choice, adaptation and personalized learning. Future sensor fusion could investigate movement efficiency through objective kinematics, force, impulse, muscle activation and physiological cost while preserving balance, recovery and practical effectiveness. Such work must compare defined technique variants under controlled conditions rather than declaring traditional movement inefficient from camera observations alone.</w:t>
      </w:r>
    </w:p>
    <w:p w14:paraId="4B47FE9E">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A future local or domain-specific language model may improve explanation flexibility, but it should remain downstream of verified movement evidence and deterministic safety constraints. The principal research opportunity is not to replace every rule with a generative model; it is to learn which combination of perception, prediction, expert knowledge, uncertainty and memory produces reliable, interpretable coaching decisions.</w:t>
      </w:r>
    </w:p>
    <w:p w14:paraId="1A538545">
      <w:pPr>
        <w:pageBreakBefore/>
        <w:widowControl/>
      </w:pPr>
      <w:r/>
    </w:p>
    <w:p w14:paraId="662AF02D">
      <w:pPr>
        <w:pStyle w:val="Heading1"/>
        <w:keepNext/>
        <w:widowControl/>
        <w:spacing w:before="0" w:after="360"/>
        <w:jc w:val="center"/>
      </w:pPr>
      <w:r>
        <w:rPr>
          <w:rFonts w:ascii="Times New Roman" w:hAnsi="Times New Roman" w:eastAsia="ＭＳ ゴシック" w:cs="Times New Roman" w:eastAsiaTheme="majorEastAsia"/>
          <w:b/>
          <w:bCs/>
          <w:color w:val="000000"/>
          <w:sz w:val="28"/>
          <w:szCs w:val="28"/>
        </w:rPr>
        <w:t>REFERENCES</w:t>
      </w:r>
    </w:p>
    <w:p w14:paraId="5FF12646">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Bazarevsky et al. (2020) 'BlazePose: On-device Real-time Body Pose Tracking', arXiv preprint. 10.48550/arXiv.2006.10204</w:t>
      </w:r>
    </w:p>
    <w:p w14:paraId="76197D06">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Grishchenko et al. (2022) 'BlazePose GHUM Holistic: Real-time 3D Human Landmarks and Pose Estimation', arXiv preprint. 10.48550/arXiv.2206.11678</w:t>
      </w:r>
    </w:p>
    <w:p w14:paraId="39FCFAB7">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Zhang et al. (2020) 'MediaPipe Hands: On-device Real-time Hand Tracking', arXiv preprint. 10.48550/arXiv.2006.10214</w:t>
      </w:r>
    </w:p>
    <w:p w14:paraId="74F08E64">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Lugaresi et al. (2019) 'MediaPipe: A Framework for Building Perception Pipelines', arXiv preprint. 10.48550/arXiv.1906.08172</w:t>
      </w:r>
    </w:p>
    <w:p w14:paraId="761F8368">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Yan, Xiong &amp; Lin (2018) 'Spatial Temporal Graph Convolutional Networks for Skeleton-Based Action Recognition', AAAI Conference on Artificial Intelligence 32(1). 10.1609/aaai.v32i1.12328</w:t>
      </w:r>
    </w:p>
    <w:p w14:paraId="178947B4">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Shi et al. (2019) 'Two-Stream Adaptive Graph Convolutional Networks for Skeleton-Based Action Recognition', CVPR. https://openaccess.thecvf.com/content_CVPR_2019/html/Shi_Two-Stream_Adaptive_Graph_Convolutional_Networks_for_Skeleton-Based_Action_Recognition_CVPR_2019_paper.html</w:t>
      </w:r>
    </w:p>
    <w:p w14:paraId="1394F8FA">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Chen et al. (2021) 'Multi-Scale Spatial Temporal Graph Convolutional Network for Skeleton-Based Action Recognition', AAAI Conference on Artificial Intelligence 35(2). 10.1609/aaai.v35i2.16197</w:t>
      </w:r>
    </w:p>
    <w:p w14:paraId="1505582D">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Martinez, Black &amp; Romero (2017) 'On Human Motion Prediction Using Recurrent Neural Networks', CVPR. https://openaccess.thecvf.com/content_cvpr_2017/html/Martinez_On_Human_Motion_CVPR_2017_paper.html</w:t>
      </w:r>
    </w:p>
    <w:p w14:paraId="34631465">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Mao et al. (2019) 'Learning Trajectory Dependencies for Human Motion Prediction', ICCV. https://openaccess.thecvf.com/content_ICCV_2019/html/Mao_Learning_Trajectory_Dependencies_for_Human_Motion_Prediction_ICCV_2019_paper.html</w:t>
      </w:r>
    </w:p>
    <w:p w14:paraId="3B90A8B6">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Li et al. (2019) 'Actional-Structural Graph Convolutional Networks for Skeleton-Based Action Recognition', CVPR. https://openaccess.thecvf.com/content_CVPR_2019/html/Li_Actional-Structural_Graph_Convolutional_Networks_for_Skeleton-Based_Action_Recognition_CVPR_2019_paper.html</w:t>
      </w:r>
    </w:p>
    <w:p w14:paraId="67ED123F">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Abu Farha &amp; Gall (2019) 'MS-TCN: Multi-Stage Temporal Convolutional Network for Action Segmentation', CVPR. https://openaccess.thecvf.com/content_CVPR_2019/html/Abu_Farha_MS-TCN_Multi-Stage_Temporal_Convolutional_Network_for_Action_Segmentation_CVPR_2019_paper.html</w:t>
      </w:r>
    </w:p>
    <w:p w14:paraId="199139E5">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Yi, Wen &amp; Jiang (2021) 'ASFormer: Transformer for Action Segmentation', BMVC. 10.48550/arXiv.2110.08568</w:t>
      </w:r>
    </w:p>
    <w:p w14:paraId="51C37B3F">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Ionescu et al. (2014) 'Human3.6M: Large Scale Datasets and Predictive Methods for 3D Human Sensing in Natural Environments', IEEE TPAMI 36(7). 10.1109/TPAMI.2013.248</w:t>
      </w:r>
    </w:p>
    <w:p w14:paraId="4E34B553">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Mehta et al. (2017) 'Monocular 3D Human Pose Estimation in the Wild Using Improved CNN Supervision', 3DV. 10.1109/3DV.2017.00064</w:t>
      </w:r>
    </w:p>
    <w:p w14:paraId="29C05964">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von Marcard et al. (2018) 'Recovering Accurate 3D Human Pose in the Wild Using IMUs and a Moving Camera', ECCV. https://openaccess.thecvf.com/content_ECCV_2018/html/Timo_von_Marcard_Recovering_Accurate_3D_ECCV_2018_paper.html</w:t>
      </w:r>
    </w:p>
    <w:p w14:paraId="2141F784">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Wehrbein et al. (2021) 'Probabilistic Monocular 3D Human Pose Estimation With Normalizing Flows', ICCV. https://openaccess.thecvf.com/content/ICCV2021/html/Wehrbein_Probabilistic_Monocular_3D_Human_Pose_Estimation_With_Normalizing_Flows_ICCV_2021_paper.html</w:t>
      </w:r>
    </w:p>
    <w:p w14:paraId="0991DD5B">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Endsley (1995) 'Toward a Theory of Situation Awareness in Dynamic Systems', Human Factors 37(1). 10.1518/001872095779049543</w:t>
      </w:r>
    </w:p>
    <w:p w14:paraId="7810299F">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Hevner et al. (2004) 'Design Science in Information Systems Research', MIS Quarterly 28(1). 10.2307/25148625</w:t>
      </w:r>
    </w:p>
    <w:p w14:paraId="2CDB9162">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Piorkowski, Lees &amp; Barton (2011) 'Single maximal versus combination punch kinematics', Sports Biomechanics 10(1). 10.1080/14763141.2010.547590</w:t>
      </w:r>
    </w:p>
    <w:p w14:paraId="12DE803B">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Lockwood &amp; Tant (1997) 'Mechanical and Electromyographical Analysis of a Boxer's Jab', ISBS Conference Proceedings. https://ojs.ub.uni-konstanz.de/cpa/article/view/3649</w:t>
      </w:r>
    </w:p>
    <w:p w14:paraId="7EB11D4A">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Ald'ily et al. (2023) 'The Kinematic Analysis of the Straight Punch in Two Ways for Amateur Boxing Players in Jordan', SPORT TK-EuroAmerican Journal of Sport Sciences. 10.6018/sportk.517831</w:t>
      </w:r>
    </w:p>
    <w:p w14:paraId="3D9FE15C">
      <w:pPr>
        <w:widowControl/>
        <w:spacing w:after="120" w:line="240" w:lineRule="auto"/>
        <w:ind w:left="432" w:hanging="432"/>
        <w:jc w:val="left"/>
      </w:pPr>
      <w:r>
        <w:rPr>
          <w:rFonts w:ascii="Times New Roman" w:hAnsi="Times New Roman" w:eastAsia="ＭＳ 明朝" w:cs="Times New Roman" w:eastAsiaTheme="minorEastAsia"/>
          <w:color w:val="000000"/>
          <w:sz w:val="20"/>
          <w:szCs w:val="22"/>
        </w:rPr>
        <w:t>Huang et al. (2019) 'STGAT: Modeling Spatial-Temporal Interactions for Human Trajectory Prediction', ICCV. https://openaccess.thecvf.com/content_ICCV_2019/html/Huang_STGAT_Modeling_Spatial-Temporal_Interactions_for_Human_Trajectory_Prediction_ICCV_2019_paper.html</w:t>
      </w:r>
    </w:p>
    <w:p w14:paraId="21109143">
      <w:pPr>
        <w:pageBreakBefore/>
        <w:widowControl/>
      </w:pPr>
      <w:r/>
    </w:p>
    <w:p w14:paraId="563F3615">
      <w:pPr>
        <w:pStyle w:val="Heading1"/>
        <w:keepNext/>
        <w:widowControl/>
        <w:spacing w:before="0" w:after="360"/>
        <w:jc w:val="center"/>
      </w:pPr>
      <w:r>
        <w:rPr>
          <w:rFonts w:ascii="Times New Roman" w:hAnsi="Times New Roman" w:eastAsia="ＭＳ ゴシック" w:cs="Times New Roman" w:eastAsiaTheme="majorEastAsia"/>
          <w:b/>
          <w:bCs/>
          <w:color w:val="000000"/>
          <w:sz w:val="28"/>
          <w:szCs w:val="28"/>
        </w:rPr>
        <w:t>APPENDICES</w:t>
      </w:r>
    </w:p>
    <w:p w14:paraId="14325BC9">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Appendix A1: Architecture and Implementation Evidence</w:t>
      </w:r>
    </w:p>
    <w:p w14:paraId="2B6DDC94">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architecture register records perception, biomechanics, L1-L4, situation-awareness, context, reasoning and analytics components with their code evidence, model/service, implementation status, limitation and future work. The full machine-readable register is retained in the research workspace.</w:t>
      </w:r>
    </w:p>
    <w:p w14:paraId="0325FDE7">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Key control: implemented does not mean empirically validated. Planned components, including an external or local LLM, remain classified separately from operational components.</w:t>
      </w:r>
    </w:p>
    <w:p w14:paraId="55710180">
      <w:pPr>
        <w:spacing w:after="120"/>
        <w:jc w:val="left"/>
      </w:pPr>
      <w:r>
        <w:rPr>
          <w:rFonts w:ascii="Times New Roman" w:hAnsi="Times New Roman" w:eastAsia="ＭＳ 明朝" w:cs="Times New Roman" w:eastAsiaTheme="minorEastAsia" w:csTheme="minorBidi"/>
          <w:b/>
          <w:bCs/>
          <w:color w:val="000000"/>
          <w:sz w:val="24"/>
          <w:szCs w:val="22"/>
        </w:rPr>
        <w:t xml:space="preserve">Supplementary evidence (A1): </w:t>
      </w:r>
      <w:hyperlink r:id="rId11">
        <w:r>
          <w:rPr>
            <w:rFonts w:ascii="Times New Roman" w:hAnsi="Times New Roman" w:eastAsia="ＭＳ 明朝" w:cs="Times New Roman" w:eastAsiaTheme="minorEastAsia" w:csTheme="minorBidi"/>
            <w:color w:val="0563C1"/>
            <w:sz w:val="24"/>
            <w:szCs w:val="22"/>
            <w:u w:val="single"/>
          </w:rPr>
          <w:t>Open Appendix A1 evidence folder on GitHub</w:t>
        </w:r>
      </w:hyperlink>
    </w:p>
    <w:p w14:paraId="42041334">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Appendix A2: ACP-STGAT Reproducibility Record</w:t>
      </w:r>
    </w:p>
    <w:p w14:paraId="3F55FEFE">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Frozen run: 20260731T061529Z. Seeds: 42, 43 and 44. Evaluation: participant-held-out Human3.6M-17, up to 10,000 test windows, 30-frame forecast. Metrics: normalized MPJPE/ADE, FDE and bone-length MAE. Baselines: last pose and constant velocity. Deployment: ONNX parity and CPU model-only latency.</w:t>
      </w:r>
    </w:p>
    <w:p w14:paraId="26FE75AA">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Large checkpoints and binary model files are retained in the local research package and are not embedded in this report.</w:t>
      </w:r>
    </w:p>
    <w:p w14:paraId="3A3F3E02">
      <w:pPr>
        <w:spacing w:after="120"/>
        <w:jc w:val="left"/>
      </w:pPr>
      <w:r>
        <w:rPr>
          <w:rFonts w:ascii="Times New Roman" w:hAnsi="Times New Roman" w:eastAsia="ＭＳ 明朝" w:cs="Times New Roman" w:eastAsiaTheme="minorEastAsia" w:csTheme="minorBidi"/>
          <w:b/>
          <w:bCs/>
          <w:color w:val="000000"/>
          <w:sz w:val="24"/>
          <w:szCs w:val="22"/>
        </w:rPr>
        <w:t xml:space="preserve">Supplementary evidence (A2): </w:t>
      </w:r>
      <w:hyperlink r:id="rId12">
        <w:r>
          <w:rPr>
            <w:rFonts w:ascii="Times New Roman" w:hAnsi="Times New Roman" w:eastAsia="ＭＳ 明朝" w:cs="Times New Roman" w:eastAsiaTheme="minorEastAsia" w:csTheme="minorBidi"/>
            <w:color w:val="0563C1"/>
            <w:sz w:val="24"/>
            <w:szCs w:val="22"/>
            <w:u w:val="single"/>
          </w:rPr>
          <w:t>Open Appendix A2 evidence folder on GitHub</w:t>
        </w:r>
      </w:hyperlink>
    </w:p>
    <w:p w14:paraId="2CFB7C71">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Appendix A3: Phase-Classifier Reproducibility Record</w:t>
      </w:r>
    </w:p>
    <w:p w14:paraId="182BF663">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Frozen run: 20260731T091140Z. Generated bootstrap: 48 sessions (24 jab and 24 front kick). Seeds: 42, 43 and 44. Reported evidence includes classification, per-phase, boundary, repetition, robustness and ONNX deployment measures.</w:t>
      </w:r>
    </w:p>
    <w:p w14:paraId="55C61CCA">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generated-data status is mandatory. No appendix item converts these values into real-human accuracy.</w:t>
      </w:r>
    </w:p>
    <w:p w14:paraId="06CD9743">
      <w:pPr>
        <w:spacing w:after="120"/>
        <w:jc w:val="left"/>
      </w:pPr>
      <w:r>
        <w:rPr>
          <w:rFonts w:ascii="Times New Roman" w:hAnsi="Times New Roman" w:eastAsia="ＭＳ 明朝" w:cs="Times New Roman" w:eastAsiaTheme="minorEastAsia" w:csTheme="minorBidi"/>
          <w:b/>
          <w:bCs/>
          <w:color w:val="000000"/>
          <w:sz w:val="24"/>
          <w:szCs w:val="22"/>
        </w:rPr>
        <w:t xml:space="preserve">Supplementary evidence (A3): </w:t>
      </w:r>
      <w:hyperlink r:id="rId13">
        <w:r>
          <w:rPr>
            <w:rFonts w:ascii="Times New Roman" w:hAnsi="Times New Roman" w:eastAsia="ＭＳ 明朝" w:cs="Times New Roman" w:eastAsiaTheme="minorEastAsia" w:csTheme="minorBidi"/>
            <w:color w:val="0563C1"/>
            <w:sz w:val="24"/>
            <w:szCs w:val="22"/>
            <w:u w:val="single"/>
          </w:rPr>
          <w:t>Open Appendix A3 evidence folder on GitHub</w:t>
        </w:r>
      </w:hyperlink>
    </w:p>
    <w:p w14:paraId="6FDA4BDD">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Appendix A4: System Interface and Functional Evidence</w:t>
      </w:r>
    </w:p>
    <w:p w14:paraId="52CC41E2">
      <w:pPr>
        <w:widowControl/>
        <w:spacing w:before="0" w:after="120" w:line="360" w:lineRule="auto"/>
        <w:ind w:firstLine="432"/>
        <w:jc w:val="both"/>
      </w:pPr>
      <w:r>
        <w:rPr>
          <w:rFonts w:ascii="Times New Roman" w:hAnsi="Times New Roman" w:eastAsia="ＭＳ 明朝" w:cs="Times New Roman" w:eastAsiaTheme="minorEastAsia" w:csTheme="minorBidi"/>
          <w:sz w:val="24"/>
          <w:szCs w:val="22"/>
        </w:rPr>
        <w:t>The publication-ready supplementary appendix contains 51 distinct, account-name-masked screenshots retained after review of all 78 supplied images. They document visible controls, state transitions and diagnostic outputs in the P001 jab-only laptop-camera case. They are observational implementation evidence, not independent measurements of accuracy, effectiveness, causal reasoning or human-equivalent cognition. To avoid duplicating the same screenshots inside the report, the curated images are provided through the repository link below.</w:t>
      </w:r>
    </w:p>
    <w:p w14:paraId="631F1AEE">
      <w:pPr>
        <w:spacing w:after="120"/>
        <w:jc w:val="left"/>
      </w:pPr>
      <w:r>
        <w:rPr>
          <w:rFonts w:ascii="Times New Roman" w:hAnsi="Times New Roman" w:eastAsia="ＭＳ 明朝" w:cs="Times New Roman" w:eastAsiaTheme="minorEastAsia" w:csTheme="minorBidi"/>
          <w:b/>
          <w:bCs/>
          <w:color w:val="000000"/>
          <w:sz w:val="24"/>
          <w:szCs w:val="22"/>
        </w:rPr>
        <w:t xml:space="preserve">Supplementary evidence (A4): </w:t>
      </w:r>
      <w:hyperlink r:id="rId19">
        <w:r>
          <w:rPr>
            <w:rFonts w:ascii="Times New Roman" w:hAnsi="Times New Roman" w:eastAsia="ＭＳ 明朝" w:cs="Times New Roman" w:eastAsiaTheme="minorEastAsia" w:csTheme="minorBidi"/>
            <w:color w:val="0563C1"/>
            <w:sz w:val="24"/>
            <w:szCs w:val="22"/>
            <w:u w:val="single"/>
          </w:rPr>
          <w:t>Open Appendix A4 evidence folder on GitHub</w:t>
        </w:r>
      </w:hyperlink>
    </w:p>
    <w:p w14:paraId="2B7918E9">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Appendix A5: P001 Protocol and Curated Evidence</w:t>
      </w:r>
    </w:p>
    <w:p w14:paraId="5824D06E">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P001 is the researcher/developer/martial-arts expert. The case uses a jab and laptop camera. The selected practice-42 record is the confirmed latest/good case. Anonymized representative screenshots are included where they provide distinct functional evidence. Original recordings and repetitive or unnecessary screenshots are excluded.</w:t>
      </w:r>
    </w:p>
    <w:p w14:paraId="5C38C1FF">
      <w:pPr>
        <w:spacing w:after="120"/>
        <w:jc w:val="left"/>
      </w:pPr>
      <w:r>
        <w:rPr>
          <w:rFonts w:ascii="Times New Roman" w:hAnsi="Times New Roman" w:eastAsia="ＭＳ 明朝" w:cs="Times New Roman" w:eastAsiaTheme="minorEastAsia" w:csTheme="minorBidi"/>
          <w:b/>
          <w:bCs/>
          <w:color w:val="000000"/>
          <w:sz w:val="24"/>
          <w:szCs w:val="22"/>
        </w:rPr>
        <w:t xml:space="preserve">Supplementary evidence (A5): </w:t>
      </w:r>
      <w:hyperlink r:id="rId15">
        <w:r>
          <w:rPr>
            <w:rFonts w:ascii="Times New Roman" w:hAnsi="Times New Roman" w:eastAsia="ＭＳ 明朝" w:cs="Times New Roman" w:eastAsiaTheme="minorEastAsia" w:csTheme="minorBidi"/>
            <w:color w:val="0563C1"/>
            <w:sz w:val="24"/>
            <w:szCs w:val="22"/>
            <w:u w:val="single"/>
          </w:rPr>
          <w:t>Open Appendix A5 evidence folder on GitHub</w:t>
        </w:r>
      </w:hyperlink>
    </w:p>
    <w:p w14:paraId="305CECE5">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Appendix A6: Software Verification</w:t>
      </w:r>
    </w:p>
    <w:p w14:paraId="50DDB9D3">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final evidence consolidation records 129/129 frontend assertions across 23 test files and 24/24 current backend tests. Verification covers checked code paths and contracts; it does not establish live coaching correctness.</w:t>
      </w:r>
    </w:p>
    <w:p w14:paraId="3210E191">
      <w:pPr>
        <w:spacing w:after="120"/>
        <w:jc w:val="left"/>
      </w:pPr>
      <w:r>
        <w:rPr>
          <w:rFonts w:ascii="Times New Roman" w:hAnsi="Times New Roman" w:eastAsia="ＭＳ 明朝" w:cs="Times New Roman" w:eastAsiaTheme="minorEastAsia" w:csTheme="minorBidi"/>
          <w:b/>
          <w:bCs/>
          <w:color w:val="000000"/>
          <w:sz w:val="24"/>
          <w:szCs w:val="22"/>
        </w:rPr>
        <w:t xml:space="preserve">Supplementary evidence (A6): </w:t>
      </w:r>
      <w:hyperlink r:id="rId14">
        <w:r>
          <w:rPr>
            <w:rFonts w:ascii="Times New Roman" w:hAnsi="Times New Roman" w:eastAsia="ＭＳ 明朝" w:cs="Times New Roman" w:eastAsiaTheme="minorEastAsia" w:csTheme="minorBidi"/>
            <w:color w:val="0563C1"/>
            <w:sz w:val="24"/>
            <w:szCs w:val="22"/>
            <w:u w:val="single"/>
          </w:rPr>
          <w:t>Open Appendix A6 evidence folder on GitHub</w:t>
        </w:r>
      </w:hyperlink>
    </w:p>
    <w:p w14:paraId="57310920">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Appendix A7: Database Export and Failure Evidence</w:t>
      </w:r>
    </w:p>
    <w:p w14:paraId="085257CA">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verified export contained 42 practice sessions, 58 recorded repetitions, 22 landmark tapes with 7,277 frames, 185 training sessions, 140 training-step attempts and 3,623 feedback events. These records include development history and are not aggregated into a controlled accuracy result.</w:t>
      </w:r>
    </w:p>
    <w:p w14:paraId="113F7940">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31.97 MB raw JSON and potentially identifying movement tapes are excluded. The interpretation and practice-42 inconsistency remain part of the audit trail.</w:t>
      </w:r>
    </w:p>
    <w:p w14:paraId="771D02C4">
      <w:pPr>
        <w:spacing w:after="120"/>
        <w:jc w:val="left"/>
      </w:pPr>
      <w:r>
        <w:rPr>
          <w:rFonts w:ascii="Times New Roman" w:hAnsi="Times New Roman" w:eastAsia="ＭＳ 明朝" w:cs="Times New Roman" w:eastAsiaTheme="minorEastAsia" w:csTheme="minorBidi"/>
          <w:b/>
          <w:bCs/>
          <w:color w:val="000000"/>
          <w:sz w:val="24"/>
          <w:szCs w:val="22"/>
        </w:rPr>
        <w:t xml:space="preserve">Supplementary evidence (A7): </w:t>
      </w:r>
      <w:hyperlink r:id="rId16">
        <w:r>
          <w:rPr>
            <w:rFonts w:ascii="Times New Roman" w:hAnsi="Times New Roman" w:eastAsia="ＭＳ 明朝" w:cs="Times New Roman" w:eastAsiaTheme="minorEastAsia" w:csTheme="minorBidi"/>
            <w:color w:val="0563C1"/>
            <w:sz w:val="24"/>
            <w:szCs w:val="22"/>
            <w:u w:val="single"/>
          </w:rPr>
          <w:t>Open Appendix A7 evidence folder on GitHub</w:t>
        </w:r>
      </w:hyperlink>
    </w:p>
    <w:p w14:paraId="26A4F4BB">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Appendix A8: Literature and Claim Audit</w:t>
      </w:r>
    </w:p>
    <w:p w14:paraId="3557F83F">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The verified literature matrix contains 22 sources: 21 included or included with caution and one direct-support exclusion. Thirty-nine page/section-specific extracts connect source propositions, limitations and local evidence requirements.</w:t>
      </w:r>
    </w:p>
    <w:p w14:paraId="2B742BEE">
      <w:pPr>
        <w:spacing w:after="120"/>
        <w:jc w:val="left"/>
      </w:pPr>
      <w:r>
        <w:rPr>
          <w:rFonts w:ascii="Times New Roman" w:hAnsi="Times New Roman" w:eastAsia="ＭＳ 明朝" w:cs="Times New Roman" w:eastAsiaTheme="minorEastAsia" w:csTheme="minorBidi"/>
          <w:b/>
          <w:bCs/>
          <w:color w:val="000000"/>
          <w:sz w:val="24"/>
          <w:szCs w:val="22"/>
        </w:rPr>
        <w:t xml:space="preserve">Supplementary evidence (A8): </w:t>
      </w:r>
      <w:hyperlink r:id="rId17">
        <w:r>
          <w:rPr>
            <w:rFonts w:ascii="Times New Roman" w:hAnsi="Times New Roman" w:eastAsia="ＭＳ 明朝" w:cs="Times New Roman" w:eastAsiaTheme="minorEastAsia" w:csTheme="minorBidi"/>
            <w:color w:val="0563C1"/>
            <w:sz w:val="24"/>
            <w:szCs w:val="22"/>
            <w:u w:val="single"/>
          </w:rPr>
          <w:t>Open Appendix A8 evidence folder on GitHub</w:t>
        </w:r>
      </w:hyperlink>
    </w:p>
    <w:p w14:paraId="0D216504">
      <w:pPr>
        <w:pStyle w:val="Heading2"/>
        <w:keepNext/>
        <w:widowControl/>
        <w:spacing w:before="200" w:after="120"/>
        <w:jc w:val="left"/>
      </w:pPr>
      <w:r>
        <w:rPr>
          <w:rFonts w:ascii="Times New Roman" w:hAnsi="Times New Roman" w:eastAsia="ＭＳ ゴシック" w:cs="Times New Roman" w:eastAsiaTheme="majorEastAsia"/>
          <w:b/>
          <w:bCs/>
          <w:color w:val="000000"/>
          <w:sz w:val="24"/>
          <w:szCs w:val="26"/>
        </w:rPr>
        <w:t>Appendix A9: Evaluation Actions and Evidence Locks</w:t>
      </w:r>
    </w:p>
    <w:p w14:paraId="0B691A47">
      <w:pPr>
        <w:widowControl/>
        <w:spacing w:before="0" w:after="120" w:line="360" w:lineRule="auto"/>
        <w:ind w:firstLine="432"/>
        <w:jc w:val="both"/>
      </w:pPr>
      <w:r>
        <w:rPr>
          <w:rFonts w:ascii="Times New Roman" w:hAnsi="Times New Roman" w:eastAsia="ＭＳ 明朝" w:cs="Times New Roman" w:eastAsiaTheme="minorEastAsia"/>
          <w:color w:val="000000"/>
          <w:sz w:val="24"/>
          <w:szCs w:val="22"/>
        </w:rPr>
        <w:t>Twelve evaluation actions were audited. Four were closed or complete, and eight remained open but bounded as limitations/future evaluation. No new participant, recording or retrospective score was invented for the present feasibility conclusion.</w:t>
      </w:r>
    </w:p>
    <w:p w14:paraId="7BFED081">
      <w:pPr>
        <w:spacing w:after="120"/>
        <w:jc w:val="left"/>
      </w:pPr>
      <w:r>
        <w:rPr>
          <w:rFonts w:ascii="Times New Roman" w:hAnsi="Times New Roman" w:eastAsia="ＭＳ 明朝" w:cs="Times New Roman" w:eastAsiaTheme="minorEastAsia" w:csTheme="minorBidi"/>
          <w:b/>
          <w:bCs/>
          <w:color w:val="000000"/>
          <w:sz w:val="24"/>
          <w:szCs w:val="22"/>
        </w:rPr>
        <w:t xml:space="preserve">Supplementary evidence (A9): </w:t>
      </w:r>
      <w:hyperlink r:id="rId18">
        <w:r>
          <w:rPr>
            <w:rFonts w:ascii="Times New Roman" w:hAnsi="Times New Roman" w:eastAsia="ＭＳ 明朝" w:cs="Times New Roman" w:eastAsiaTheme="minorEastAsia" w:csTheme="minorBidi"/>
            <w:color w:val="0563C1"/>
            <w:sz w:val="24"/>
            <w:szCs w:val="22"/>
            <w:u w:val="single"/>
          </w:rPr>
          <w:t>Open Appendix A9 evidence folder on GitHub</w:t>
        </w:r>
      </w:hyperlink>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rFonts w:ascii="Times New Roman" w:hAnsi="Times New Roman"/>
        <w:b w:val="0"/>
        <w:i w:val="0"/>
        <w:color w:val="000000"/>
        <w:sz w:val="24"/>
      </w:rPr>
      <w:fldChar w:fldCharType="begin"/>
    </w:r>
    <w:r>
      <w:rPr>
        <w:rFonts w:ascii="Times New Roman" w:hAnsi="Times New Roman"/>
        <w:b w:val="0"/>
        <w:i w:val="0"/>
        <w:color w:val="000000"/>
        <w:sz w:val="24"/>
      </w:rPr>
      <w:instrText>PAGE</w:instrText>
    </w:r>
    <w:r>
      <w:rPr>
        <w:rFonts w:ascii="Times New Roman" w:hAnsi="Times New Roman"/>
        <w:b w:val="0"/>
        <w:i w:val="0"/>
        <w:color w:val="000000"/>
        <w:sz w:val="24"/>
      </w:rPr>
      <w:fldChar w:fldCharType="separate"/>
    </w:r>
    <w:r>
      <w:rPr>
        <w:rFonts w:ascii="Times New Roman" w:hAnsi="Times New Roman"/>
        <w:b w:val="0"/>
        <w:i w:val="0"/>
        <w:color w:val="000000"/>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rFonts w:ascii="Times New Roman" w:hAnsi="Times New Roman"/>
        <w:b w:val="0"/>
        <w:i w:val="0"/>
        <w:color w:val="000000"/>
        <w:sz w:val="24"/>
      </w:rPr>
      <w:fldChar w:fldCharType="begin"/>
    </w:r>
    <w:r>
      <w:rPr>
        <w:rFonts w:ascii="Times New Roman" w:hAnsi="Times New Roman"/>
        <w:b w:val="0"/>
        <w:i w:val="0"/>
        <w:color w:val="000000"/>
        <w:sz w:val="24"/>
      </w:rPr>
      <w:instrText>PAGE</w:instrText>
    </w:r>
    <w:r>
      <w:rPr>
        <w:rFonts w:ascii="Times New Roman" w:hAnsi="Times New Roman"/>
        <w:b w:val="0"/>
        <w:i w:val="0"/>
        <w:color w:val="000000"/>
        <w:sz w:val="24"/>
      </w:rPr>
      <w:fldChar w:fldCharType="separate"/>
    </w:r>
    <w:r>
      <w:rPr>
        <w:rFonts w:ascii="Times New Roman" w:hAnsi="Times New Roman"/>
        <w:b w:val="0"/>
        <w:i w:val="0"/>
        <w:color w:val="00000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11" Type="http://schemas.openxmlformats.org/officeDocument/2006/relationships/hyperlink" Target="https://github.com/SachithBandaraThennakoon/martial-art-ai/tree/main/research/Appendix/A1-Architecture-and-Implementation" TargetMode="External"/><Relationship Id="rId12" Type="http://schemas.openxmlformats.org/officeDocument/2006/relationships/hyperlink" Target="https://github.com/SachithBandaraThennakoon/martial-art-ai/tree/main/research/Appendix/A2-ACP-STGAT-Reproducibility" TargetMode="External"/><Relationship Id="rId13" Type="http://schemas.openxmlformats.org/officeDocument/2006/relationships/hyperlink" Target="https://github.com/SachithBandaraThennakoon/martial-art-ai/tree/main/research/Appendix/A3-Phase-Classifier-Reproducibility" TargetMode="External"/><Relationship Id="rId14" Type="http://schemas.openxmlformats.org/officeDocument/2006/relationships/hyperlink" Target="https://github.com/SachithBandaraThennakoon/martial-art-ai/tree/main/research/Appendix/A6-Software-Verification" TargetMode="External"/><Relationship Id="rId15" Type="http://schemas.openxmlformats.org/officeDocument/2006/relationships/hyperlink" Target="https://github.com/SachithBandaraThennakoon/martial-art-ai/tree/main/research/Appendix/A5-P001-Protocol-and-Curated-Evidence" TargetMode="External"/><Relationship Id="rId16" Type="http://schemas.openxmlformats.org/officeDocument/2006/relationships/hyperlink" Target="https://github.com/SachithBandaraThennakoon/martial-art-ai/tree/main/research/Appendix/A7-Database-Export-and-Failure-Evidence" TargetMode="External"/><Relationship Id="rId17" Type="http://schemas.openxmlformats.org/officeDocument/2006/relationships/hyperlink" Target="https://github.com/SachithBandaraThennakoon/martial-art-ai/tree/main/research/Appendix/A8-Literature-and-Claim-Audit" TargetMode="External"/><Relationship Id="rId18" Type="http://schemas.openxmlformats.org/officeDocument/2006/relationships/hyperlink" Target="https://github.com/SachithBandaraThennakoon/martial-art-ai/tree/main/research/Appendix/A9-Evaluation-Actions-and-Evidence-Locks" TargetMode="External"/><Relationship Id="rId19" Type="http://schemas.openxmlformats.org/officeDocument/2006/relationships/hyperlink" Target="https://github.com/SachithBandaraThennakoon/martial-art-ai/tree/main/research/Appendix/A4-System-Interface-and-Functional-Evidence" TargetMode="External"/><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Combat Cognition: A Hybrid Computational Framework Toward Martial-Artist Cognitive Simulation</dc:title>
  <dc:subject>DS 5299 - Independent Study</dc:subject>
  <dc:creator>I.T.M.S.S.B. Thennakoon</dc:creator>
  <cp:keywords>Combat Cognition, martial arts, pose estimation, temporal reasoning, situation awareness</cp:keywords>
  <dc:description>generated by python-docx</dc:description>
  <cp:lastModifiedBy/>
  <cp:revision>1</cp:revision>
  <dcterms:created xsi:type="dcterms:W3CDTF">2013-12-23T23:15:00Z</dcterms:created>
  <dcterms:modified xsi:type="dcterms:W3CDTF">2026-08-02T12:10:11.639Z</dcterms:modified>
  <cp:category/>
</cp:coreProperties>
</file>