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Государственное бюджетное образовательное учреждение </w:t>
        <w:br w:type="textWrapping"/>
        <w:t xml:space="preserve">«Средняя образовательная школа № 444»</w:t>
        <w:br w:type="textWrapping"/>
        <w:t xml:space="preserve">города Москвы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КЕЙС №2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РЕАЛИЗАЦИЯ ЛАЗЕРНОЙ КОСМИЧЕСКОЙ СВЯЗИ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  <w:br w:type="textWrapping"/>
        <w:t xml:space="preserve">Шумакова Полина Давыдовна, </w:t>
        <w:br w:type="textWrapping"/>
        <w:t xml:space="preserve">Гамаев Павел Антонович, </w:t>
      </w:r>
    </w:p>
    <w:p w:rsidR="00000000" w:rsidDel="00000000" w:rsidP="00000000" w:rsidRDefault="00000000" w:rsidRPr="00000000" w14:paraId="00000015">
      <w:pPr>
        <w:spacing w:after="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Гальперин Тимофей Сергеевич,</w:t>
      </w:r>
    </w:p>
    <w:p w:rsidR="00000000" w:rsidDel="00000000" w:rsidP="00000000" w:rsidRDefault="00000000" w:rsidRPr="00000000" w14:paraId="00000016">
      <w:pPr>
        <w:spacing w:after="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Черкашина Алёна Витальевна,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  <w:br w:type="textWrapping"/>
        <w:t xml:space="preserve">Пашедко Марина Анатольевна, </w:t>
      </w:r>
    </w:p>
    <w:p w:rsidR="00000000" w:rsidDel="00000000" w:rsidP="00000000" w:rsidRDefault="00000000" w:rsidRPr="00000000" w14:paraId="0000001A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физики / Руководитель ассоциации физики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Москва, 2023 г.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Оглавление</w:t>
      </w:r>
    </w:p>
    <w:p w:rsidR="00000000" w:rsidDel="00000000" w:rsidP="00000000" w:rsidRDefault="00000000" w:rsidRPr="00000000" w14:paraId="0000001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Введение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Этапы жизненного цикла проекта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Формулирование проекта</w:t>
            </w:r>
          </w:hyperlink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Планирование</w:t>
            </w:r>
          </w:hyperlink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Исполнение</w:t>
            </w:r>
          </w:hyperlink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Завершение</w:t>
            </w:r>
          </w:hyperlink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Схема деления комплекса и его изделий на СЧ</w:t>
            </w:r>
          </w:hyperlink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Ведомость конструкторских документов</w:t>
            </w:r>
          </w:hyperlink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Пояснительная записка</w:t>
            </w:r>
          </w:hyperlink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1. Введение</w:t>
            </w:r>
          </w:hyperlink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2. Наименование и область применения</w:t>
            </w:r>
          </w:hyperlink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3. Техническая характеристика</w:t>
            </w:r>
          </w:hyperlink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4. </w:t>
            </w:r>
          </w:hyperlink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Описание и обоснование выбранной конструкции</w:t>
            </w:r>
          </w:hyperlink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6 Описание организации работ с применением разрабатываемого изделия</w:t>
            </w:r>
          </w:hyperlink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7 Ожидаемые технико-экономические показатели</w:t>
            </w:r>
          </w:hyperlink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ind w:left="2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8 Уровень стандартизации и унификации</w:t>
            </w:r>
          </w:hyperlink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Выводы</w:t>
            </w:r>
          </w:hyperlink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Приложение А</w:t>
            </w:r>
          </w:hyperlink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Приложение Б</w:t>
            </w:r>
          </w:hyperlink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Приложение В</w:t>
            </w:r>
          </w:hyperlink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Приложение Г</w:t>
            </w:r>
          </w:hyperlink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Приложение Д</w:t>
            </w:r>
          </w:hyperlink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Приложение Е</w:t>
            </w:r>
          </w:hyperlink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6"/>
            </w:tabs>
            <w:spacing w:after="10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Графическая часть</w:t>
            </w:r>
          </w:hyperlink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rPr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современном мире космических технологий, наблюдается растущая популярность малых искусственных спутников, благодаря их экономичности и функциональности. Один из наиболее известных форматов таких спутников - кубсаты. Возникла потребность в улучшении скорости и надежности связи между космическими объектами с развитием технологий в этой сфере. Лазерная связь - новый метод, инновационное решение этой проблемы. В отличие от радиосигналов, узкий и направленный лазерный луч позволяет достичь значительно большей скорости передачи данных с минимальными задержками. Для передачи информации с одного кубсата на другой, лазерный передатчик формирует сигнал, который принимается солнечной панелью второго кубсата. Эта панель преобразует световой лазерный сигнал в электрическую энергию и обеспечивает прием данных. Такой способ передачи информации может быть использован для обмена телеметрией, командами и данными полезных нагрузок между двумя или более кубсатами.</w:t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Этапы жизненного цикла проекта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Формулирование проекта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Планирование работы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Исполнение проекта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Контроль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Завершение</w:t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Формулирование проекта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проблема отсутствия быстрого и надежного способа передачи информации в космическом пространстве без задержек, как в случае с радиосвязью. Таким образом, организация лазерной связи является инновационным решением проблемы, которую мы обозначили ранее. </w:t>
      </w:r>
    </w:p>
    <w:p w:rsidR="00000000" w:rsidDel="00000000" w:rsidP="00000000" w:rsidRDefault="00000000" w:rsidRPr="00000000" w14:paraId="0000004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нашей работы является разработка устройств, способных осуществлять передачу и обмен данных с помощью лазера. Для достижения цели нами будет предоставлена группа из трех устройств, два из которых являются моделями микро-спутников (далее – кубсаты), и наземной станцией. На изображении схемы (рисунок № 1) отражена последовательность работы с информацией, способ ее получения, а также наличие дополнительных модулей</w:t>
      </w:r>
    </w:p>
    <w:p w:rsidR="00000000" w:rsidDel="00000000" w:rsidP="00000000" w:rsidRDefault="00000000" w:rsidRPr="00000000" w14:paraId="00000047">
      <w:pPr>
        <w:ind w:hanging="85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3173" cy="405718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173" cy="4057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hanging="85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№ 1 - Схема последовательность работы</w:t>
      </w:r>
    </w:p>
    <w:p w:rsidR="00000000" w:rsidDel="00000000" w:rsidP="00000000" w:rsidRDefault="00000000" w:rsidRPr="00000000" w14:paraId="0000004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первом кубсате, который получает загруженное сообщение и преобразует его в сигнал лазера, установлен модуль лазерной передачи. На втором кубсате, который получает сигнал фотоэлементом, установленным на нем, также находится радиомодуль, с помощью которого устройство отправляет измененное сообщение на наземную станцию. Третье устройство в системе - наземная станция, она принимает собственным радиомодулем сообщение от второго кубсата и выводит его на экран.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детальном рассмотрении поставленной цели, мы обозначили некоторые ключевые точки («опорные пункты»), при достижении которых проект двигался к конечной точке реализации и решению основной проблемы. 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Подбор необходимых компонентов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кубсатов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программы передачи и приёма информации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Испытания</w:t>
      </w:r>
    </w:p>
    <w:p w:rsidR="00000000" w:rsidDel="00000000" w:rsidP="00000000" w:rsidRDefault="00000000" w:rsidRPr="00000000" w14:paraId="0000004F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Планирование</w:t>
      </w:r>
    </w:p>
    <w:p w:rsidR="00000000" w:rsidDel="00000000" w:rsidP="00000000" w:rsidRDefault="00000000" w:rsidRPr="00000000" w14:paraId="0000005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этап был соотнесен с задачами, которые обозначены в формировании проекта и разделен на подзадачи.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Подготовительный этап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сбор необходимых данных и материалов, налаживание внутренних процессов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Анализ задания, создание общего плана решения, обсуждение основного вектора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Поиск необходимых информационных ресурсов для углубления в затрагиваемые сферы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Выбор всех используемых материалов, средств в ходе проекта, определение финальной концепции, исходя из полученных ранее данных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Расчетный этап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конструирование и сборка механизма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Первичный чертеж конструкции, кубсатов и их наполнения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Уточняющий расчет всех составляющих, проектирование в специализированных программах 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Изготовление/печать/поиск необходимых деталей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Сборка всех деталей вместе на основе чертежа, составленного ранее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Этап создания ПО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программная реализация лазерной космической связи (далее – ЛКС)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Расчет усредненной постоянной составляющей напряжения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Осуществление конвертации сообщения в набор электрических сигналов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Считывание и перевод электрических сигналов обратно в данные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Реализация отправки данных на наземную станцию с помощью радиопередатчика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Внедрение приема данных на наземной станции, используя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радиоприемник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Этап работы с электроникой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программирование плат, соединение всех компонентов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Ввод электроники, как средства взаимодействия между устройствами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Программирование плат, налаживание работы совокупности устройств 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Сопоставление всех компонентов в единый код, создание замкнутой автоматизированной системы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Завершающий этап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проведение всех испытаний и тестов.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демонстрация устройств без включения;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демонстрация устройств после включения;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демонстрация алгоритма работы согласно заданию</w:t>
      </w:r>
    </w:p>
    <w:p w:rsidR="00000000" w:rsidDel="00000000" w:rsidP="00000000" w:rsidRDefault="00000000" w:rsidRPr="00000000" w14:paraId="00000068">
      <w:pPr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работы производились на базе IT-полигона и с использованием материалов ГБОУ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Средняя образовательная школа № 444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города Москвы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Исполнение</w:t>
      </w:r>
    </w:p>
    <w:p w:rsidR="00000000" w:rsidDel="00000000" w:rsidP="00000000" w:rsidRDefault="00000000" w:rsidRPr="00000000" w14:paraId="0000006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№ 2 приведена схема последовательности выполнения работы</w:t>
      </w:r>
    </w:p>
    <w:p w:rsidR="00000000" w:rsidDel="00000000" w:rsidP="00000000" w:rsidRDefault="00000000" w:rsidRPr="00000000" w14:paraId="0000006D">
      <w:pPr>
        <w:ind w:hanging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mc:AlternateContent>
          <mc:Choice Requires="wpg">
            <w:drawing>
              <wp:inline distB="0" distT="0" distL="0" distR="0">
                <wp:extent cx="6337300" cy="26670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77350" y="2446500"/>
                          <a:ext cx="6337300" cy="2667000"/>
                          <a:chOff x="2177350" y="2446500"/>
                          <a:chExt cx="6337300" cy="2667000"/>
                        </a:xfrm>
                      </wpg:grpSpPr>
                      <wpg:grpSp>
                        <wpg:cNvGrpSpPr/>
                        <wpg:grpSpPr>
                          <a:xfrm>
                            <a:off x="2177350" y="2446500"/>
                            <a:ext cx="6337300" cy="2667000"/>
                            <a:chOff x="2177350" y="2446500"/>
                            <a:chExt cx="6337300" cy="26670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2177350" y="2446500"/>
                              <a:ext cx="6337300" cy="266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177350" y="2446500"/>
                              <a:ext cx="6337300" cy="2667000"/>
                              <a:chOff x="0" y="0"/>
                              <a:chExt cx="6337300" cy="266700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6337300" cy="2667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0" y="0"/>
                                <a:ext cx="6337300" cy="2667000"/>
                                <a:chOff x="0" y="0"/>
                                <a:chExt cx="6337300" cy="2667000"/>
                              </a:xfrm>
                            </wpg:grpSpPr>
                            <wps:wsp>
                              <wps:cNvSpPr/>
                              <wps:cNvPr id="8" name="Shape 8"/>
                              <wps:spPr>
                                <a:xfrm>
                                  <a:off x="0" y="0"/>
                                  <a:ext cx="633730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0" y="2603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FCAE9"/>
                                    </a:gs>
                                    <a:gs pos="50000">
                                      <a:srgbClr val="A0C1E4"/>
                                    </a:gs>
                                    <a:gs pos="100000">
                                      <a:srgbClr val="8FB8E4"/>
                                    </a:gs>
                                  </a:gsLst>
                                  <a:lin ang="540000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0" y="2603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Создание 3D модели и электрической схемы</w:t>
                                    </w:r>
                                  </w:p>
                                </w:txbxContent>
                              </wps:txbx>
                              <wps:bodyPr anchorCtr="0" anchor="ctr" bIns="53325" lIns="53325" spcFirstLastPara="1" rIns="53325" wrap="square" tIns="533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 rot="5400000">
                                  <a:off x="3003054" y="461505"/>
                                  <a:ext cx="331190" cy="185422"/>
                                </a:xfrm>
                                <a:prstGeom prst="rightArrow">
                                  <a:avLst>
                                    <a:gd fmla="val 60000" name="adj1"/>
                                    <a:gd fmla="val 50000" name="adj2"/>
                                  </a:avLst>
                                </a:prstGeom>
                                <a:solidFill>
                                  <a:srgbClr val="2E75B5"/>
                                </a:solidFill>
                                <a:ln cap="flat" cmpd="sng" w="9525">
                                  <a:solidFill>
                                    <a:srgbClr val="1F3864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3113022" y="388622"/>
                                  <a:ext cx="111254" cy="2755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>
                                  <a:off x="0" y="728546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FCAE9"/>
                                    </a:gs>
                                    <a:gs pos="50000">
                                      <a:srgbClr val="A0C1E4"/>
                                    </a:gs>
                                    <a:gs pos="100000">
                                      <a:srgbClr val="8FB8E4"/>
                                    </a:gs>
                                  </a:gsLst>
                                  <a:lin ang="540000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0" y="728546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Сборка  составных частей кубсатов</w:t>
                                    </w:r>
                                  </w:p>
                                </w:txbxContent>
                              </wps:txbx>
                              <wps:bodyPr anchorCtr="0" anchor="ctr" bIns="53325" lIns="53325" spcFirstLastPara="1" rIns="53325" wrap="square" tIns="53325">
                                <a:noAutofit/>
                              </wps:bodyPr>
                            </wps:wsp>
                            <wps:wsp>
                              <wps:cNvSpPr/>
                              <wps:cNvPr id="15" name="Shape 15"/>
                              <wps:spPr>
                                <a:xfrm rot="5400000">
                                  <a:off x="3003054" y="1187449"/>
                                  <a:ext cx="331190" cy="185422"/>
                                </a:xfrm>
                                <a:prstGeom prst="rightArrow">
                                  <a:avLst>
                                    <a:gd fmla="val 60000" name="adj1"/>
                                    <a:gd fmla="val 50000" name="adj2"/>
                                  </a:avLst>
                                </a:prstGeom>
                                <a:solidFill>
                                  <a:srgbClr val="2E75B5"/>
                                </a:solidFill>
                                <a:ln cap="flat" cmpd="sng" w="9525">
                                  <a:solidFill>
                                    <a:srgbClr val="1F3864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3113022" y="1114566"/>
                                  <a:ext cx="111254" cy="2755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0" y="1454490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FCAE9"/>
                                    </a:gs>
                                    <a:gs pos="50000">
                                      <a:srgbClr val="A0C1E4"/>
                                    </a:gs>
                                    <a:gs pos="100000">
                                      <a:srgbClr val="8FB8E4"/>
                                    </a:gs>
                                  </a:gsLst>
                                  <a:lin ang="540000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0" y="1454490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Написание программы приема и передачи информации для кубсата  №1 </w:t>
                                    </w:r>
                                  </w:p>
                                </w:txbxContent>
                              </wps:txbx>
                              <wps:bodyPr anchorCtr="0" anchor="ctr" bIns="53325" lIns="53325" spcFirstLastPara="1" rIns="53325" wrap="square" tIns="533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 rot="5400000">
                                  <a:off x="3003054" y="1913392"/>
                                  <a:ext cx="331190" cy="185422"/>
                                </a:xfrm>
                                <a:prstGeom prst="rightArrow">
                                  <a:avLst>
                                    <a:gd fmla="val 60000" name="adj1"/>
                                    <a:gd fmla="val 50000" name="adj2"/>
                                  </a:avLst>
                                </a:prstGeom>
                                <a:solidFill>
                                  <a:srgbClr val="2E75B5"/>
                                </a:solidFill>
                                <a:ln cap="flat" cmpd="sng" w="9525">
                                  <a:solidFill>
                                    <a:srgbClr val="1F3864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3113022" y="1840509"/>
                                  <a:ext cx="111254" cy="2755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21" name="Shape 21"/>
                              <wps:spPr>
                                <a:xfrm>
                                  <a:off x="0" y="2180434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FCAE9"/>
                                    </a:gs>
                                    <a:gs pos="50000">
                                      <a:srgbClr val="A0C1E4"/>
                                    </a:gs>
                                    <a:gs pos="100000">
                                      <a:srgbClr val="8FB8E4"/>
                                    </a:gs>
                                  </a:gsLst>
                                  <a:lin ang="540000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2" name="Shape 22"/>
                              <wps:spPr>
                                <a:xfrm>
                                  <a:off x="0" y="2180434"/>
                                  <a:ext cx="6337299" cy="4839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Написание программы для приема показателя постоянной освещенности для кубсата №2 </w:t>
                                    </w:r>
                                  </w:p>
                                </w:txbxContent>
                              </wps:txbx>
                              <wps:bodyPr anchorCtr="0" anchor="ctr" bIns="53325" lIns="53325" spcFirstLastPara="1" rIns="53325" wrap="square" tIns="533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37300" cy="2667000"/>
                <wp:effectExtent b="0" l="0" r="0" t="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7300" cy="2667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2628900</wp:posOffset>
                </wp:positionV>
                <wp:extent cx="219075" cy="3524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41225" y="3608550"/>
                          <a:ext cx="209550" cy="342900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3A78B0"/>
                        </a:solidFill>
                        <a:ln cap="flat" cmpd="sng" w="9525">
                          <a:solidFill>
                            <a:srgbClr val="17365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2628900</wp:posOffset>
                </wp:positionV>
                <wp:extent cx="219075" cy="352425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spacing w:after="0" w:line="120" w:lineRule="auto"/>
        <w:ind w:hanging="425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hanging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346824" cy="493487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2177351" y="3538019"/>
                          <a:ext cx="6337299" cy="48396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CB3E3"/>
                            </a:gs>
                            <a:gs pos="23000">
                              <a:srgbClr val="8CB3E3">
                                <a:alpha val="98823"/>
                              </a:srgbClr>
                            </a:gs>
                            <a:gs pos="100000">
                              <a:srgbClr val="C5D8F1"/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1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Написание программы для приема показателя постоянной освещенности для кубсата №2</w:t>
                            </w:r>
                          </w:p>
                        </w:txbxContent>
                      </wps:txbx>
                      <wps:bodyPr anchorCtr="0" anchor="ctr" bIns="53325" lIns="53325" spcFirstLastPara="1" rIns="53325" wrap="square" tIns="533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46824" cy="493487"/>
                <wp:effectExtent b="0" l="0" r="0" t="0"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6824" cy="4934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№ 2 - Схема последовательности выполнения работы</w:t>
      </w:r>
    </w:p>
    <w:p w:rsidR="00000000" w:rsidDel="00000000" w:rsidP="00000000" w:rsidRDefault="00000000" w:rsidRPr="00000000" w14:paraId="0000007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3D модели и электрической схемы являлось первым шагом для реализации нашего проекта, так как дальнейшие действия выполнялись на их основе. Далее, были изготовлены необходимые части с учетом правок и их сборка. Проверка работоспособности и соответствие требованиям  послужили знаком для начала разработки программы для двух кубсатов, и дальнейшие тесты.</w:t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Завершение</w:t>
      </w:r>
    </w:p>
    <w:p w:rsidR="00000000" w:rsidDel="00000000" w:rsidP="00000000" w:rsidRDefault="00000000" w:rsidRPr="00000000" w14:paraId="0000007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провели испытания, где различные фразы передавали посредством кубсатов с выводом на компьютере. Испытания прошли успешно, итоги описаны в соответствующем разделе. </w:t>
      </w:r>
    </w:p>
    <w:p w:rsidR="00000000" w:rsidDel="00000000" w:rsidP="00000000" w:rsidRDefault="00000000" w:rsidRPr="00000000" w14:paraId="00000073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Схема деления комплекса и его изделий на СЧ</w:t>
      </w:r>
    </w:p>
    <w:p w:rsidR="00000000" w:rsidDel="00000000" w:rsidP="00000000" w:rsidRDefault="00000000" w:rsidRPr="00000000" w14:paraId="0000007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деления на СЧ представлена в приложении А. Комплекс лазерной космической связи, разработанный командой “444-АК”, представляет из себя систему трех устройств, взаимосвязанных между собой посредством программного кода. Кубсат №1 разделен на две составляющие: корпус и плату Arduino Leonardo. Они соответственно содержат в себе деревянные стенки, пластиковые рельсы и лазерный модуль, подключенный к плате. Кубсат №2 представляет из себя аналогичный первому корпус, плату. Однако к плате подключены другие модули: датчика освещенности и радиомодуль. Третьим устройством является наземная станция. На ней установлена плата, с подсоединенным к ней радиомодулем.</w:t>
      </w:r>
    </w:p>
    <w:p w:rsidR="00000000" w:rsidDel="00000000" w:rsidP="00000000" w:rsidRDefault="00000000" w:rsidRPr="00000000" w14:paraId="00000075">
      <w:pPr>
        <w:pStyle w:val="Heading1"/>
        <w:spacing w:after="12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Ведомость конструкторских документов</w:t>
      </w:r>
    </w:p>
    <w:tbl>
      <w:tblPr>
        <w:tblStyle w:val="Table1"/>
        <w:tblW w:w="92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2445"/>
        <w:gridCol w:w="4125"/>
        <w:gridCol w:w="1875"/>
        <w:tblGridChange w:id="0">
          <w:tblGrid>
            <w:gridCol w:w="795"/>
            <w:gridCol w:w="2445"/>
            <w:gridCol w:w="412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Поз.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Обозначение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Примечания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К1-01-СБ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Кубсат U1. Сборочный чертеж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Стенка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Крышка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К1-04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Рельса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Пояснительная записка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Схема деления на СЧ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Изображение трехмерной модели кубсата U1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Э3 (полная электрическая схема) для кубсата №1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Э3 (полная электрическая схема) для кубсата №2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Э3 (полная электрическая схема) для наземной станции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Программный код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B1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Введение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after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Проект Автоматизированной системы (далее – АС) разработан в соответствии с Техническим заданием (далее – ТЗ) от 02.12.2023 “Реализация лазерной космической связи”. </w:t>
      </w:r>
    </w:p>
    <w:p w:rsidR="00000000" w:rsidDel="00000000" w:rsidP="00000000" w:rsidRDefault="00000000" w:rsidRPr="00000000" w14:paraId="000000B3">
      <w:pPr>
        <w:spacing w:after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В создании принимала участие команда разработчиков “АК-444”</w:t>
      </w:r>
    </w:p>
    <w:p w:rsidR="00000000" w:rsidDel="00000000" w:rsidP="00000000" w:rsidRDefault="00000000" w:rsidRPr="00000000" w14:paraId="000000B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Наименование и область применения</w:t>
      </w:r>
    </w:p>
    <w:p w:rsidR="00000000" w:rsidDel="00000000" w:rsidP="00000000" w:rsidRDefault="00000000" w:rsidRPr="00000000" w14:paraId="000000B5">
      <w:pPr>
        <w:spacing w:after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Наименование проекта - “Комплекс лазерной космической связи”.</w:t>
      </w:r>
    </w:p>
    <w:p w:rsidR="00000000" w:rsidDel="00000000" w:rsidP="00000000" w:rsidRDefault="00000000" w:rsidRPr="00000000" w14:paraId="000000B6">
      <w:pPr>
        <w:spacing w:after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Область применения - информационные технологии. </w:t>
      </w:r>
    </w:p>
    <w:p w:rsidR="00000000" w:rsidDel="00000000" w:rsidP="00000000" w:rsidRDefault="00000000" w:rsidRPr="00000000" w14:paraId="000000B7">
      <w:pPr>
        <w:spacing w:after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Целью автоматизированной системы является формирование рабочей среды в космическом пространстве. Назначение - передача информации на дальние расстояния с высокой точностью и минимальной задержкой.</w:t>
      </w:r>
    </w:p>
    <w:p w:rsidR="00000000" w:rsidDel="00000000" w:rsidP="00000000" w:rsidRDefault="00000000" w:rsidRPr="00000000" w14:paraId="000000B8">
      <w:pPr>
        <w:spacing w:after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Подтверждением соответствия проектных решений действующим нормам и правилам техники безопасности, пожаро- и взрывобезопасности является ведение разработок в соответствии с общими принципами ФЗ №123 “Технический регламент о требованиях пожарной безопасности”, а также использование сертифицированных материалов.</w:t>
      </w:r>
    </w:p>
    <w:p w:rsidR="00000000" w:rsidDel="00000000" w:rsidP="00000000" w:rsidRDefault="00000000" w:rsidRPr="00000000" w14:paraId="000000B9">
      <w:pPr>
        <w:spacing w:after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 При проектировании применялись нормативно-технические документы для МКА формата CubeSat: “CubeSat Design Specification (1U – 12U) REV 14.1 CP-CDS-R14.1”.</w:t>
      </w:r>
    </w:p>
    <w:p w:rsidR="00000000" w:rsidDel="00000000" w:rsidP="00000000" w:rsidRDefault="00000000" w:rsidRPr="00000000" w14:paraId="000000BA">
      <w:pPr>
        <w:spacing w:after="120" w:lineRule="auto"/>
        <w:jc w:val="both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 Использовалась модель МКА формата CubeSat, стандарт которой был создан на базе Калифорнийского Политехнического университета и Стэнфордского университета. В разработке участвовали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Хорди Пуиг-Суари и  Боб Твиггс.</w:t>
      </w:r>
    </w:p>
    <w:p w:rsidR="00000000" w:rsidDel="00000000" w:rsidP="00000000" w:rsidRDefault="00000000" w:rsidRPr="00000000" w14:paraId="000000BB">
      <w:pPr>
        <w:pStyle w:val="Heading2"/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highlight w:val="white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highlight w:val="white"/>
          <w:rtl w:val="0"/>
        </w:rPr>
        <w:t xml:space="preserve">3. Техническая характеристика</w:t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3.1 Основные технические показатели и их значения приведены в таблице </w:t>
        <w:br w:type="textWrapping"/>
        <w:t xml:space="preserve">№ 3.1 </w:t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Таблица № 3.1 - Основные технические характеристики</w:t>
      </w:r>
    </w:p>
    <w:tbl>
      <w:tblPr>
        <w:tblStyle w:val="Table2"/>
        <w:tblW w:w="935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"/>
        <w:gridCol w:w="2339"/>
        <w:gridCol w:w="2339"/>
        <w:gridCol w:w="2339"/>
        <w:tblGridChange w:id="0">
          <w:tblGrid>
            <w:gridCol w:w="2339"/>
            <w:gridCol w:w="2339"/>
            <w:gridCol w:w="2339"/>
            <w:gridCol w:w="233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8"/>
                <w:szCs w:val="28"/>
                <w:highlight w:val="white"/>
                <w:rtl w:val="0"/>
              </w:rPr>
              <w:t xml:space="preserve">Основные технические характеристики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8"/>
                <w:szCs w:val="28"/>
                <w:highlight w:val="white"/>
                <w:rtl w:val="0"/>
              </w:rPr>
              <w:t xml:space="preserve">Кубсат №1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8"/>
                <w:szCs w:val="28"/>
                <w:highlight w:val="white"/>
                <w:rtl w:val="0"/>
              </w:rPr>
              <w:t xml:space="preserve">Кубсат №2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8"/>
                <w:szCs w:val="28"/>
                <w:highlight w:val="white"/>
                <w:rtl w:val="0"/>
              </w:rPr>
              <w:t xml:space="preserve">Наземная станция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Мощность, Вт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175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325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КПД, 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до 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до 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до 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Объем, м3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0,001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0,001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Масса, кг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0,434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0,441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highlight w:val="white"/>
                <w:rtl w:val="0"/>
              </w:rPr>
              <w:t xml:space="preserve">0,052</w:t>
            </w:r>
          </w:p>
        </w:tc>
      </w:tr>
    </w:tbl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3.2 Разработка изделия выполнена в соответствии с требованиями, установленными в ТЗ. Предыдущие стадии разработки не проводились.</w:t>
      </w:r>
    </w:p>
    <w:p w:rsidR="00000000" w:rsidDel="00000000" w:rsidP="00000000" w:rsidRDefault="00000000" w:rsidRPr="00000000" w14:paraId="000000D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и обоснование выбранной конструкции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 АС представляет из себя три устройства: наземная станция, два кубсата формата 1U. Кубсат состоит из деревянных стенок, деревянных крышек, соединенных между собой рельсами из полимера. В кубсате №1 располагается микроконтроллер Arduino Leonardo и лазерный модуль 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RKP-LD-I650A03.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кубсате №2 располагается микроконтроллер Arduino Leonardo, фотоэлемент 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LM393 и радиомодуль nRF24L01.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Наземная станция представляет из себя микроконтроллер Arduino Leonardo и 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радиомодуль nRF24L01.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 Для разработки устройства использовались определенные методы, использованные в различных частях проекта.</w:t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Программные инструменты: 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IDE - ПО, необходимое для работы с платами Arduino и их программирования. Использовалось по причине наивысшей совместимости с выбранным оборудованием.</w:t>
      </w:r>
    </w:p>
    <w:p w:rsidR="00000000" w:rsidDel="00000000" w:rsidP="00000000" w:rsidRDefault="00000000" w:rsidRPr="00000000" w14:paraId="000000D8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RF24 - Библиотека для Arduino IDE. Необходима для работы с радиомодулем. Использовалась по причине наилучшей совместимости и практичности работы.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KiCad - ПО, необходимое для работы с электрическими схемами. Использовалось по причине кроссплатформенности, следствием чего является ускорение разработки, и широкой библиотеки с открытым кодом.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Autodesk Inventor Professional 2023 - ПО, необходимое для 3D моделирования. Использовалось по причине наличия PRO-версии с расширенным функционалом.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Autodesk AutoCAD 2020 - ПО, необходимое для 2D моделирования. Использовалось по причине наличия навыков работы в нем у участников команды и наличие PRO-версии.</w:t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Конструкционные решения: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Материал стенок - Фанера 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ГОСТ 3916.1-2018 6мм. Использовалась по причине высокой прочности, маленькой массе, возможности изготавливать материалы с высокой точностью по заданным параметрам на лазерном станке.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Материал рельс - Полимер. Использовался по причине высокой прочности, маленькой массе, возможности изготавливать материалы с высокой точностью заданным параметрам на 3D принтере.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Шиповое соединение рельс и стенок. Использовалось по причине высокой каркасной прочности за счет увеличенной площади соприкосновения деталей. 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Материал проклеивания соединения - Этиленвинилацетат. Использовался по причине наличия устройства для работы с материалом, быстрым временем затвердевания, низкая температура плавления.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Проклеивание соединений. Использовалось для дополнительной прочности конструкции по причине высокой экономической эффективности.</w:t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Электротехнические решения: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Плата Arduino Leonardo - микроконтроллер. Использовалась по причине высокой совместимости с необходимыми в ТЗ модулями, компактности и наличия отдельных пинов SCK, MISO, MOSI, необходимых для корректной работы радиомодуля. 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nRF24L01 - радиомодуль. Использовался по причине рекомендации в ТЗ, высокой экономической эффективности. </w:t>
      </w:r>
    </w:p>
    <w:p w:rsidR="00000000" w:rsidDel="00000000" w:rsidP="00000000" w:rsidRDefault="00000000" w:rsidRPr="00000000" w14:paraId="000000E5">
      <w:pPr>
        <w:numPr>
          <w:ilvl w:val="0"/>
          <w:numId w:val="8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RKP-LD-I650A03 - лазерный модуль. Использовался по причине сильного светового луча, отсутствия потерь в яркости света на средних расстояниях.  </w:t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LM393 - фотоэлемент. Использовался по причине высокой точности определения показателя освещенности, высокой экономической эффективности и компактности.</w:t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VEX 7,2 Robot Battery NiMH 2000mAh - аккумулятор для питания кубсата №1 и кубсата №2. Использовался по причине компактности, большой емкости.</w:t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4.3 При проработке вариантов выполнения рельсов проводилось определение конфигурации и размеров пазов, а также подборка материала для обеспечения надежного и стабильного соединения.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color w:val="040c2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4.4 Изделие соответствует требованиям техники безопасности, производственной санитарии и не оказывает негативного воздействия на окружающую среду. При эксплуатации необходимо соблюдать основные правила работы с электроприборами и лазерными модулями. </w:t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40c28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Расчеты, подтверждающие работоспособность и надежность конструкции</w:t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 Расчеты, подтверждающие работоспособность и надежность конструкции, не выполнялись, так как проводился подбор с помощью экспериментального метода. </w:t>
      </w:r>
    </w:p>
    <w:p w:rsidR="00000000" w:rsidDel="00000000" w:rsidP="00000000" w:rsidRDefault="00000000" w:rsidRPr="00000000" w14:paraId="000000EC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 Описание организации работ с применением разрабатываемого изделия</w:t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6.1 Работа изделия соответствует режимам и условиям, которые приведены в ТЗ, а именно:</w:t>
      </w:r>
    </w:p>
    <w:p w:rsidR="00000000" w:rsidDel="00000000" w:rsidP="00000000" w:rsidRDefault="00000000" w:rsidRPr="00000000" w14:paraId="000000E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Лазер передает импульсы на солнечную панель. Солнечная панель преобразует световые импульсы обратно в электрические сигналы. Эти сигналы имеют постоянную составляющую напряжения (из-за освещенности от окружающего света) и переменную составляющую (из-за света лазера). Кубсат №2 принимает сигнал на солнечную панель и с помощью микроконтроллера (исполнительного устройства) преобразует его обратно в данные. Данные обрабатываются с помощью программы, загруженной в микроконтроллер платы (исполнительного устройства). Для фильтрации сигнала от постоянной составляющей напряжения необходимо получать усредненное значение постоянной составляющей сигнала. Это значение вычитается из исходного сигнала, получая чистый информационный сигнал. Принимающий кубсат №2 имеет возможность обновления значения смещения напряжения (постоянной составляющей сигнала) при получении служебной команды с наземной станции для коррекции значения среднего уровня освещенности панели при изменении положения спутника. На заключительном этапе принимающий кубсат №2 передаёт полученные обработанные данные с помощью радиомодуля на наземную станцию, которая впоследствии выводит данные в последовательный порт.</w:t>
      </w:r>
    </w:p>
    <w:p w:rsidR="00000000" w:rsidDel="00000000" w:rsidP="00000000" w:rsidRDefault="00000000" w:rsidRPr="00000000" w14:paraId="000000E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6.2 В период эксплуатации для удобства обслуживания в кубсатах предусмотрены съемные крышки для возможности проведения оперативного ремонта. Все составляющие части электрического оборудования широко распространены, легко взаимозаменяемы. </w:t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6.3 Для эксплуатации высококвалифицированный персонал не требуется, достаточно Оператора ПК для обработки получаемой информации.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6.4 Для увязки всех частей и корректной работы были написаны программы для каждой составляющей, которые представлены в Приложении E.</w:t>
      </w:r>
    </w:p>
    <w:p w:rsidR="00000000" w:rsidDel="00000000" w:rsidP="00000000" w:rsidRDefault="00000000" w:rsidRPr="00000000" w14:paraId="000000F2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7 Ожидаемые технико-экономические показатели</w:t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7.1 Основные технико-экономические показатели приведены в таблице № 7.1.</w:t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№ 7.1 - Основные технико-экономические показатели</w:t>
      </w:r>
    </w:p>
    <w:tbl>
      <w:tblPr>
        <w:tblStyle w:val="Table3"/>
        <w:tblpPr w:leftFromText="180" w:rightFromText="180" w:topFromText="180" w:bottomFromText="180" w:vertAnchor="text" w:horzAnchor="text" w:tblpX="-140" w:tblpY="368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190"/>
        <w:gridCol w:w="1703"/>
        <w:gridCol w:w="2647"/>
        <w:tblGridChange w:id="0">
          <w:tblGrid>
            <w:gridCol w:w="2760"/>
            <w:gridCol w:w="2190"/>
            <w:gridCol w:w="1703"/>
            <w:gridCol w:w="2647"/>
          </w:tblGrid>
        </w:tblGridChange>
      </w:tblGrid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Цена за шт., Руб.</w:t>
            </w:r>
          </w:p>
        </w:tc>
        <w:tc>
          <w:tcPr/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Количество</w:t>
            </w:r>
          </w:p>
        </w:tc>
        <w:tc>
          <w:tcPr/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Суммарная цена, Руб.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Arduino Leonardo</w:t>
            </w:r>
          </w:p>
        </w:tc>
        <w:tc>
          <w:tcPr/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790</w:t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2 370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nRF24L01</w:t>
            </w:r>
          </w:p>
        </w:tc>
        <w:tc>
          <w:tcPr/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RKP-LD-I650A03</w:t>
            </w:r>
          </w:p>
        </w:tc>
        <w:tc>
          <w:tcPr/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210</w:t>
            </w:r>
          </w:p>
        </w:tc>
        <w:tc>
          <w:tcPr/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210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LM393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210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210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Лазерная резка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 (за 1 м)</w:t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165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Фанера 6мм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440</w:t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440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Печать 3D моделей</w:t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4 000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Клей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Провод</w:t>
            </w:r>
          </w:p>
        </w:tc>
        <w:tc>
          <w:tcPr/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1уп (25 шт)</w:t>
            </w:r>
          </w:p>
        </w:tc>
        <w:tc>
          <w:tcPr/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Аккумулятор</w:t>
            </w:r>
          </w:p>
        </w:tc>
        <w:tc>
          <w:tcPr/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2 450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4 900</w:t>
            </w:r>
          </w:p>
        </w:tc>
      </w:tr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</w:t>
            </w:r>
          </w:p>
        </w:tc>
        <w:tc>
          <w:tcPr/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12 924</w:t>
            </w:r>
          </w:p>
        </w:tc>
      </w:tr>
    </w:tbl>
    <w:p w:rsidR="00000000" w:rsidDel="00000000" w:rsidP="00000000" w:rsidRDefault="00000000" w:rsidRPr="00000000" w14:paraId="0000012A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8 Уровень стандартизации и унификации</w:t>
      </w:r>
    </w:p>
    <w:p w:rsidR="00000000" w:rsidDel="00000000" w:rsidP="00000000" w:rsidRDefault="00000000" w:rsidRPr="00000000" w14:paraId="0000012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8.1 Стандартные, унифицированные и заимствованные сборочные единицы и детали не применялись. </w:t>
      </w:r>
    </w:p>
    <w:p w:rsidR="00000000" w:rsidDel="00000000" w:rsidP="00000000" w:rsidRDefault="00000000" w:rsidRPr="00000000" w14:paraId="0000012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8.2 Разработка межгосударственных и национальных стандартов не требуется.</w:t>
      </w:r>
    </w:p>
    <w:p w:rsidR="00000000" w:rsidDel="00000000" w:rsidP="00000000" w:rsidRDefault="00000000" w:rsidRPr="00000000" w14:paraId="0000012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были получены три независимых устройства, образующие комплекс лазерной космической связи с соответствующим для корректной работы программным обеспечением. 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Собранная конструкция отвечает требованиям, представленным в ТЗ</w:t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Полученная АС прошла тестирование в соответствии с предложенным регламентом испытаний </w:t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создан репозиторий со всеми необходимыми приложениями в исходных форматах. </w:t>
      </w:r>
    </w:p>
    <w:p w:rsidR="00000000" w:rsidDel="00000000" w:rsidP="00000000" w:rsidRDefault="00000000" w:rsidRPr="00000000" w14:paraId="0000013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репозиторий: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https://rutube.ru/video/private/9d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Демонстрация работы и включенного состояния</w:t>
      </w:r>
    </w:p>
    <w:p w:rsidR="00000000" w:rsidDel="00000000" w:rsidP="00000000" w:rsidRDefault="00000000" w:rsidRPr="00000000" w14:paraId="0000013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12" w:type="default"/>
          <w:footerReference r:id="rId13" w:type="default"/>
          <w:footerReference r:id="rId14" w:type="first"/>
          <w:pgSz w:h="16838" w:w="11906" w:orient="portrait"/>
          <w:pgMar w:bottom="1134" w:top="709" w:left="1700" w:right="850" w:header="708" w:footer="708"/>
          <w:pgNumType w:start="1"/>
          <w:titlePg w:val="1"/>
        </w:sectPr>
      </w:pPr>
      <w:bookmarkStart w:colFirst="0" w:colLast="0" w:name="_z337ya" w:id="18"/>
      <w:bookmarkEnd w:id="18"/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https://rutube.ru/video/private/73edffc00af344fc0f592ebdb42f254a/?p=id0tZX96CZeqv0z4Z0ITxw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Демонстрация выключенного состояния кубсата</w:t>
      </w:r>
    </w:p>
    <w:p w:rsidR="00000000" w:rsidDel="00000000" w:rsidP="00000000" w:rsidRDefault="00000000" w:rsidRPr="00000000" w14:paraId="00000136">
      <w:pPr>
        <w:pStyle w:val="Heading1"/>
        <w:spacing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137">
      <w:pPr>
        <w:pStyle w:val="Heading1"/>
        <w:spacing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(обязательное)</w:t>
      </w:r>
    </w:p>
    <w:p w:rsidR="00000000" w:rsidDel="00000000" w:rsidP="00000000" w:rsidRDefault="00000000" w:rsidRPr="00000000" w14:paraId="00000138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Схема деления комплекса</w:t>
      </w:r>
    </w:p>
    <w:p w:rsidR="00000000" w:rsidDel="00000000" w:rsidP="00000000" w:rsidRDefault="00000000" w:rsidRPr="00000000" w14:paraId="00000139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1906" w:w="16838" w:orient="landscape"/>
          <w:pgMar w:bottom="1134" w:top="1134" w:left="1700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418963" cy="492840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8963" cy="4928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 Б</w:t>
      </w:r>
    </w:p>
    <w:p w:rsidR="00000000" w:rsidDel="00000000" w:rsidP="00000000" w:rsidRDefault="00000000" w:rsidRPr="00000000" w14:paraId="0000013B">
      <w:pPr>
        <w:pStyle w:val="Heading1"/>
        <w:spacing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(обязательное)</w:t>
      </w:r>
    </w:p>
    <w:p w:rsidR="00000000" w:rsidDel="00000000" w:rsidP="00000000" w:rsidRDefault="00000000" w:rsidRPr="00000000" w14:paraId="0000013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Изображение трехмерной модели кубсата U1</w:t>
      </w:r>
    </w:p>
    <w:p w:rsidR="00000000" w:rsidDel="00000000" w:rsidP="00000000" w:rsidRDefault="00000000" w:rsidRPr="00000000" w14:paraId="0000013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1701" cy="528622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701" cy="5286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 В</w:t>
      </w:r>
    </w:p>
    <w:p w:rsidR="00000000" w:rsidDel="00000000" w:rsidP="00000000" w:rsidRDefault="00000000" w:rsidRPr="00000000" w14:paraId="0000014D">
      <w:pPr>
        <w:pStyle w:val="Heading1"/>
        <w:spacing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whwml4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(обязательное)</w:t>
      </w:r>
    </w:p>
    <w:p w:rsidR="00000000" w:rsidDel="00000000" w:rsidP="00000000" w:rsidRDefault="00000000" w:rsidRPr="00000000" w14:paraId="0000014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Э3 (электрическая схема) для кубсата №1</w:t>
      </w:r>
    </w:p>
    <w:p w:rsidR="00000000" w:rsidDel="00000000" w:rsidP="00000000" w:rsidRDefault="00000000" w:rsidRPr="00000000" w14:paraId="00000150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96156" cy="735641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156" cy="735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 Г</w:t>
      </w:r>
    </w:p>
    <w:p w:rsidR="00000000" w:rsidDel="00000000" w:rsidP="00000000" w:rsidRDefault="00000000" w:rsidRPr="00000000" w14:paraId="00000156">
      <w:pPr>
        <w:pStyle w:val="Heading1"/>
        <w:spacing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(обязательное)</w:t>
      </w:r>
    </w:p>
    <w:p w:rsidR="00000000" w:rsidDel="00000000" w:rsidP="00000000" w:rsidRDefault="00000000" w:rsidRPr="00000000" w14:paraId="00000157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Э3 (электрическая схема) для кубсата №2</w:t>
      </w:r>
    </w:p>
    <w:p w:rsidR="00000000" w:rsidDel="00000000" w:rsidP="00000000" w:rsidRDefault="00000000" w:rsidRPr="00000000" w14:paraId="0000015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30413" cy="788076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413" cy="7880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31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 Д</w:t>
      </w:r>
    </w:p>
    <w:p w:rsidR="00000000" w:rsidDel="00000000" w:rsidP="00000000" w:rsidRDefault="00000000" w:rsidRPr="00000000" w14:paraId="0000015D">
      <w:pPr>
        <w:pStyle w:val="Heading1"/>
        <w:spacing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(обязательное)</w:t>
      </w:r>
    </w:p>
    <w:p w:rsidR="00000000" w:rsidDel="00000000" w:rsidP="00000000" w:rsidRDefault="00000000" w:rsidRPr="00000000" w14:paraId="0000015E">
      <w:pPr>
        <w:spacing w:after="0" w:line="31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31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Э3 (электрическая схема) для наземной станции</w:t>
      </w:r>
    </w:p>
    <w:p w:rsidR="00000000" w:rsidDel="00000000" w:rsidP="00000000" w:rsidRDefault="00000000" w:rsidRPr="00000000" w14:paraId="0000016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2401" cy="734027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401" cy="734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31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 Е</w:t>
      </w:r>
    </w:p>
    <w:p w:rsidR="00000000" w:rsidDel="00000000" w:rsidP="00000000" w:rsidRDefault="00000000" w:rsidRPr="00000000" w14:paraId="00000166">
      <w:pPr>
        <w:pStyle w:val="Heading1"/>
        <w:spacing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p2csry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(обязательное)</w:t>
      </w:r>
    </w:p>
    <w:p w:rsidR="00000000" w:rsidDel="00000000" w:rsidP="00000000" w:rsidRDefault="00000000" w:rsidRPr="00000000" w14:paraId="00000167">
      <w:pPr>
        <w:spacing w:after="0" w:line="31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31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Программный код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92400" cy="588682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4180" l="4037" r="34050" t="3689"/>
                    <a:stretch>
                      <a:fillRect/>
                    </a:stretch>
                  </pic:blipFill>
                  <pic:spPr>
                    <a:xfrm>
                      <a:off x="0" y="0"/>
                      <a:ext cx="6092400" cy="5886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Продолжение Приложение Е</w:t>
      </w:r>
    </w:p>
    <w:p w:rsidR="00000000" w:rsidDel="00000000" w:rsidP="00000000" w:rsidRDefault="00000000" w:rsidRPr="00000000" w14:paraId="0000017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30210" cy="5690917"/>
            <wp:effectExtent b="0" l="0" r="0" t="0"/>
            <wp:docPr descr="C:\Users\Давыд\Downloads\Снимок экрана 2024-02-10 в 22.44.11.png" id="12" name="image13.png"/>
            <a:graphic>
              <a:graphicData uri="http://schemas.openxmlformats.org/drawingml/2006/picture">
                <pic:pic>
                  <pic:nvPicPr>
                    <pic:cNvPr descr="C:\Users\Давыд\Downloads\Снимок экрана 2024-02-10 в 22.44.11.png" id="0" name="image13.png"/>
                    <pic:cNvPicPr preferRelativeResize="0"/>
                  </pic:nvPicPr>
                  <pic:blipFill>
                    <a:blip r:embed="rId22"/>
                    <a:srcRect b="6045" l="3950" r="37926" t="3424"/>
                    <a:stretch>
                      <a:fillRect/>
                    </a:stretch>
                  </pic:blipFill>
                  <pic:spPr>
                    <a:xfrm>
                      <a:off x="0" y="0"/>
                      <a:ext cx="5630210" cy="5690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Продолжение Приложение Е</w:t>
      </w:r>
    </w:p>
    <w:p w:rsidR="00000000" w:rsidDel="00000000" w:rsidP="00000000" w:rsidRDefault="00000000" w:rsidRPr="00000000" w14:paraId="0000018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56779" cy="5375753"/>
            <wp:effectExtent b="0" l="0" r="0" t="0"/>
            <wp:docPr descr="C:\Users\Давыд\Downloads\Снимок экрана 2024-02-10 в 22.52.20.png" id="11" name="image8.png"/>
            <a:graphic>
              <a:graphicData uri="http://schemas.openxmlformats.org/drawingml/2006/picture">
                <pic:pic>
                  <pic:nvPicPr>
                    <pic:cNvPr descr="C:\Users\Давыд\Downloads\Снимок экрана 2024-02-10 в 22.52.20.png" id="0" name="image8.png"/>
                    <pic:cNvPicPr preferRelativeResize="0"/>
                  </pic:nvPicPr>
                  <pic:blipFill>
                    <a:blip r:embed="rId23"/>
                    <a:srcRect b="4966" l="3851" r="29083" t="3215"/>
                    <a:stretch>
                      <a:fillRect/>
                    </a:stretch>
                  </pic:blipFill>
                  <pic:spPr>
                    <a:xfrm>
                      <a:off x="0" y="0"/>
                      <a:ext cx="6056779" cy="537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Продолжение Приложение Е</w:t>
      </w:r>
    </w:p>
    <w:p w:rsidR="00000000" w:rsidDel="00000000" w:rsidP="00000000" w:rsidRDefault="00000000" w:rsidRPr="00000000" w14:paraId="0000019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64494" cy="8329996"/>
            <wp:effectExtent b="0" l="0" r="0" t="0"/>
            <wp:docPr descr="C:\Users\Давыд\Downloads\Снимок экрана 2024-02-10 в 22.52.38.png" id="15" name="image18.png"/>
            <a:graphic>
              <a:graphicData uri="http://schemas.openxmlformats.org/drawingml/2006/picture">
                <pic:pic>
                  <pic:nvPicPr>
                    <pic:cNvPr descr="C:\Users\Давыд\Downloads\Снимок экрана 2024-02-10 в 22.52.38.png" id="0" name="image18.png"/>
                    <pic:cNvPicPr preferRelativeResize="0"/>
                  </pic:nvPicPr>
                  <pic:blipFill>
                    <a:blip r:embed="rId24"/>
                    <a:srcRect b="7149" l="3641" r="57337" t="2914"/>
                    <a:stretch>
                      <a:fillRect/>
                    </a:stretch>
                  </pic:blipFill>
                  <pic:spPr>
                    <a:xfrm>
                      <a:off x="0" y="0"/>
                      <a:ext cx="5564494" cy="8329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Продолжение Приложение Е</w:t>
      </w:r>
    </w:p>
    <w:p w:rsidR="00000000" w:rsidDel="00000000" w:rsidP="00000000" w:rsidRDefault="00000000" w:rsidRPr="00000000" w14:paraId="0000019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54947" cy="2358384"/>
            <wp:effectExtent b="0" l="0" r="0" t="0"/>
            <wp:docPr descr="C:\Users\Давыд\Downloads\Снимок экрана 2024-02-10 в 22.52.55.png" id="13" name="image6.png"/>
            <a:graphic>
              <a:graphicData uri="http://schemas.openxmlformats.org/drawingml/2006/picture">
                <pic:pic>
                  <pic:nvPicPr>
                    <pic:cNvPr descr="C:\Users\Давыд\Downloads\Снимок экрана 2024-02-10 в 22.52.55.png" id="0" name="image6.png"/>
                    <pic:cNvPicPr preferRelativeResize="0"/>
                  </pic:nvPicPr>
                  <pic:blipFill>
                    <a:blip r:embed="rId25"/>
                    <a:srcRect b="0" l="3713" r="327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947" cy="2358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sectPr>
          <w:type w:val="nextPage"/>
          <w:pgSz w:h="16838" w:w="11906" w:orient="portrait"/>
          <w:pgMar w:bottom="1134" w:top="1134" w:left="1700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Графическая часть</w:t>
      </w:r>
    </w:p>
    <w:p w:rsidR="00000000" w:rsidDel="00000000" w:rsidP="00000000" w:rsidRDefault="00000000" w:rsidRPr="00000000" w14:paraId="000001C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1906" w:w="16838" w:orient="landscape"/>
          <w:pgMar w:bottom="1134" w:top="1134" w:left="1700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9072880" cy="6416149"/>
            <wp:effectExtent b="0" l="0" r="0" t="0"/>
            <wp:docPr descr="C:\Users\Давыд\OneDrive\Рабочий стол\Новая папка (4)\1.tiff" id="14" name="image7.png"/>
            <a:graphic>
              <a:graphicData uri="http://schemas.openxmlformats.org/drawingml/2006/picture">
                <pic:pic>
                  <pic:nvPicPr>
                    <pic:cNvPr descr="C:\Users\Давыд\OneDrive\Рабочий стол\Новая папка (4)\1.tiff"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2880" cy="641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Rule="auto"/>
        <w:ind w:hanging="85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1060" cy="8413380"/>
            <wp:effectExtent b="0" l="0" r="0" t="0"/>
            <wp:docPr descr="C:\Users\Давыд\OneDrive\Рабочий стол\Новая папка (4)\2.tiff" id="16" name="image1.png"/>
            <a:graphic>
              <a:graphicData uri="http://schemas.openxmlformats.org/drawingml/2006/picture">
                <pic:pic>
                  <pic:nvPicPr>
                    <pic:cNvPr descr="C:\Users\Давыд\OneDrive\Рабочий стол\Новая папка (4)\2.tiff"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41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hanging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78314" cy="8890979"/>
            <wp:effectExtent b="0" l="0" r="0" t="0"/>
            <wp:docPr descr="C:\Users\Давыд\OneDrive\Рабочий стол\Новая папка (4)\3.tiff" id="17" name="image3.png"/>
            <a:graphic>
              <a:graphicData uri="http://schemas.openxmlformats.org/drawingml/2006/picture">
                <pic:pic>
                  <pic:nvPicPr>
                    <pic:cNvPr descr="C:\Users\Давыд\OneDrive\Рабочий стол\Новая папка (4)\3.tiff"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314" cy="8890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hanging="42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16281" cy="8803131"/>
            <wp:effectExtent b="0" l="0" r="0" t="0"/>
            <wp:docPr descr="C:\Users\Давыд\OneDrive\Рабочий стол\Новая папка (4)\4.tiff" id="18" name="image5.png"/>
            <a:graphic>
              <a:graphicData uri="http://schemas.openxmlformats.org/drawingml/2006/picture">
                <pic:pic>
                  <pic:nvPicPr>
                    <pic:cNvPr descr="C:\Users\Давыд\OneDrive\Рабочий стол\Новая папка (4)\4.tiff"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281" cy="8803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0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D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E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16.png"/><Relationship Id="rId24" Type="http://schemas.openxmlformats.org/officeDocument/2006/relationships/image" Target="media/image18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8" Type="http://schemas.openxmlformats.org/officeDocument/2006/relationships/image" Target="media/image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14.png"/><Relationship Id="rId11" Type="http://schemas.openxmlformats.org/officeDocument/2006/relationships/hyperlink" Target="https://rutube.ru/video/private/9d19b2419bebe0da9c76bef00358d64f/?p=ypyCHxWjCAct7KxCWMJ7og" TargetMode="External"/><Relationship Id="rId10" Type="http://schemas.openxmlformats.org/officeDocument/2006/relationships/hyperlink" Target="https://github.com/SadCat1233/Laser-Space-Communication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5" Type="http://schemas.openxmlformats.org/officeDocument/2006/relationships/hyperlink" Target="https://rutube.ru/video/private/73edffc00af344fc0f592ebdb42f254a/?p=id0tZX96CZeqv0z4Z0ITxw" TargetMode="External"/><Relationship Id="rId14" Type="http://schemas.openxmlformats.org/officeDocument/2006/relationships/footer" Target="footer2.xml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