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D352" w14:textId="6BFC5D91" w:rsidR="00CF11C4" w:rsidRPr="00F56F62" w:rsidRDefault="00F56F62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56F62">
        <w:rPr>
          <w:rFonts w:ascii="Times New Roman" w:hAnsi="Times New Roman" w:cs="Times New Roman"/>
          <w:b/>
          <w:bCs/>
          <w:sz w:val="28"/>
          <w:szCs w:val="28"/>
          <w:lang w:val="en-GB"/>
        </w:rPr>
        <w:t>Basic Structural Information of 1HBS:</w:t>
      </w:r>
    </w:p>
    <w:tbl>
      <w:tblPr>
        <w:tblStyle w:val="TableGrid"/>
        <w:tblW w:w="9360" w:type="dxa"/>
        <w:tblInd w:w="-5" w:type="dxa"/>
        <w:tblLook w:val="0000" w:firstRow="0" w:lastRow="0" w:firstColumn="0" w:lastColumn="0" w:noHBand="0" w:noVBand="0"/>
      </w:tblPr>
      <w:tblGrid>
        <w:gridCol w:w="2430"/>
        <w:gridCol w:w="6930"/>
      </w:tblGrid>
      <w:tr w:rsidR="00F56F62" w:rsidRPr="00F56F62" w14:paraId="7A29BF35" w14:textId="77777777" w:rsidTr="00527301">
        <w:tc>
          <w:tcPr>
            <w:tcW w:w="2430" w:type="dxa"/>
          </w:tcPr>
          <w:p w14:paraId="038439EA" w14:textId="77777777" w:rsidR="00F56F62" w:rsidRPr="00F56F62" w:rsidRDefault="00F56F62" w:rsidP="00527301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b/>
                <w:bCs/>
                <w:color w:val="000000" w:themeColor="text1"/>
                <w:lang w:val="en-GB"/>
              </w:rPr>
              <w:t>Information</w:t>
            </w:r>
          </w:p>
        </w:tc>
        <w:tc>
          <w:tcPr>
            <w:tcW w:w="6930" w:type="dxa"/>
          </w:tcPr>
          <w:p w14:paraId="02AE7777" w14:textId="77777777" w:rsidR="00F56F62" w:rsidRPr="00F56F62" w:rsidRDefault="00F56F62" w:rsidP="00527301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b/>
                <w:bCs/>
                <w:color w:val="000000" w:themeColor="text1"/>
                <w:lang w:val="en-GB"/>
              </w:rPr>
              <w:t>Description</w:t>
            </w:r>
          </w:p>
        </w:tc>
      </w:tr>
      <w:tr w:rsidR="00F56F62" w:rsidRPr="00F56F62" w14:paraId="61A50223" w14:textId="77777777" w:rsidTr="00527301">
        <w:tc>
          <w:tcPr>
            <w:tcW w:w="2430" w:type="dxa"/>
          </w:tcPr>
          <w:p w14:paraId="2E995030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Protein name</w:t>
            </w:r>
          </w:p>
        </w:tc>
        <w:tc>
          <w:tcPr>
            <w:tcW w:w="6930" w:type="dxa"/>
          </w:tcPr>
          <w:p w14:paraId="4AA61CA0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</w:rPr>
              <w:t>Deoxyhemoglobin S (Hemoglobin S)</w:t>
            </w:r>
          </w:p>
        </w:tc>
      </w:tr>
      <w:tr w:rsidR="00F56F62" w:rsidRPr="00F56F62" w14:paraId="1299494F" w14:textId="77777777" w:rsidTr="00527301">
        <w:tc>
          <w:tcPr>
            <w:tcW w:w="2430" w:type="dxa"/>
          </w:tcPr>
          <w:p w14:paraId="124FD4A8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PDB ID</w:t>
            </w:r>
          </w:p>
        </w:tc>
        <w:tc>
          <w:tcPr>
            <w:tcW w:w="6930" w:type="dxa"/>
          </w:tcPr>
          <w:p w14:paraId="1B9DDFA4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1HBS</w:t>
            </w:r>
          </w:p>
        </w:tc>
      </w:tr>
      <w:tr w:rsidR="00F56F62" w:rsidRPr="00F56F62" w14:paraId="05957BDA" w14:textId="77777777" w:rsidTr="00527301">
        <w:tc>
          <w:tcPr>
            <w:tcW w:w="2430" w:type="dxa"/>
          </w:tcPr>
          <w:p w14:paraId="1D9E0E0E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Organism</w:t>
            </w:r>
          </w:p>
        </w:tc>
        <w:tc>
          <w:tcPr>
            <w:tcW w:w="6930" w:type="dxa"/>
          </w:tcPr>
          <w:p w14:paraId="538DE4F5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Homo sapiens</w:t>
            </w:r>
          </w:p>
        </w:tc>
      </w:tr>
      <w:tr w:rsidR="00F56F62" w:rsidRPr="00F56F62" w14:paraId="76173E4C" w14:textId="77777777" w:rsidTr="00527301">
        <w:tc>
          <w:tcPr>
            <w:tcW w:w="2430" w:type="dxa"/>
          </w:tcPr>
          <w:p w14:paraId="13E11B62" w14:textId="55AFDA0D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GB"/>
              </w:rPr>
              <w:t>Oncology Relevance</w:t>
            </w:r>
          </w:p>
        </w:tc>
        <w:tc>
          <w:tcPr>
            <w:tcW w:w="6930" w:type="dxa"/>
          </w:tcPr>
          <w:p w14:paraId="3DE43021" w14:textId="3F2134BA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Not primarily an oncology protein.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GB"/>
              </w:rPr>
              <w:t>Hemoglobin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S is associated with sickle cell disease, a hereditary blood disorder, rather than cancer.</w:t>
            </w:r>
          </w:p>
        </w:tc>
      </w:tr>
      <w:tr w:rsidR="00F56F62" w:rsidRPr="00F56F62" w14:paraId="76B5E69F" w14:textId="77777777" w:rsidTr="00527301">
        <w:tc>
          <w:tcPr>
            <w:tcW w:w="2430" w:type="dxa"/>
          </w:tcPr>
          <w:p w14:paraId="2BCF083F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Mutation</w:t>
            </w:r>
          </w:p>
        </w:tc>
        <w:tc>
          <w:tcPr>
            <w:tcW w:w="6930" w:type="dxa"/>
          </w:tcPr>
          <w:p w14:paraId="407C2C22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No</w:t>
            </w:r>
          </w:p>
        </w:tc>
      </w:tr>
      <w:tr w:rsidR="00F56F62" w:rsidRPr="00F56F62" w14:paraId="1B1B65F3" w14:textId="77777777" w:rsidTr="00527301">
        <w:tc>
          <w:tcPr>
            <w:tcW w:w="2430" w:type="dxa"/>
          </w:tcPr>
          <w:p w14:paraId="3B5D4C89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Experimental Method</w:t>
            </w:r>
          </w:p>
        </w:tc>
        <w:tc>
          <w:tcPr>
            <w:tcW w:w="6930" w:type="dxa"/>
          </w:tcPr>
          <w:p w14:paraId="054DF778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X-ray diffraction</w:t>
            </w:r>
          </w:p>
        </w:tc>
      </w:tr>
      <w:tr w:rsidR="00F56F62" w:rsidRPr="00F56F62" w14:paraId="580522CC" w14:textId="77777777" w:rsidTr="00527301">
        <w:tc>
          <w:tcPr>
            <w:tcW w:w="2430" w:type="dxa"/>
          </w:tcPr>
          <w:p w14:paraId="0522ED54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Resolution</w:t>
            </w:r>
          </w:p>
        </w:tc>
        <w:tc>
          <w:tcPr>
            <w:tcW w:w="6930" w:type="dxa"/>
          </w:tcPr>
          <w:p w14:paraId="27F75F06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3.00 Å</w:t>
            </w:r>
          </w:p>
        </w:tc>
      </w:tr>
      <w:tr w:rsidR="00F56F62" w:rsidRPr="00F56F62" w14:paraId="1993BB83" w14:textId="77777777" w:rsidTr="00527301">
        <w:tc>
          <w:tcPr>
            <w:tcW w:w="2430" w:type="dxa"/>
          </w:tcPr>
          <w:p w14:paraId="5814E019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Chain</w:t>
            </w:r>
          </w:p>
        </w:tc>
        <w:tc>
          <w:tcPr>
            <w:tcW w:w="6930" w:type="dxa"/>
          </w:tcPr>
          <w:p w14:paraId="33E5FFD1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Chain A</w:t>
            </w:r>
          </w:p>
        </w:tc>
      </w:tr>
      <w:tr w:rsidR="00F56F62" w:rsidRPr="00F56F62" w14:paraId="1B88E152" w14:textId="77777777" w:rsidTr="00527301">
        <w:tc>
          <w:tcPr>
            <w:tcW w:w="2430" w:type="dxa"/>
          </w:tcPr>
          <w:p w14:paraId="538D481C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Residue count</w:t>
            </w:r>
          </w:p>
        </w:tc>
        <w:tc>
          <w:tcPr>
            <w:tcW w:w="6930" w:type="dxa"/>
          </w:tcPr>
          <w:p w14:paraId="6E144ADD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141</w:t>
            </w:r>
          </w:p>
        </w:tc>
      </w:tr>
      <w:tr w:rsidR="00F56F62" w:rsidRPr="00F56F62" w14:paraId="593FBBC4" w14:textId="77777777" w:rsidTr="00F56F62">
        <w:trPr>
          <w:trHeight w:val="350"/>
        </w:trPr>
        <w:tc>
          <w:tcPr>
            <w:tcW w:w="2430" w:type="dxa"/>
          </w:tcPr>
          <w:p w14:paraId="6D38C2F4" w14:textId="77777777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F56F62">
              <w:rPr>
                <w:rFonts w:ascii="Times New Roman" w:hAnsi="Times New Roman" w:cs="Times New Roman"/>
                <w:color w:val="000000" w:themeColor="text1"/>
                <w:lang w:val="en-GB"/>
              </w:rPr>
              <w:t>Bound ligand/cofactor</w:t>
            </w:r>
          </w:p>
        </w:tc>
        <w:tc>
          <w:tcPr>
            <w:tcW w:w="6930" w:type="dxa"/>
          </w:tcPr>
          <w:p w14:paraId="7E741630" w14:textId="6F40C80E" w:rsidR="00F56F62" w:rsidRPr="00F56F62" w:rsidRDefault="00F56F62" w:rsidP="00527301">
            <w:pPr>
              <w:rPr>
                <w:rFonts w:ascii="Times New Roman" w:eastAsia="Times New Roman" w:hAnsi="Times New Roman" w:cs="Times New Roman"/>
                <w:vanish/>
                <w:color w:val="000000" w:themeColor="text1"/>
                <w:kern w:val="0"/>
                <w14:ligatures w14:val="none"/>
              </w:rPr>
            </w:pPr>
            <w:r w:rsidRPr="00F56F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HEM (heme) – protoporphyrin IX containing Fe</w:t>
            </w:r>
          </w:p>
          <w:p w14:paraId="35B4196A" w14:textId="3A7FBE2B" w:rsidR="00F56F62" w:rsidRPr="00F56F62" w:rsidRDefault="00F56F62" w:rsidP="00527301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</w:p>
        </w:tc>
      </w:tr>
    </w:tbl>
    <w:p w14:paraId="7D133A3F" w14:textId="77777777" w:rsidR="00F56F62" w:rsidRDefault="00F56F62" w:rsidP="00F56F62">
      <w:pPr>
        <w:rPr>
          <w:lang w:val="en-GB"/>
        </w:rPr>
      </w:pPr>
    </w:p>
    <w:p w14:paraId="65AE803D" w14:textId="77777777" w:rsidR="00F56F62" w:rsidRPr="00F56F62" w:rsidRDefault="00F56F62" w:rsidP="00F56F62">
      <w:pPr>
        <w:pStyle w:val="pdq2pgselectionanchorcontainer"/>
        <w:rPr>
          <w:b/>
          <w:bCs/>
        </w:rPr>
      </w:pPr>
      <w:r w:rsidRPr="004B25AA">
        <w:rPr>
          <w:rStyle w:val="Strong"/>
        </w:rPr>
        <w:t>Raw Structure Inspection:</w:t>
      </w:r>
      <w:r w:rsidRPr="004B25AA">
        <w:br/>
      </w:r>
      <w:r>
        <w:t>The selected structure</w:t>
      </w:r>
      <w:r w:rsidRPr="00F56F62">
        <w:t xml:space="preserve">, </w:t>
      </w:r>
      <w:r w:rsidRPr="00F56F62">
        <w:rPr>
          <w:rStyle w:val="Strong"/>
          <w:b w:val="0"/>
          <w:bCs w:val="0"/>
        </w:rPr>
        <w:t>PDB 1HBS</w:t>
      </w:r>
      <w:r w:rsidRPr="00F56F62">
        <w:t xml:space="preserve">, contains </w:t>
      </w:r>
      <w:r w:rsidRPr="00F56F62">
        <w:rPr>
          <w:rStyle w:val="Strong"/>
          <w:b w:val="0"/>
          <w:bCs w:val="0"/>
        </w:rPr>
        <w:t>eight protein-chain instances (A–H)</w:t>
      </w:r>
      <w:r w:rsidRPr="00F56F62">
        <w:t xml:space="preserve"> representing the tetrameric deoxyhemoglobin S structure. There are </w:t>
      </w:r>
      <w:r w:rsidRPr="00F56F62">
        <w:rPr>
          <w:rStyle w:val="Strong"/>
          <w:b w:val="0"/>
          <w:bCs w:val="0"/>
        </w:rPr>
        <w:t>two unique protein sequences</w:t>
      </w:r>
      <w:r w:rsidRPr="00F56F62">
        <w:t xml:space="preserve">: the α-globin chain, represented by chains A, C, E, and G, and the β-globin chain, represented by chains B, D, F, and H. For single-chain analysis and refinement, </w:t>
      </w:r>
      <w:r w:rsidRPr="00F56F62">
        <w:rPr>
          <w:rStyle w:val="Strong"/>
          <w:b w:val="0"/>
          <w:bCs w:val="0"/>
        </w:rPr>
        <w:t>Chain A (alpha-globin)</w:t>
      </w:r>
      <w:r w:rsidRPr="00F56F62">
        <w:t xml:space="preserve"> can be selected, containing </w:t>
      </w:r>
      <w:r w:rsidRPr="00F56F62">
        <w:rPr>
          <w:rStyle w:val="Strong"/>
          <w:b w:val="0"/>
          <w:bCs w:val="0"/>
        </w:rPr>
        <w:t>141 residues</w:t>
      </w:r>
      <w:r w:rsidRPr="00F56F62">
        <w:t xml:space="preserve">. The structure has a total of </w:t>
      </w:r>
      <w:r w:rsidRPr="00F56F62">
        <w:rPr>
          <w:rStyle w:val="Strong"/>
          <w:b w:val="0"/>
          <w:bCs w:val="0"/>
        </w:rPr>
        <w:t>1,148 modeled residues</w:t>
      </w:r>
      <w:r w:rsidRPr="00F56F62">
        <w:t xml:space="preserve"> across all eight chain instances. The deposited structure is </w:t>
      </w:r>
      <w:r w:rsidRPr="00F56F62">
        <w:rPr>
          <w:rStyle w:val="Strong"/>
          <w:b w:val="0"/>
          <w:bCs w:val="0"/>
        </w:rPr>
        <w:t>deoxyhemoglobin S from</w:t>
      </w:r>
      <w:r w:rsidRPr="00F56F62">
        <w:rPr>
          <w:rStyle w:val="Strong"/>
        </w:rPr>
        <w:t xml:space="preserve"> </w:t>
      </w:r>
      <w:r w:rsidRPr="00F56F62">
        <w:rPr>
          <w:rStyle w:val="Emphasis"/>
        </w:rPr>
        <w:t>Homo sapiens</w:t>
      </w:r>
      <w:r w:rsidRPr="00F56F62">
        <w:t xml:space="preserve"> and was determined by </w:t>
      </w:r>
      <w:r w:rsidRPr="00F56F62">
        <w:rPr>
          <w:rStyle w:val="Strong"/>
          <w:b w:val="0"/>
          <w:bCs w:val="0"/>
        </w:rPr>
        <w:t>X-ray diffraction at 3.00 Å resolution</w:t>
      </w:r>
      <w:r w:rsidRPr="00F56F62">
        <w:t xml:space="preserve">. RCSB PDB reports no engineered mutations for the deposited entities, although hemoglobin S is the sickle-cell form of hemoglobin and its β-globin sequence is associated with the sickle-cell variant. The structure contains </w:t>
      </w:r>
      <w:r w:rsidRPr="00F56F62">
        <w:rPr>
          <w:rStyle w:val="Strong"/>
          <w:b w:val="0"/>
          <w:bCs w:val="0"/>
        </w:rPr>
        <w:t>one unique ligand, HEM (heme/protoporphyrin IX containing iron)</w:t>
      </w:r>
      <w:r w:rsidRPr="00F56F62">
        <w:t xml:space="preserve">, associated with the hemoglobin chains. The biological assembly is a </w:t>
      </w:r>
      <w:proofErr w:type="spellStart"/>
      <w:r w:rsidRPr="00F56F62">
        <w:rPr>
          <w:rStyle w:val="Strong"/>
          <w:b w:val="0"/>
          <w:bCs w:val="0"/>
        </w:rPr>
        <w:t>heterotetramer</w:t>
      </w:r>
      <w:proofErr w:type="spellEnd"/>
      <w:r w:rsidRPr="00F56F62">
        <w:rPr>
          <w:rStyle w:val="Strong"/>
          <w:b w:val="0"/>
          <w:bCs w:val="0"/>
        </w:rPr>
        <w:t xml:space="preserve"> (α₂β₂)</w:t>
      </w:r>
      <w:r w:rsidRPr="00F56F62">
        <w:rPr>
          <w:b/>
          <w:bCs/>
        </w:rPr>
        <w:t>.</w:t>
      </w:r>
    </w:p>
    <w:p w14:paraId="688189DC" w14:textId="77F09337" w:rsidR="00F56F62" w:rsidRPr="00F56F62" w:rsidRDefault="00F56F62" w:rsidP="00F56F62">
      <w:pPr>
        <w:tabs>
          <w:tab w:val="left" w:pos="3081"/>
        </w:tabs>
        <w:rPr>
          <w:lang w:val="en-GB"/>
        </w:rPr>
      </w:pPr>
    </w:p>
    <w:sectPr w:rsidR="00F56F62" w:rsidRPr="00F56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62"/>
    <w:rsid w:val="00C5558E"/>
    <w:rsid w:val="00CF11C4"/>
    <w:rsid w:val="00DF5B0B"/>
    <w:rsid w:val="00F5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B08A"/>
  <w15:chartTrackingRefBased/>
  <w15:docId w15:val="{A1DB1C18-85E5-430D-B700-5DD4197F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2"/>
  </w:style>
  <w:style w:type="paragraph" w:styleId="Heading1">
    <w:name w:val="heading 1"/>
    <w:basedOn w:val="Normal"/>
    <w:next w:val="Normal"/>
    <w:link w:val="Heading1Char"/>
    <w:uiPriority w:val="9"/>
    <w:qFormat/>
    <w:rsid w:val="00F5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6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56F62"/>
    <w:rPr>
      <w:b/>
      <w:bCs/>
    </w:rPr>
  </w:style>
  <w:style w:type="paragraph" w:customStyle="1" w:styleId="pdq2pgselectionanchorcontainer">
    <w:name w:val="pdq2pg_selectionanchorcontainer"/>
    <w:basedOn w:val="Normal"/>
    <w:rsid w:val="00F56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56F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 fuad</dc:creator>
  <cp:keywords/>
  <dc:description/>
  <cp:lastModifiedBy>sada fuad</cp:lastModifiedBy>
  <cp:revision>1</cp:revision>
  <dcterms:created xsi:type="dcterms:W3CDTF">2026-08-16T18:21:00Z</dcterms:created>
  <dcterms:modified xsi:type="dcterms:W3CDTF">2026-08-16T18:29:00Z</dcterms:modified>
</cp:coreProperties>
</file>