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CHATTALA: BEYOND THE FLOOD</w:t>
      </w:r>
    </w:p>
    <w:p>
      <w:pPr>
        <w:pStyle w:val="Heading1"/>
      </w:pPr>
      <w:r>
        <w:t>Why This Story Matters</w:t>
      </w:r>
    </w:p>
    <w:p>
      <w:r>
        <w:t>In July 2026, Chattogram experienced one of its most severe floods in the past 42 years. Torrential rain triggered flash floods and landslides across southeastern Bangladesh, claiming at least 51 lives and forcing more than one million people from their homes. More than 38,000 people sought shelter in emergency camps. Chattogram city and its surrounding low-lying areas recorded 412.3 millimetres of rain in 24 hours, while financial losses were estimated at USD 17.3 million.</w:t>
      </w:r>
    </w:p>
    <w:p>
      <w:r>
        <w:t xml:space="preserve">As the initial flow of emergency aid began to slow, Navaan Foundation launched </w:t>
      </w:r>
      <w:r>
        <w:rPr>
          <w:b/>
        </w:rPr>
        <w:t>Project Chattala: Beyond the Flood</w:t>
      </w:r>
      <w:r>
        <w:t xml:space="preserve"> in Banshkhali, Chattogram. The project focused on 70 families in remote areas. Many had lost their homes, had little or no reliable income and had received no earlier assistance because their communities were difficult to reach. Each household received a standardised relief package designed to address immediate needs.</w:t>
      </w:r>
    </w:p>
    <w:p>
      <w:r>
        <w:t>From fundraising and purchasing to packing and field distribution, members across Navaan Foundation shared responsibility for the project. The purpose was practical: to help families move through recovery with dignity.</w:t>
      </w:r>
    </w:p>
    <w:p>
      <w:pPr>
        <w:pStyle w:val="Heading1"/>
      </w:pPr>
      <w:r>
        <w:t>The Situation: Why the Project Was Needed</w:t>
      </w:r>
    </w:p>
    <w:p>
      <w:r>
        <w:t>Emergency relief is vital in the first days of a disaster, but recovery continues long after the floodwaters recede. Families were still dealing with damaged homes, interrupted incomes and dwindling food supplies even as public attention—and much of the aid—moved elsewhere.</w:t>
      </w:r>
    </w:p>
    <w:p>
      <w:r>
        <w:rPr>
          <w:b/>
        </w:rPr>
        <w:t>Project Chattala: Beyond the Flood</w:t>
      </w:r>
      <w:r>
        <w:t xml:space="preserve"> was created for this less visible stage of recovery. Supported by a growing network of young volunteers, donors and partners, Navaan Foundation directed its resources towards households whose needs remained urgent. Our guiding principle was straightforward: support should be shaped by need, not by the news cycle.</w:t>
      </w:r>
    </w:p>
    <w:p>
      <w:pPr>
        <w:pStyle w:val="Heading1"/>
      </w:pPr>
      <w:r>
        <w:t>Project Objectives</w:t>
      </w:r>
    </w:p>
    <w:p>
      <w:r>
        <w:rPr>
          <w:b/>
        </w:rPr>
        <w:t>Project Chattala: Beyond the Flood</w:t>
      </w:r>
      <w:r>
        <w:t xml:space="preserve"> was launched to:</w:t>
      </w:r>
    </w:p>
    <w:p>
      <w:pPr>
        <w:pStyle w:val="ListBullet"/>
      </w:pPr>
      <w:r>
        <w:t>Provide timely post-flood assistance to families in Banshkhali, Chattogram, during their recovery.</w:t>
      </w:r>
    </w:p>
    <w:p>
      <w:pPr>
        <w:pStyle w:val="ListBullet"/>
      </w:pPr>
      <w:r>
        <w:t>Support vulnerable households after the initial emergency response had slowed.</w:t>
      </w:r>
    </w:p>
    <w:p>
      <w:pPr>
        <w:pStyle w:val="ListBullet"/>
      </w:pPr>
      <w:r>
        <w:t>Distribute essential food, basic medicines and hygiene supplies to ease immediate household pressures.</w:t>
      </w:r>
    </w:p>
    <w:p>
      <w:pPr>
        <w:pStyle w:val="ListBullet"/>
      </w:pPr>
      <w:r>
        <w:t>Ensure aid reached families facing the greatest need through a fair, needs-based selection process.</w:t>
      </w:r>
    </w:p>
    <w:p>
      <w:pPr>
        <w:pStyle w:val="ListBullet"/>
      </w:pPr>
      <w:r>
        <w:t>Bring people together through compassion and collective action, with young volunteers playing a central role.</w:t>
      </w:r>
    </w:p>
    <w:p>
      <w:pPr>
        <w:pStyle w:val="ListBullet"/>
      </w:pPr>
      <w:r>
        <w:t>Uphold Navaan Foundation's commitment to empathy, dignity and social responsibility.</w:t>
      </w:r>
    </w:p>
    <w:p>
      <w:pPr>
        <w:pStyle w:val="Heading1"/>
      </w:pPr>
      <w:r>
        <w:t>The Journey</w:t>
      </w:r>
    </w:p>
    <w:p>
      <w:r>
        <w:t>We began with our own research and then consulted the Chattogram Patrol Team to gain a clearer understanding of conditions on the ground. Once the needs were identified, we launched an online fundraising campaign with support from four media partners: Beehive Today, Spectrum BD, Nexront BD and Recapify. A significant share of the funding also came from Navaan Foundation and its members.</w:t>
      </w:r>
    </w:p>
    <w:p>
      <w:r>
        <w:t>Our team purchased, sorted and packed every item before coordinating transport and distribution. Although the volunteer group was small, its members took on responsibilities that would normally have required a much larger team.</w:t>
      </w:r>
    </w:p>
    <w:p>
      <w:pPr>
        <w:pStyle w:val="Heading1"/>
      </w:pPr>
      <w:r>
        <w:t>What Was Distributed</w:t>
      </w:r>
    </w:p>
    <w:p>
      <w:r>
        <w:t>At the centre of the response was the Chattala Hope Package, designed to meet a family's immediate needs during the early recovery period. Each package combined staple food, basic medicines and hygiene supplies intended to provide around two weeks of practical support.</w:t>
      </w:r>
    </w:p>
    <w:p>
      <w:r>
        <w:t>Every selected household received the same contents, making the distribution fair and transparent while respecting the dignity of each recipient.</w:t>
      </w:r>
    </w:p>
    <w:p>
      <w:pPr>
        <w:pStyle w:val="Heading2"/>
      </w:pPr>
      <w:r>
        <w:t>Contents of Each Chattala Hope Package</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1814"/>
            <w:vAlign w:val="center"/>
            <w:tcMar>
              <w:top w:w="90" w:type="dxa"/>
              <w:start w:w="110" w:type="dxa"/>
              <w:bottom w:w="90" w:type="dxa"/>
              <w:end w:w="110" w:type="dxa"/>
            </w:tcMar>
            <w:shd w:fill="17324D"/>
          </w:tcPr>
          <w:p>
            <w:pPr>
              <w:spacing w:after="0" w:before="0"/>
            </w:pPr>
            <w:r>
              <w:rPr>
                <w:rFonts w:ascii="Aptos" w:hAnsi="Aptos"/>
                <w:b/>
                <w:color w:val="FFFFFF"/>
                <w:sz w:val="20"/>
              </w:rPr>
              <w:t>Category</w:t>
            </w:r>
          </w:p>
        </w:tc>
        <w:tc>
          <w:tcPr>
            <w:tcW w:type="dxa" w:w="3969"/>
            <w:vAlign w:val="center"/>
            <w:tcMar>
              <w:top w:w="90" w:type="dxa"/>
              <w:start w:w="110" w:type="dxa"/>
              <w:bottom w:w="90" w:type="dxa"/>
              <w:end w:w="110" w:type="dxa"/>
            </w:tcMar>
            <w:shd w:fill="17324D"/>
          </w:tcPr>
          <w:p>
            <w:pPr>
              <w:spacing w:after="0" w:before="0"/>
            </w:pPr>
            <w:r>
              <w:rPr>
                <w:rFonts w:ascii="Aptos" w:hAnsi="Aptos"/>
                <w:b/>
                <w:color w:val="FFFFFF"/>
                <w:sz w:val="20"/>
              </w:rPr>
              <w:t>Item</w:t>
            </w:r>
          </w:p>
        </w:tc>
        <w:tc>
          <w:tcPr>
            <w:tcW w:type="dxa" w:w="2835"/>
            <w:vAlign w:val="center"/>
            <w:tcMar>
              <w:top w:w="90" w:type="dxa"/>
              <w:start w:w="110" w:type="dxa"/>
              <w:bottom w:w="90" w:type="dxa"/>
              <w:end w:w="110" w:type="dxa"/>
            </w:tcMar>
            <w:shd w:fill="17324D"/>
          </w:tcPr>
          <w:p>
            <w:pPr>
              <w:spacing w:after="0" w:before="0"/>
            </w:pPr>
            <w:r>
              <w:rPr>
                <w:rFonts w:ascii="Aptos" w:hAnsi="Aptos"/>
                <w:b/>
                <w:color w:val="FFFFFF"/>
                <w:sz w:val="20"/>
              </w:rPr>
              <w:t>Quantity per family</w:t>
            </w:r>
          </w:p>
        </w:tc>
      </w:tr>
      <w:tr>
        <w:tc>
          <w:tcPr>
            <w:tcW w:type="dxa" w:w="1814"/>
            <w:vAlign w:val="center"/>
            <w:tcMar>
              <w:top w:w="90" w:type="dxa"/>
              <w:start w:w="110" w:type="dxa"/>
              <w:bottom w:w="90" w:type="dxa"/>
              <w:end w:w="110" w:type="dxa"/>
            </w:tcMar>
          </w:tcPr>
          <w:p>
            <w:pPr>
              <w:spacing w:after="0" w:before="0"/>
            </w:pPr>
            <w:r>
              <w:rPr>
                <w:rFonts w:ascii="Aptos" w:hAnsi="Aptos"/>
                <w:sz w:val="20"/>
              </w:rPr>
              <w:t>Food</w:t>
            </w:r>
          </w:p>
        </w:tc>
        <w:tc>
          <w:tcPr>
            <w:tcW w:type="dxa" w:w="3969"/>
            <w:vAlign w:val="center"/>
            <w:tcMar>
              <w:top w:w="90" w:type="dxa"/>
              <w:start w:w="110" w:type="dxa"/>
              <w:bottom w:w="90" w:type="dxa"/>
              <w:end w:w="110" w:type="dxa"/>
            </w:tcMar>
          </w:tcPr>
          <w:p>
            <w:pPr>
              <w:spacing w:after="0" w:before="0"/>
            </w:pPr>
            <w:r>
              <w:rPr>
                <w:rFonts w:ascii="Aptos" w:hAnsi="Aptos"/>
                <w:sz w:val="20"/>
              </w:rPr>
              <w:t>Rice</w:t>
            </w:r>
          </w:p>
        </w:tc>
        <w:tc>
          <w:tcPr>
            <w:tcW w:type="dxa" w:w="2835"/>
            <w:vAlign w:val="center"/>
            <w:tcMar>
              <w:top w:w="90" w:type="dxa"/>
              <w:start w:w="110" w:type="dxa"/>
              <w:bottom w:w="90" w:type="dxa"/>
              <w:end w:w="110" w:type="dxa"/>
            </w:tcMar>
          </w:tcPr>
          <w:p>
            <w:pPr>
              <w:spacing w:after="0" w:before="0"/>
            </w:pPr>
            <w:r>
              <w:rPr>
                <w:rFonts w:ascii="Aptos" w:hAnsi="Aptos"/>
                <w:sz w:val="20"/>
              </w:rPr>
              <w:t>8 kg</w:t>
            </w:r>
          </w:p>
        </w:tc>
      </w:tr>
      <w:tr>
        <w:tc>
          <w:tcPr>
            <w:tcW w:type="dxa" w:w="1814"/>
            <w:vAlign w:val="center"/>
            <w:tcMar>
              <w:top w:w="90" w:type="dxa"/>
              <w:start w:w="110" w:type="dxa"/>
              <w:bottom w:w="90" w:type="dxa"/>
              <w:end w:w="110" w:type="dxa"/>
            </w:tcMar>
            <w:shd w:fill="EAF4F4"/>
          </w:tcPr>
          <w:p>
            <w:pPr>
              <w:spacing w:after="0" w:before="0"/>
            </w:pPr>
            <w:r>
              <w:rPr>
                <w:rFonts w:ascii="Aptos" w:hAnsi="Aptos"/>
                <w:sz w:val="20"/>
              </w:rPr>
              <w:t>Food</w:t>
            </w:r>
          </w:p>
        </w:tc>
        <w:tc>
          <w:tcPr>
            <w:tcW w:type="dxa" w:w="3969"/>
            <w:vAlign w:val="center"/>
            <w:tcMar>
              <w:top w:w="90" w:type="dxa"/>
              <w:start w:w="110" w:type="dxa"/>
              <w:bottom w:w="90" w:type="dxa"/>
              <w:end w:w="110" w:type="dxa"/>
            </w:tcMar>
            <w:shd w:fill="EAF4F4"/>
          </w:tcPr>
          <w:p>
            <w:pPr>
              <w:spacing w:after="0" w:before="0"/>
            </w:pPr>
            <w:r>
              <w:rPr>
                <w:rFonts w:ascii="Aptos" w:hAnsi="Aptos"/>
                <w:sz w:val="20"/>
              </w:rPr>
              <w:t>Lentils</w:t>
            </w:r>
          </w:p>
        </w:tc>
        <w:tc>
          <w:tcPr>
            <w:tcW w:type="dxa" w:w="2835"/>
            <w:vAlign w:val="center"/>
            <w:tcMar>
              <w:top w:w="90" w:type="dxa"/>
              <w:start w:w="110" w:type="dxa"/>
              <w:bottom w:w="90" w:type="dxa"/>
              <w:end w:w="110" w:type="dxa"/>
            </w:tcMar>
            <w:shd w:fill="EAF4F4"/>
          </w:tcPr>
          <w:p>
            <w:pPr>
              <w:spacing w:after="0" w:before="0"/>
            </w:pPr>
            <w:r>
              <w:rPr>
                <w:rFonts w:ascii="Aptos" w:hAnsi="Aptos"/>
                <w:sz w:val="20"/>
              </w:rPr>
              <w:t>1 kg</w:t>
            </w:r>
          </w:p>
        </w:tc>
      </w:tr>
      <w:tr>
        <w:tc>
          <w:tcPr>
            <w:tcW w:type="dxa" w:w="1814"/>
            <w:vAlign w:val="center"/>
            <w:tcMar>
              <w:top w:w="90" w:type="dxa"/>
              <w:start w:w="110" w:type="dxa"/>
              <w:bottom w:w="90" w:type="dxa"/>
              <w:end w:w="110" w:type="dxa"/>
            </w:tcMar>
          </w:tcPr>
          <w:p>
            <w:pPr>
              <w:spacing w:after="0" w:before="0"/>
            </w:pPr>
            <w:r>
              <w:rPr>
                <w:rFonts w:ascii="Aptos" w:hAnsi="Aptos"/>
                <w:sz w:val="20"/>
              </w:rPr>
              <w:t>Food</w:t>
            </w:r>
          </w:p>
        </w:tc>
        <w:tc>
          <w:tcPr>
            <w:tcW w:type="dxa" w:w="3969"/>
            <w:vAlign w:val="center"/>
            <w:tcMar>
              <w:top w:w="90" w:type="dxa"/>
              <w:start w:w="110" w:type="dxa"/>
              <w:bottom w:w="90" w:type="dxa"/>
              <w:end w:w="110" w:type="dxa"/>
            </w:tcMar>
          </w:tcPr>
          <w:p>
            <w:pPr>
              <w:spacing w:after="0" w:before="0"/>
            </w:pPr>
            <w:r>
              <w:rPr>
                <w:rFonts w:ascii="Aptos" w:hAnsi="Aptos"/>
                <w:sz w:val="20"/>
              </w:rPr>
              <w:t>Soybean oil</w:t>
            </w:r>
          </w:p>
        </w:tc>
        <w:tc>
          <w:tcPr>
            <w:tcW w:type="dxa" w:w="2835"/>
            <w:vAlign w:val="center"/>
            <w:tcMar>
              <w:top w:w="90" w:type="dxa"/>
              <w:start w:w="110" w:type="dxa"/>
              <w:bottom w:w="90" w:type="dxa"/>
              <w:end w:w="110" w:type="dxa"/>
            </w:tcMar>
          </w:tcPr>
          <w:p>
            <w:pPr>
              <w:spacing w:after="0" w:before="0"/>
            </w:pPr>
            <w:r>
              <w:rPr>
                <w:rFonts w:ascii="Aptos" w:hAnsi="Aptos"/>
                <w:sz w:val="20"/>
              </w:rPr>
              <w:t>500 ml</w:t>
            </w:r>
          </w:p>
        </w:tc>
      </w:tr>
      <w:tr>
        <w:tc>
          <w:tcPr>
            <w:tcW w:type="dxa" w:w="1814"/>
            <w:vAlign w:val="center"/>
            <w:tcMar>
              <w:top w:w="90" w:type="dxa"/>
              <w:start w:w="110" w:type="dxa"/>
              <w:bottom w:w="90" w:type="dxa"/>
              <w:end w:w="110" w:type="dxa"/>
            </w:tcMar>
            <w:shd w:fill="EAF4F4"/>
          </w:tcPr>
          <w:p>
            <w:pPr>
              <w:spacing w:after="0" w:before="0"/>
            </w:pPr>
            <w:r>
              <w:rPr>
                <w:rFonts w:ascii="Aptos" w:hAnsi="Aptos"/>
                <w:sz w:val="20"/>
              </w:rPr>
              <w:t>Food</w:t>
            </w:r>
          </w:p>
        </w:tc>
        <w:tc>
          <w:tcPr>
            <w:tcW w:type="dxa" w:w="3969"/>
            <w:vAlign w:val="center"/>
            <w:tcMar>
              <w:top w:w="90" w:type="dxa"/>
              <w:start w:w="110" w:type="dxa"/>
              <w:bottom w:w="90" w:type="dxa"/>
              <w:end w:w="110" w:type="dxa"/>
            </w:tcMar>
            <w:shd w:fill="EAF4F4"/>
          </w:tcPr>
          <w:p>
            <w:pPr>
              <w:spacing w:after="0" w:before="0"/>
            </w:pPr>
            <w:r>
              <w:rPr>
                <w:rFonts w:ascii="Aptos" w:hAnsi="Aptos"/>
                <w:sz w:val="20"/>
              </w:rPr>
              <w:t>Onions</w:t>
            </w:r>
          </w:p>
        </w:tc>
        <w:tc>
          <w:tcPr>
            <w:tcW w:type="dxa" w:w="2835"/>
            <w:vAlign w:val="center"/>
            <w:tcMar>
              <w:top w:w="90" w:type="dxa"/>
              <w:start w:w="110" w:type="dxa"/>
              <w:bottom w:w="90" w:type="dxa"/>
              <w:end w:w="110" w:type="dxa"/>
            </w:tcMar>
            <w:shd w:fill="EAF4F4"/>
          </w:tcPr>
          <w:p>
            <w:pPr>
              <w:spacing w:after="0" w:before="0"/>
            </w:pPr>
            <w:r>
              <w:rPr>
                <w:rFonts w:ascii="Aptos" w:hAnsi="Aptos"/>
                <w:sz w:val="20"/>
              </w:rPr>
              <w:t>2 kg</w:t>
            </w:r>
          </w:p>
        </w:tc>
      </w:tr>
      <w:tr>
        <w:tc>
          <w:tcPr>
            <w:tcW w:type="dxa" w:w="1814"/>
            <w:vAlign w:val="center"/>
            <w:tcMar>
              <w:top w:w="90" w:type="dxa"/>
              <w:start w:w="110" w:type="dxa"/>
              <w:bottom w:w="90" w:type="dxa"/>
              <w:end w:w="110" w:type="dxa"/>
            </w:tcMar>
          </w:tcPr>
          <w:p>
            <w:pPr>
              <w:spacing w:after="0" w:before="0"/>
            </w:pPr>
            <w:r>
              <w:rPr>
                <w:rFonts w:ascii="Aptos" w:hAnsi="Aptos"/>
                <w:sz w:val="20"/>
              </w:rPr>
              <w:t>Food</w:t>
            </w:r>
          </w:p>
        </w:tc>
        <w:tc>
          <w:tcPr>
            <w:tcW w:type="dxa" w:w="3969"/>
            <w:vAlign w:val="center"/>
            <w:tcMar>
              <w:top w:w="90" w:type="dxa"/>
              <w:start w:w="110" w:type="dxa"/>
              <w:bottom w:w="90" w:type="dxa"/>
              <w:end w:w="110" w:type="dxa"/>
            </w:tcMar>
          </w:tcPr>
          <w:p>
            <w:pPr>
              <w:spacing w:after="0" w:before="0"/>
            </w:pPr>
            <w:r>
              <w:rPr>
                <w:rFonts w:ascii="Aptos" w:hAnsi="Aptos"/>
                <w:sz w:val="20"/>
              </w:rPr>
              <w:t>Potatoes</w:t>
            </w:r>
          </w:p>
        </w:tc>
        <w:tc>
          <w:tcPr>
            <w:tcW w:type="dxa" w:w="2835"/>
            <w:vAlign w:val="center"/>
            <w:tcMar>
              <w:top w:w="90" w:type="dxa"/>
              <w:start w:w="110" w:type="dxa"/>
              <w:bottom w:w="90" w:type="dxa"/>
              <w:end w:w="110" w:type="dxa"/>
            </w:tcMar>
          </w:tcPr>
          <w:p>
            <w:pPr>
              <w:spacing w:after="0" w:before="0"/>
            </w:pPr>
            <w:r>
              <w:rPr>
                <w:rFonts w:ascii="Aptos" w:hAnsi="Aptos"/>
                <w:sz w:val="20"/>
              </w:rPr>
              <w:t>2 kg</w:t>
            </w:r>
          </w:p>
        </w:tc>
      </w:tr>
      <w:tr>
        <w:tc>
          <w:tcPr>
            <w:tcW w:type="dxa" w:w="1814"/>
            <w:vAlign w:val="center"/>
            <w:tcMar>
              <w:top w:w="90" w:type="dxa"/>
              <w:start w:w="110" w:type="dxa"/>
              <w:bottom w:w="90" w:type="dxa"/>
              <w:end w:w="110" w:type="dxa"/>
            </w:tcMar>
            <w:shd w:fill="EAF4F4"/>
          </w:tcPr>
          <w:p>
            <w:pPr>
              <w:spacing w:after="0" w:before="0"/>
            </w:pPr>
            <w:r>
              <w:rPr>
                <w:rFonts w:ascii="Aptos" w:hAnsi="Aptos"/>
                <w:sz w:val="20"/>
              </w:rPr>
              <w:t>Medical</w:t>
            </w:r>
          </w:p>
        </w:tc>
        <w:tc>
          <w:tcPr>
            <w:tcW w:type="dxa" w:w="3969"/>
            <w:vAlign w:val="center"/>
            <w:tcMar>
              <w:top w:w="90" w:type="dxa"/>
              <w:start w:w="110" w:type="dxa"/>
              <w:bottom w:w="90" w:type="dxa"/>
              <w:end w:w="110" w:type="dxa"/>
            </w:tcMar>
            <w:shd w:fill="EAF4F4"/>
          </w:tcPr>
          <w:p>
            <w:pPr>
              <w:spacing w:after="0" w:before="0"/>
            </w:pPr>
            <w:r>
              <w:rPr>
                <w:rFonts w:ascii="Aptos" w:hAnsi="Aptos"/>
                <w:sz w:val="20"/>
              </w:rPr>
              <w:t>Napa</w:t>
            </w:r>
          </w:p>
        </w:tc>
        <w:tc>
          <w:tcPr>
            <w:tcW w:type="dxa" w:w="2835"/>
            <w:vAlign w:val="center"/>
            <w:tcMar>
              <w:top w:w="90" w:type="dxa"/>
              <w:start w:w="110" w:type="dxa"/>
              <w:bottom w:w="90" w:type="dxa"/>
              <w:end w:w="110" w:type="dxa"/>
            </w:tcMar>
            <w:shd w:fill="EAF4F4"/>
          </w:tcPr>
          <w:p>
            <w:pPr>
              <w:spacing w:after="0" w:before="0"/>
            </w:pPr>
            <w:r>
              <w:rPr>
                <w:rFonts w:ascii="Aptos" w:hAnsi="Aptos"/>
                <w:sz w:val="20"/>
              </w:rPr>
              <w:t>1 strip</w:t>
            </w:r>
          </w:p>
        </w:tc>
      </w:tr>
      <w:tr>
        <w:tc>
          <w:tcPr>
            <w:tcW w:type="dxa" w:w="1814"/>
            <w:vAlign w:val="center"/>
            <w:tcMar>
              <w:top w:w="90" w:type="dxa"/>
              <w:start w:w="110" w:type="dxa"/>
              <w:bottom w:w="90" w:type="dxa"/>
              <w:end w:w="110" w:type="dxa"/>
            </w:tcMar>
          </w:tcPr>
          <w:p>
            <w:pPr>
              <w:spacing w:after="0" w:before="0"/>
            </w:pPr>
            <w:r>
              <w:rPr>
                <w:rFonts w:ascii="Aptos" w:hAnsi="Aptos"/>
                <w:sz w:val="20"/>
              </w:rPr>
              <w:t>Medical</w:t>
            </w:r>
          </w:p>
        </w:tc>
        <w:tc>
          <w:tcPr>
            <w:tcW w:type="dxa" w:w="3969"/>
            <w:vAlign w:val="center"/>
            <w:tcMar>
              <w:top w:w="90" w:type="dxa"/>
              <w:start w:w="110" w:type="dxa"/>
              <w:bottom w:w="90" w:type="dxa"/>
              <w:end w:w="110" w:type="dxa"/>
            </w:tcMar>
          </w:tcPr>
          <w:p>
            <w:pPr>
              <w:spacing w:after="0" w:before="0"/>
            </w:pPr>
            <w:r>
              <w:rPr>
                <w:rFonts w:ascii="Aptos" w:hAnsi="Aptos"/>
                <w:sz w:val="20"/>
              </w:rPr>
              <w:t>Flagyl</w:t>
            </w:r>
          </w:p>
        </w:tc>
        <w:tc>
          <w:tcPr>
            <w:tcW w:type="dxa" w:w="2835"/>
            <w:vAlign w:val="center"/>
            <w:tcMar>
              <w:top w:w="90" w:type="dxa"/>
              <w:start w:w="110" w:type="dxa"/>
              <w:bottom w:w="90" w:type="dxa"/>
              <w:end w:w="110" w:type="dxa"/>
            </w:tcMar>
          </w:tcPr>
          <w:p>
            <w:pPr>
              <w:spacing w:after="0" w:before="0"/>
            </w:pPr>
            <w:r>
              <w:rPr>
                <w:rFonts w:ascii="Aptos" w:hAnsi="Aptos"/>
                <w:sz w:val="20"/>
              </w:rPr>
              <w:t>1 strip</w:t>
            </w:r>
          </w:p>
        </w:tc>
      </w:tr>
      <w:tr>
        <w:tc>
          <w:tcPr>
            <w:tcW w:type="dxa" w:w="1814"/>
            <w:vAlign w:val="center"/>
            <w:tcMar>
              <w:top w:w="90" w:type="dxa"/>
              <w:start w:w="110" w:type="dxa"/>
              <w:bottom w:w="90" w:type="dxa"/>
              <w:end w:w="110" w:type="dxa"/>
            </w:tcMar>
            <w:shd w:fill="EAF4F4"/>
          </w:tcPr>
          <w:p>
            <w:pPr>
              <w:spacing w:after="0" w:before="0"/>
            </w:pPr>
            <w:r>
              <w:rPr>
                <w:rFonts w:ascii="Aptos" w:hAnsi="Aptos"/>
                <w:sz w:val="20"/>
              </w:rPr>
              <w:t>Medical</w:t>
            </w:r>
          </w:p>
        </w:tc>
        <w:tc>
          <w:tcPr>
            <w:tcW w:type="dxa" w:w="3969"/>
            <w:vAlign w:val="center"/>
            <w:tcMar>
              <w:top w:w="90" w:type="dxa"/>
              <w:start w:w="110" w:type="dxa"/>
              <w:bottom w:w="90" w:type="dxa"/>
              <w:end w:w="110" w:type="dxa"/>
            </w:tcMar>
            <w:shd w:fill="EAF4F4"/>
          </w:tcPr>
          <w:p>
            <w:pPr>
              <w:spacing w:after="0" w:before="0"/>
            </w:pPr>
            <w:r>
              <w:rPr>
                <w:rFonts w:ascii="Aptos" w:hAnsi="Aptos"/>
                <w:sz w:val="20"/>
              </w:rPr>
              <w:t>Oral saline</w:t>
            </w:r>
          </w:p>
        </w:tc>
        <w:tc>
          <w:tcPr>
            <w:tcW w:type="dxa" w:w="2835"/>
            <w:vAlign w:val="center"/>
            <w:tcMar>
              <w:top w:w="90" w:type="dxa"/>
              <w:start w:w="110" w:type="dxa"/>
              <w:bottom w:w="90" w:type="dxa"/>
              <w:end w:w="110" w:type="dxa"/>
            </w:tcMar>
            <w:shd w:fill="EAF4F4"/>
          </w:tcPr>
          <w:p>
            <w:pPr>
              <w:spacing w:after="0" w:before="0"/>
            </w:pPr>
            <w:r>
              <w:rPr>
                <w:rFonts w:ascii="Aptos" w:hAnsi="Aptos"/>
                <w:sz w:val="20"/>
              </w:rPr>
              <w:t>5 packets</w:t>
            </w:r>
          </w:p>
        </w:tc>
      </w:tr>
      <w:tr>
        <w:tc>
          <w:tcPr>
            <w:tcW w:type="dxa" w:w="1814"/>
            <w:vAlign w:val="center"/>
            <w:tcMar>
              <w:top w:w="90" w:type="dxa"/>
              <w:start w:w="110" w:type="dxa"/>
              <w:bottom w:w="90" w:type="dxa"/>
              <w:end w:w="110" w:type="dxa"/>
            </w:tcMar>
          </w:tcPr>
          <w:p>
            <w:pPr>
              <w:spacing w:after="0" w:before="0"/>
            </w:pPr>
            <w:r>
              <w:rPr>
                <w:rFonts w:ascii="Aptos" w:hAnsi="Aptos"/>
                <w:sz w:val="20"/>
              </w:rPr>
              <w:t>Medical</w:t>
            </w:r>
          </w:p>
        </w:tc>
        <w:tc>
          <w:tcPr>
            <w:tcW w:type="dxa" w:w="3969"/>
            <w:vAlign w:val="center"/>
            <w:tcMar>
              <w:top w:w="90" w:type="dxa"/>
              <w:start w:w="110" w:type="dxa"/>
              <w:bottom w:w="90" w:type="dxa"/>
              <w:end w:w="110" w:type="dxa"/>
            </w:tcMar>
          </w:tcPr>
          <w:p>
            <w:pPr>
              <w:spacing w:after="0" w:before="0"/>
            </w:pPr>
            <w:r>
              <w:rPr>
                <w:rFonts w:ascii="Aptos" w:hAnsi="Aptos"/>
                <w:sz w:val="20"/>
              </w:rPr>
              <w:t>Cough syrup</w:t>
            </w:r>
          </w:p>
        </w:tc>
        <w:tc>
          <w:tcPr>
            <w:tcW w:type="dxa" w:w="2835"/>
            <w:vAlign w:val="center"/>
            <w:tcMar>
              <w:top w:w="90" w:type="dxa"/>
              <w:start w:w="110" w:type="dxa"/>
              <w:bottom w:w="90" w:type="dxa"/>
              <w:end w:w="110" w:type="dxa"/>
            </w:tcMar>
          </w:tcPr>
          <w:p>
            <w:pPr>
              <w:spacing w:after="0" w:before="0"/>
            </w:pPr>
            <w:r>
              <w:rPr>
                <w:rFonts w:ascii="Aptos" w:hAnsi="Aptos"/>
                <w:sz w:val="20"/>
              </w:rPr>
              <w:t>1 bottle</w:t>
            </w:r>
          </w:p>
        </w:tc>
      </w:tr>
      <w:tr>
        <w:tc>
          <w:tcPr>
            <w:tcW w:type="dxa" w:w="1814"/>
            <w:vAlign w:val="center"/>
            <w:tcMar>
              <w:top w:w="90" w:type="dxa"/>
              <w:start w:w="110" w:type="dxa"/>
              <w:bottom w:w="90" w:type="dxa"/>
              <w:end w:w="110" w:type="dxa"/>
            </w:tcMar>
            <w:shd w:fill="EAF4F4"/>
          </w:tcPr>
          <w:p>
            <w:pPr>
              <w:spacing w:after="0" w:before="0"/>
            </w:pPr>
            <w:r>
              <w:rPr>
                <w:rFonts w:ascii="Aptos" w:hAnsi="Aptos"/>
                <w:sz w:val="20"/>
              </w:rPr>
              <w:t>Hygiene</w:t>
            </w:r>
          </w:p>
        </w:tc>
        <w:tc>
          <w:tcPr>
            <w:tcW w:type="dxa" w:w="3969"/>
            <w:vAlign w:val="center"/>
            <w:tcMar>
              <w:top w:w="90" w:type="dxa"/>
              <w:start w:w="110" w:type="dxa"/>
              <w:bottom w:w="90" w:type="dxa"/>
              <w:end w:w="110" w:type="dxa"/>
            </w:tcMar>
            <w:shd w:fill="EAF4F4"/>
          </w:tcPr>
          <w:p>
            <w:pPr>
              <w:spacing w:after="0" w:before="0"/>
            </w:pPr>
            <w:r>
              <w:rPr>
                <w:rFonts w:ascii="Aptos" w:hAnsi="Aptos"/>
                <w:sz w:val="20"/>
              </w:rPr>
              <w:t>Sanitary pads</w:t>
            </w:r>
          </w:p>
        </w:tc>
        <w:tc>
          <w:tcPr>
            <w:tcW w:type="dxa" w:w="2835"/>
            <w:vAlign w:val="center"/>
            <w:tcMar>
              <w:top w:w="90" w:type="dxa"/>
              <w:start w:w="110" w:type="dxa"/>
              <w:bottom w:w="90" w:type="dxa"/>
              <w:end w:w="110" w:type="dxa"/>
            </w:tcMar>
            <w:shd w:fill="EAF4F4"/>
          </w:tcPr>
          <w:p>
            <w:pPr>
              <w:spacing w:after="0" w:before="0"/>
            </w:pPr>
            <w:r>
              <w:rPr>
                <w:rFonts w:ascii="Aptos" w:hAnsi="Aptos"/>
                <w:sz w:val="20"/>
              </w:rPr>
              <w:t>1 packet</w:t>
            </w:r>
          </w:p>
        </w:tc>
      </w:tr>
    </w:tbl>
    <w:p/>
    <w:p>
      <w:pPr>
        <w:pStyle w:val="Heading1"/>
      </w:pPr>
      <w:r>
        <w:t>Beneficiary Verification</w:t>
      </w:r>
    </w:p>
    <w:p>
      <w:r>
        <w:t>To ensure each package reached a family in need, we worked with our field execution partner, the Chattogram Patrol Team. With support from local teachers and social workers who knew the affected communities, the team prepared an initial list of potential recipients.</w:t>
      </w:r>
    </w:p>
    <w:p>
      <w:r>
        <w:t>Our volunteers then conducted door-to-door surveys, assessing each family's housing conditions, access to food and sources of income. This process allowed us to identify the most vulnerable households and distribute the packages fairly and responsibly.</w:t>
      </w:r>
    </w:p>
    <w:p>
      <w:pPr>
        <w:pStyle w:val="Heading1"/>
      </w:pPr>
      <w:r>
        <w:t>The Field Operation</w:t>
      </w:r>
    </w:p>
    <w:p>
      <w:r>
        <w:t>A six-member volunteer team left Dhaka at 10:00 PM and travelled overnight, arriving in Chattogram at 8:00 AM the following morning. After a brief period of preparation, the team loaded the supplies into a pickup truck at 9:30 AM and reached the affected communities at around 1:00 PM. For more than 12 hours, the volunteers distributed relief packages to all 70 selected families.</w:t>
      </w:r>
    </w:p>
    <w:p>
      <w:r>
        <w:t>Muddy roads made many homes inaccessible by vehicle. The volunteers divided into two teams of three and carried the 15-kilogram packages on foot, sometimes walking for more than 30 minutes to reach households. Despite the exhausting journey and difficult conditions, they continued until every selected family had received support.</w:t>
      </w:r>
    </w:p>
    <w:p>
      <w:pPr>
        <w:pStyle w:val="Heading1"/>
      </w:pPr>
      <w:r>
        <w:t>The Impact: By the Numbers</w:t>
      </w:r>
    </w:p>
    <w:p>
      <w:pPr>
        <w:pStyle w:val="ListBullet"/>
      </w:pPr>
      <w:r>
        <w:rPr>
          <w:b/>
        </w:rPr>
        <w:t>BDT 70,000 raised and allocated</w:t>
      </w:r>
      <w:r>
        <w:t xml:space="preserve"> as the total project budget.</w:t>
      </w:r>
    </w:p>
    <w:p>
      <w:pPr>
        <w:pStyle w:val="ListBullet"/>
      </w:pPr>
      <w:r>
        <w:rPr>
          <w:b/>
        </w:rPr>
        <w:t>70 relief packages distributed</w:t>
      </w:r>
      <w:r>
        <w:t xml:space="preserve"> to 70 families.</w:t>
      </w:r>
    </w:p>
    <w:p>
      <w:pPr>
        <w:pStyle w:val="ListBullet"/>
      </w:pPr>
      <w:r>
        <w:rPr>
          <w:b/>
        </w:rPr>
        <w:t>Approximately 280 people reached</w:t>
      </w:r>
      <w:r>
        <w:t>, based on an average household size of four.</w:t>
      </w:r>
    </w:p>
    <w:p>
      <w:pPr>
        <w:pStyle w:val="ListBullet"/>
      </w:pPr>
      <w:r>
        <w:rPr>
          <w:b/>
        </w:rPr>
        <w:t>BDT 929 estimated value per package</w:t>
      </w:r>
      <w:r>
        <w:t>, with BDT 4,970 spent on transportation in total.</w:t>
      </w:r>
    </w:p>
    <w:p>
      <w:pPr>
        <w:pStyle w:val="ListBullet"/>
      </w:pPr>
      <w:r>
        <w:rPr>
          <w:b/>
        </w:rPr>
        <w:t>Around two weeks of essential support</w:t>
      </w:r>
      <w:r>
        <w:t xml:space="preserve"> provided to each household.</w:t>
      </w:r>
    </w:p>
    <w:p>
      <w:r>
        <w:t>These results reflect the generosity of our donors and supporters, the work of our partners and the commitment of our volunteers. Just as importantly, the project reflected the trust placed in a youth-led organisation. It showed that young people can lead a careful and accountable humanitarian response when their community supports them.</w:t>
      </w:r>
    </w:p>
    <w:p>
      <w:pPr>
        <w:pStyle w:val="Heading1"/>
      </w:pPr>
      <w:r>
        <w:t>Challenges and Lessons Learned</w:t>
      </w:r>
    </w:p>
    <w:p>
      <w:r>
        <w:t>The fieldwork followed an overnight journey from Dhaka, leaving the volunteers with little rest before a physically demanding day. Reaching remote homes meant carrying heavy packages along muddy paths, while extreme heat and limited drinking water added to the strain. Beneficiary verification also required time and patience, and the team occasionally faced pressure from people who were not included on the final recipient list.</w:t>
      </w:r>
    </w:p>
    <w:p>
      <w:r>
        <w:t>These difficulties reinforced the importance of local knowledge, patient communication, careful verification and flexible teamwork. Seeing damaged homes, disrupted livelihoods and inaccessible roads also gave our volunteers a clearer understanding of the challenges families faced after the flood. The resilience of those communities stayed with the team and strengthened its commitment to responsible humanitarian work.</w:t>
      </w:r>
    </w:p>
    <w:p>
      <w:pPr>
        <w:pStyle w:val="Heading1"/>
      </w:pPr>
      <w:r>
        <w:t>What's Next?</w:t>
      </w:r>
    </w:p>
    <w:p>
      <w:r>
        <w:rPr>
          <w:b/>
        </w:rPr>
        <w:t>Project Chattala: Beyond the Flood</w:t>
      </w:r>
      <w:r>
        <w:t xml:space="preserve"> was more than a single relief effort. It strengthened Navaan Foundation's commitment to long-term humanitarian work. As the organisation grows, we aim to reach more vulnerable families with timely and practical support.</w:t>
      </w:r>
    </w:p>
    <w:p>
      <w:r>
        <w:t>We believe lasting change begins by helping individuals and families regain stability, dignity and hope. Beyond emergency relief, Navaan Foundation remains committed to developing sustainable initiatives that support communities as they rebuild.</w:t>
      </w:r>
    </w:p>
    <w:p>
      <w:r>
        <w:t>Together, we are Navaan Foundation—driven by purpose, powered by people.</w:t>
      </w:r>
    </w:p>
    <w:p>
      <w:pPr>
        <w:pStyle w:val="Heading1"/>
      </w:pPr>
      <w:r>
        <w:t>Evidence and Transparency</w:t>
      </w:r>
    </w:p>
    <w:p>
      <w:r>
        <w:t>Project records—including receipts, distribution lists and field photographs—will be presented here to document how funds were used and how the operation was carried out.</w:t>
      </w:r>
    </w:p>
    <w:p>
      <w:pPr>
        <w:keepLines/>
        <w:spacing w:before="80" w:after="180"/>
        <w:ind w:left="227" w:right="227"/>
        <w:shd w:fill="F2F4F5"/>
      </w:pPr>
      <w:r>
        <w:rPr>
          <w:i/>
        </w:rPr>
        <w:t>[For the graphics team: Insert verified photographs, receipts, distribution records and captions here. Remove this note before publication.]</w:t>
      </w:r>
    </w:p>
    <w:p>
      <w:pPr>
        <w:pStyle w:val="Heading1"/>
      </w:pPr>
      <w:r>
        <w:t>The People Behind the Project</w:t>
      </w:r>
    </w:p>
    <w:p>
      <w:pPr>
        <w:pStyle w:val="ListBullet"/>
      </w:pPr>
      <w:r>
        <w:t>Navaan Foundation Team</w:t>
      </w:r>
    </w:p>
    <w:p>
      <w:pPr>
        <w:pStyle w:val="ListBullet"/>
      </w:pPr>
      <w:r>
        <w:t>Content Writing Team</w:t>
      </w:r>
    </w:p>
    <w:p>
      <w:pPr>
        <w:pStyle w:val="ListBullet"/>
      </w:pPr>
      <w:r>
        <w:t>Field Volunteers</w:t>
      </w:r>
    </w:p>
    <w:p>
      <w:pPr>
        <w:pStyle w:val="ListBullet"/>
      </w:pPr>
      <w:r>
        <w:t>Project Partners</w:t>
      </w:r>
    </w:p>
    <w:p>
      <w:pPr>
        <w:pStyle w:val="ListBullet"/>
      </w:pPr>
      <w:r>
        <w:t>Sponsors and Supporters</w:t>
      </w:r>
    </w:p>
    <w:p>
      <w:pPr>
        <w:keepLines/>
        <w:spacing w:before="80" w:after="180"/>
        <w:ind w:left="227" w:right="227"/>
        <w:shd w:fill="F2F4F5"/>
      </w:pPr>
      <w:r>
        <w:rPr>
          <w:i/>
        </w:rPr>
        <w:t>[For the graphics team: Add verified names, roles, photographs, logos and relevant credits here. Remove this note before publication.]</w:t>
      </w:r>
    </w:p>
    <w:sectPr w:rsidR="00FC693F" w:rsidRPr="0006063C" w:rsidSect="00034616">
      <w:pgSz w:w="11906" w:h="16838"/>
      <w:pgMar w:top="1247" w:right="1332" w:bottom="1247"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3741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69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369" w:hanging="198"/>
      <w:contextualSpacing/>
    </w:pPr>
    <w:rPr>
      <w:rFonts w:ascii="Aptos" w:hAnsi="Aptos"/>
      <w:color w:val="37414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Chattala: Beyond the Flood</dc:title>
  <dc:subject>Edited magazine copy</dc:subject>
  <dc:creator>Navaan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