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2416" w:type="dxa"/>
        <w:tblInd w:w="-5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428"/>
        <w:gridCol w:w="1336"/>
        <w:gridCol w:w="1705"/>
        <w:gridCol w:w="1572"/>
        <w:gridCol w:w="1573"/>
        <w:gridCol w:w="1189"/>
        <w:gridCol w:w="921"/>
        <w:gridCol w:w="1346"/>
        <w:gridCol w:w="1346"/>
      </w:tblGrid>
      <w:tr w14:paraId="74EBF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8" w:type="dxa"/>
          </w:tcPr>
          <w:p w14:paraId="3E1D93A5">
            <w:pPr>
              <w:rPr>
                <w:vertAlign w:val="baseline"/>
              </w:rPr>
            </w:pPr>
            <w:r>
              <w:rPr>
                <w:rFonts w:ascii="SimSun" w:hAnsi="SimSun" w:eastAsia="SimSun" w:cs="SimSun"/>
                <w:sz w:val="24"/>
                <w:szCs w:val="24"/>
              </w:rPr>
              <w:t>Paper Title</w:t>
            </w:r>
          </w:p>
        </w:tc>
        <w:tc>
          <w:tcPr>
            <w:tcW w:w="1336" w:type="dxa"/>
          </w:tcPr>
          <w:p w14:paraId="429B76D0">
            <w:pPr>
              <w:rPr>
                <w:vertAlign w:val="baseline"/>
              </w:rPr>
            </w:pPr>
            <w:r>
              <w:rPr>
                <w:rFonts w:ascii="SimSun" w:hAnsi="SimSun" w:eastAsia="SimSun" w:cs="SimSun"/>
                <w:sz w:val="24"/>
                <w:szCs w:val="24"/>
              </w:rPr>
              <w:t>Year and Rank</w:t>
            </w:r>
          </w:p>
        </w:tc>
        <w:tc>
          <w:tcPr>
            <w:tcW w:w="1705" w:type="dxa"/>
          </w:tcPr>
          <w:p w14:paraId="00B3A06A">
            <w:pPr>
              <w:rPr>
                <w:vertAlign w:val="baseline"/>
              </w:rPr>
            </w:pPr>
            <w:r>
              <w:rPr>
                <w:rFonts w:ascii="SimSun" w:hAnsi="SimSun" w:eastAsia="SimSun" w:cs="SimSun"/>
                <w:sz w:val="24"/>
                <w:szCs w:val="24"/>
              </w:rPr>
              <w:t>Method</w:t>
            </w:r>
          </w:p>
        </w:tc>
        <w:tc>
          <w:tcPr>
            <w:tcW w:w="1572" w:type="dxa"/>
          </w:tcPr>
          <w:p w14:paraId="5EBAE64B">
            <w:pPr>
              <w:rPr>
                <w:vertAlign w:val="baseline"/>
              </w:rPr>
            </w:pPr>
            <w:r>
              <w:rPr>
                <w:rFonts w:ascii="SimSun" w:hAnsi="SimSun" w:eastAsia="SimSun" w:cs="SimSun"/>
                <w:sz w:val="24"/>
                <w:szCs w:val="24"/>
              </w:rPr>
              <w:t>Key Contribution</w:t>
            </w:r>
          </w:p>
        </w:tc>
        <w:tc>
          <w:tcPr>
            <w:tcW w:w="1573" w:type="dxa"/>
          </w:tcPr>
          <w:p w14:paraId="3C85707B">
            <w:pPr>
              <w:rPr>
                <w:vertAlign w:val="baseline"/>
              </w:rPr>
            </w:pPr>
            <w:r>
              <w:rPr>
                <w:rFonts w:ascii="SimSun" w:hAnsi="SimSun" w:eastAsia="SimSun" w:cs="SimSun"/>
                <w:sz w:val="24"/>
                <w:szCs w:val="24"/>
              </w:rPr>
              <w:t>Limitations / Research Gap</w:t>
            </w:r>
          </w:p>
        </w:tc>
        <w:tc>
          <w:tcPr>
            <w:tcW w:w="1189" w:type="dxa"/>
          </w:tcPr>
          <w:p w14:paraId="1030C6F8">
            <w:pPr>
              <w:rPr>
                <w:vertAlign w:val="baseline"/>
              </w:rPr>
            </w:pPr>
            <w:r>
              <w:rPr>
                <w:rFonts w:ascii="SimSun" w:hAnsi="SimSun" w:eastAsia="SimSun" w:cs="SimSun"/>
                <w:sz w:val="24"/>
                <w:szCs w:val="24"/>
              </w:rPr>
              <w:t>Dataset Used</w:t>
            </w:r>
          </w:p>
        </w:tc>
        <w:tc>
          <w:tcPr>
            <w:tcW w:w="921" w:type="dxa"/>
          </w:tcPr>
          <w:p w14:paraId="322F856B">
            <w:pPr>
              <w:rPr>
                <w:vertAlign w:val="baseline"/>
              </w:rPr>
            </w:pPr>
            <w:r>
              <w:rPr>
                <w:rFonts w:ascii="SimSun" w:hAnsi="SimSun" w:eastAsia="SimSun" w:cs="SimSun"/>
                <w:sz w:val="24"/>
                <w:szCs w:val="24"/>
              </w:rPr>
              <w:t>Future Work</w:t>
            </w:r>
          </w:p>
        </w:tc>
        <w:tc>
          <w:tcPr>
            <w:tcW w:w="1346" w:type="dxa"/>
          </w:tcPr>
          <w:p w14:paraId="59F9FF39">
            <w:pPr>
              <w:rPr>
                <w:rFonts w:ascii="SimSun" w:hAnsi="SimSun" w:eastAsia="SimSun" w:cs="SimSun"/>
                <w:sz w:val="24"/>
                <w:szCs w:val="24"/>
              </w:rPr>
            </w:pPr>
            <w:r>
              <w:rPr>
                <w:rFonts w:ascii="SimSun" w:hAnsi="SimSun" w:eastAsia="SimSun" w:cs="SimSun"/>
                <w:sz w:val="24"/>
                <w:szCs w:val="24"/>
              </w:rPr>
              <w:t>Relevance to Proposed Work</w:t>
            </w:r>
          </w:p>
        </w:tc>
        <w:tc>
          <w:tcPr>
            <w:tcW w:w="1346" w:type="dxa"/>
          </w:tcPr>
          <w:p w14:paraId="07098878">
            <w:pPr>
              <w:rPr>
                <w:rFonts w:ascii="SimSun" w:hAnsi="SimSun" w:eastAsia="SimSun" w:cs="SimSun"/>
                <w:sz w:val="24"/>
                <w:szCs w:val="24"/>
              </w:rPr>
            </w:pPr>
          </w:p>
        </w:tc>
      </w:tr>
      <w:tr w14:paraId="281C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8" w:type="dxa"/>
          </w:tcPr>
          <w:p w14:paraId="29ADD3CD">
            <w:pPr>
              <w:rPr>
                <w:rFonts w:hint="default" w:ascii="Times New Roman" w:hAnsi="Times New Roman" w:cs="Times New Roman"/>
                <w:sz w:val="16"/>
                <w:szCs w:val="16"/>
                <w:vertAlign w:val="baseline"/>
              </w:rPr>
            </w:pPr>
            <w:r>
              <w:rPr>
                <w:rFonts w:hint="default" w:ascii="Times New Roman" w:hAnsi="Times New Roman" w:eastAsia="SimSun" w:cs="Times New Roman"/>
                <w:b/>
                <w:bCs/>
                <w:sz w:val="16"/>
                <w:szCs w:val="16"/>
              </w:rPr>
              <w:t>Pricing Online LLM Services with Data-Calibrated Stackelberg Routing Game</w:t>
            </w:r>
          </w:p>
        </w:tc>
        <w:tc>
          <w:tcPr>
            <w:tcW w:w="1336" w:type="dxa"/>
          </w:tcPr>
          <w:p w14:paraId="163D46FB">
            <w:pPr>
              <w:jc w:val="both"/>
              <w:rPr>
                <w:rFonts w:hint="default" w:ascii="Times New Roman" w:hAnsi="Times New Roman" w:cs="Times New Roman"/>
                <w:sz w:val="16"/>
                <w:szCs w:val="16"/>
                <w:vertAlign w:val="baseline"/>
              </w:rPr>
            </w:pPr>
            <w:r>
              <w:rPr>
                <w:rFonts w:hint="default" w:ascii="Times New Roman" w:hAnsi="Times New Roman" w:eastAsia="SimSun" w:cs="Times New Roman"/>
                <w:sz w:val="16"/>
                <w:szCs w:val="16"/>
              </w:rPr>
              <w:t>Year: 2026. Conference: AAAI-26 (The Fortieth AAAI Conference on Artificial Intelligence).</w:t>
            </w:r>
          </w:p>
        </w:tc>
        <w:tc>
          <w:tcPr>
            <w:tcW w:w="1705" w:type="dxa"/>
          </w:tcPr>
          <w:p w14:paraId="097C2A4B">
            <w:pPr>
              <w:jc w:val="both"/>
              <w:rPr>
                <w:rFonts w:hint="default" w:ascii="Times New Roman" w:hAnsi="Times New Roman" w:cs="Times New Roman"/>
                <w:sz w:val="16"/>
                <w:szCs w:val="16"/>
                <w:vertAlign w:val="baseline"/>
              </w:rPr>
            </w:pPr>
            <w:r>
              <w:rPr>
                <w:rFonts w:hint="default" w:ascii="Times New Roman" w:hAnsi="Times New Roman" w:eastAsia="SimSun" w:cs="Times New Roman"/>
                <w:sz w:val="16"/>
                <w:szCs w:val="16"/>
              </w:rPr>
              <w:t>The authors propose PriLLM, which has two main phases. Phase 1: Learns users' preferences, such as price, response time, congestion, and brand value, using real market data. Phase 2: Uses a deep learning network to simplify the market by grouping competing providers and find a profitable price more efficiently.</w:t>
            </w:r>
          </w:p>
        </w:tc>
        <w:tc>
          <w:tcPr>
            <w:tcW w:w="1572" w:type="dxa"/>
          </w:tcPr>
          <w:p w14:paraId="2D8997B0">
            <w:pPr>
              <w:jc w:val="both"/>
              <w:rPr>
                <w:rFonts w:hint="default" w:ascii="Times New Roman" w:hAnsi="Times New Roman" w:cs="Times New Roman"/>
                <w:vertAlign w:val="baseline"/>
              </w:rPr>
            </w:pPr>
            <w:r>
              <w:rPr>
                <w:rFonts w:hint="default" w:ascii="Times New Roman" w:hAnsi="Times New Roman" w:eastAsia="SimSun" w:cs="Times New Roman"/>
                <w:sz w:val="16"/>
                <w:szCs w:val="16"/>
              </w:rPr>
              <w:t>Proposes a practical pricing framework designed for LLM routing platforms. It considers both service performance and users' personal preferences. It achieves more than 95% of the optimal profit while using less than 5% of the computation time of the exact solver. It also outperforms the pMPEC and Smooth baseline methods by 9.2% and 14.3% on average, respectively</w:t>
            </w:r>
            <w:r>
              <w:rPr>
                <w:rFonts w:hint="default" w:ascii="Times New Roman" w:hAnsi="Times New Roman" w:eastAsia="SimSun" w:cs="Times New Roman"/>
                <w:sz w:val="24"/>
                <w:szCs w:val="24"/>
              </w:rPr>
              <w:t>.</w:t>
            </w:r>
          </w:p>
        </w:tc>
        <w:tc>
          <w:tcPr>
            <w:tcW w:w="1573" w:type="dxa"/>
          </w:tcPr>
          <w:p w14:paraId="0D278539">
            <w:pPr>
              <w:jc w:val="both"/>
              <w:rPr>
                <w:rFonts w:hint="default" w:ascii="Times New Roman" w:hAnsi="Times New Roman" w:cs="Times New Roman"/>
                <w:vertAlign w:val="baseline"/>
              </w:rPr>
            </w:pPr>
            <w:r>
              <w:rPr>
                <w:rFonts w:hint="default" w:ascii="Times New Roman" w:hAnsi="Times New Roman" w:eastAsia="SimSun" w:cs="Times New Roman"/>
                <w:sz w:val="16"/>
                <w:szCs w:val="16"/>
              </w:rPr>
              <w:t>The method optimizes the price of one target provider at a time, while competitors' prices are assumed to remain fixed during optimization. Some market scenarios and client characteristics are simulated rather than obtained from complete, live market interactions. The tested finite-difference and reinforcement-learning approaches also failed to converge effectively.</w:t>
            </w:r>
          </w:p>
        </w:tc>
        <w:tc>
          <w:tcPr>
            <w:tcW w:w="1189" w:type="dxa"/>
          </w:tcPr>
          <w:p w14:paraId="40769C78">
            <w:pPr>
              <w:jc w:val="both"/>
              <w:rPr>
                <w:rFonts w:hint="default" w:ascii="Times New Roman" w:hAnsi="Times New Roman" w:cs="Times New Roman"/>
                <w:vertAlign w:val="baseline"/>
              </w:rPr>
            </w:pPr>
            <w:r>
              <w:rPr>
                <w:rFonts w:hint="default" w:ascii="Times New Roman" w:hAnsi="Times New Roman" w:eastAsia="SimSun" w:cs="Times New Roman"/>
                <w:sz w:val="16"/>
                <w:szCs w:val="16"/>
              </w:rPr>
              <w:t>OpenRouter market data: Three months of historical traffic data covering 20 popular LLM services and 20 representative applications. The authors use this information to construct more than 2,000 market scenarios across premium, economy, coding, and translation categories</w:t>
            </w:r>
            <w:r>
              <w:rPr>
                <w:rFonts w:hint="default" w:ascii="Times New Roman" w:hAnsi="Times New Roman" w:eastAsia="SimSun" w:cs="Times New Roman"/>
                <w:sz w:val="24"/>
                <w:szCs w:val="24"/>
              </w:rPr>
              <w:t>.</w:t>
            </w:r>
          </w:p>
        </w:tc>
        <w:tc>
          <w:tcPr>
            <w:tcW w:w="921" w:type="dxa"/>
          </w:tcPr>
          <w:p w14:paraId="646E35A6">
            <w:pPr>
              <w:jc w:val="both"/>
              <w:rPr>
                <w:rFonts w:hint="default" w:ascii="Times New Roman" w:hAnsi="Times New Roman" w:cs="Times New Roman"/>
                <w:vertAlign w:val="baseline"/>
              </w:rPr>
            </w:pPr>
            <w:r>
              <w:rPr>
                <w:rFonts w:hint="default" w:ascii="Times New Roman" w:hAnsi="Times New Roman" w:eastAsia="SimSun" w:cs="Times New Roman"/>
                <w:sz w:val="16"/>
                <w:szCs w:val="16"/>
              </w:rPr>
              <w:t>Extend PriLLM to optimize prices for multiple providers simultaneously, allowing competing providers to adjust their prices dynamically.</w:t>
            </w:r>
          </w:p>
        </w:tc>
        <w:tc>
          <w:tcPr>
            <w:tcW w:w="1346" w:type="dxa"/>
          </w:tcPr>
          <w:p w14:paraId="234901E6">
            <w:pPr>
              <w:pStyle w:val="4"/>
              <w:keepNext w:val="0"/>
              <w:keepLines w:val="0"/>
              <w:widowControl/>
              <w:suppressLineNumbers w:val="0"/>
              <w:jc w:val="both"/>
              <w:rPr>
                <w:sz w:val="16"/>
                <w:szCs w:val="16"/>
              </w:rPr>
            </w:pPr>
            <w:r>
              <w:rPr>
                <w:sz w:val="16"/>
                <w:szCs w:val="16"/>
              </w:rPr>
              <w:t>PriLLM is relevant because it uses neural networks and real-world data to optimize dynamic pricing. However, the proposed work focuses on retail pricing by combining conformal calibration, risk-aware learning, and neural contextual bandits to manage demand uncertainty and business risks.</w:t>
            </w:r>
          </w:p>
          <w:p w14:paraId="653CFBA4">
            <w:pPr>
              <w:jc w:val="both"/>
              <w:rPr>
                <w:vertAlign w:val="baseline"/>
              </w:rPr>
            </w:pPr>
          </w:p>
        </w:tc>
        <w:tc>
          <w:tcPr>
            <w:tcW w:w="1346" w:type="dxa"/>
          </w:tcPr>
          <w:p w14:paraId="626F8DE7">
            <w:pPr>
              <w:jc w:val="both"/>
              <w:rPr>
                <w:vertAlign w:val="baseline"/>
              </w:rPr>
            </w:pPr>
          </w:p>
        </w:tc>
      </w:tr>
      <w:tr w14:paraId="1E906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034" w:hRule="atLeast"/>
        </w:trPr>
        <w:tc>
          <w:tcPr>
            <w:tcW w:w="1428" w:type="dxa"/>
          </w:tcPr>
          <w:p w14:paraId="6C688A80">
            <w:pPr>
              <w:rPr>
                <w:rFonts w:hint="default" w:ascii="Times New Roman" w:hAnsi="Times New Roman" w:cs="Times New Roman"/>
                <w:vertAlign w:val="baseline"/>
              </w:rPr>
            </w:pPr>
            <w:r>
              <w:rPr>
                <w:rFonts w:hint="default" w:ascii="Times New Roman" w:hAnsi="Times New Roman" w:eastAsia="SimSun" w:cs="Times New Roman"/>
                <w:b/>
                <w:bCs/>
                <w:sz w:val="16"/>
                <w:szCs w:val="16"/>
              </w:rPr>
              <w:t>Multi-Agent Reinforcement Learning for Modeling, Simulating, and Optimizing Energy Market</w:t>
            </w:r>
            <w:r>
              <w:rPr>
                <w:rFonts w:hint="default" w:ascii="Times New Roman" w:hAnsi="Times New Roman" w:eastAsia="SimSun" w:cs="Times New Roman"/>
                <w:sz w:val="16"/>
                <w:szCs w:val="16"/>
              </w:rPr>
              <w:t>s</w:t>
            </w:r>
          </w:p>
        </w:tc>
        <w:tc>
          <w:tcPr>
            <w:tcW w:w="1336" w:type="dxa"/>
          </w:tcPr>
          <w:p w14:paraId="336AFC79">
            <w:pPr>
              <w:jc w:val="both"/>
              <w:rPr>
                <w:rFonts w:hint="default" w:ascii="Times New Roman" w:hAnsi="Times New Roman" w:cs="Times New Roman"/>
                <w:sz w:val="16"/>
                <w:szCs w:val="16"/>
                <w:vertAlign w:val="baseline"/>
              </w:rPr>
            </w:pPr>
            <w:r>
              <w:rPr>
                <w:rFonts w:hint="default" w:ascii="Times New Roman" w:hAnsi="Times New Roman" w:eastAsia="SimSun" w:cs="Times New Roman"/>
                <w:sz w:val="16"/>
                <w:szCs w:val="16"/>
              </w:rPr>
              <w:t>2026, AAAI-26 (AAAI Conference on Artificial Intelligence).</w:t>
            </w:r>
          </w:p>
        </w:tc>
        <w:tc>
          <w:tcPr>
            <w:tcW w:w="1705" w:type="dxa"/>
          </w:tcPr>
          <w:p w14:paraId="3F3BB8A8">
            <w:pPr>
              <w:jc w:val="both"/>
              <w:rPr>
                <w:rFonts w:hint="default" w:ascii="Times New Roman" w:hAnsi="Times New Roman" w:cs="Times New Roman"/>
                <w:vertAlign w:val="baseline"/>
              </w:rPr>
            </w:pPr>
            <w:r>
              <w:rPr>
                <w:rFonts w:hint="default" w:ascii="Times New Roman" w:hAnsi="Times New Roman" w:eastAsia="SimSun" w:cs="Times New Roman"/>
                <w:sz w:val="16"/>
                <w:szCs w:val="16"/>
              </w:rPr>
              <w:t>Uses Multi-Agent Reinforcement Learning (MARL) and the TD3 algorithm. It studies linear and quadratic dynamic pricing methods. The authors also develop an open-source electricity market simulator called Energy-Net</w:t>
            </w:r>
            <w:r>
              <w:rPr>
                <w:rFonts w:hint="default" w:ascii="Times New Roman" w:hAnsi="Times New Roman" w:eastAsia="SimSun" w:cs="Times New Roman"/>
                <w:sz w:val="24"/>
                <w:szCs w:val="24"/>
              </w:rPr>
              <w:t>.</w:t>
            </w:r>
          </w:p>
        </w:tc>
        <w:tc>
          <w:tcPr>
            <w:tcW w:w="1572" w:type="dxa"/>
          </w:tcPr>
          <w:p w14:paraId="331F64AA">
            <w:pPr>
              <w:pStyle w:val="4"/>
              <w:keepNext w:val="0"/>
              <w:keepLines w:val="0"/>
              <w:widowControl/>
              <w:suppressLineNumbers w:val="0"/>
              <w:jc w:val="both"/>
              <w:rPr>
                <w:sz w:val="16"/>
                <w:szCs w:val="16"/>
              </w:rPr>
            </w:pPr>
            <w:r>
              <w:rPr>
                <w:sz w:val="16"/>
                <w:szCs w:val="16"/>
              </w:rPr>
              <w:t>1. Develops a framework where the electricity system operator and energy users learn to make decisions together.</w:t>
            </w:r>
          </w:p>
          <w:p w14:paraId="41DF5465">
            <w:pPr>
              <w:pStyle w:val="4"/>
              <w:keepNext w:val="0"/>
              <w:keepLines w:val="0"/>
              <w:widowControl/>
              <w:suppressLineNumbers w:val="0"/>
              <w:jc w:val="both"/>
              <w:rPr>
                <w:sz w:val="16"/>
                <w:szCs w:val="16"/>
              </w:rPr>
            </w:pPr>
            <w:r>
              <w:rPr>
                <w:sz w:val="16"/>
                <w:szCs w:val="16"/>
              </w:rPr>
              <w:t>2. Introduces Energy-Net to simulate and test different energy market strategies.</w:t>
            </w:r>
          </w:p>
          <w:p w14:paraId="0029965C">
            <w:pPr>
              <w:pStyle w:val="4"/>
              <w:keepNext w:val="0"/>
              <w:keepLines w:val="0"/>
              <w:widowControl/>
              <w:suppressLineNumbers w:val="0"/>
              <w:jc w:val="both"/>
            </w:pPr>
            <w:r>
              <w:rPr>
                <w:sz w:val="16"/>
                <w:szCs w:val="16"/>
              </w:rPr>
              <w:t>3. Shows that dynamic pricing can help reduce demand peaks and the need for expensive backup energy.</w:t>
            </w:r>
          </w:p>
          <w:p w14:paraId="15AFCAFF">
            <w:pPr>
              <w:jc w:val="both"/>
              <w:rPr>
                <w:vertAlign w:val="baseline"/>
              </w:rPr>
            </w:pPr>
          </w:p>
        </w:tc>
        <w:tc>
          <w:tcPr>
            <w:tcW w:w="1573" w:type="dxa"/>
          </w:tcPr>
          <w:p w14:paraId="1C0B8A81">
            <w:pPr>
              <w:pStyle w:val="4"/>
              <w:keepNext w:val="0"/>
              <w:keepLines w:val="0"/>
              <w:widowControl/>
              <w:suppressLineNumbers w:val="0"/>
              <w:jc w:val="both"/>
              <w:rPr>
                <w:sz w:val="16"/>
                <w:szCs w:val="16"/>
              </w:rPr>
            </w:pPr>
            <w:r>
              <w:rPr>
                <w:sz w:val="16"/>
                <w:szCs w:val="16"/>
              </w:rPr>
              <w:t>1. Does not establish formal safety guarantees for all pricing decisions under uncertainty.</w:t>
            </w:r>
          </w:p>
          <w:p w14:paraId="00869B57">
            <w:pPr>
              <w:pStyle w:val="4"/>
              <w:keepNext w:val="0"/>
              <w:keepLines w:val="0"/>
              <w:widowControl/>
              <w:suppressLineNumbers w:val="0"/>
              <w:jc w:val="both"/>
              <w:rPr>
                <w:sz w:val="16"/>
                <w:szCs w:val="16"/>
              </w:rPr>
            </w:pPr>
            <w:r>
              <w:rPr>
                <w:sz w:val="16"/>
                <w:szCs w:val="16"/>
              </w:rPr>
              <w:t>2. The learning process may be unstable, making it difficult to find reliable solutions.</w:t>
            </w:r>
          </w:p>
          <w:p w14:paraId="7396CE16">
            <w:pPr>
              <w:pStyle w:val="4"/>
              <w:keepNext w:val="0"/>
              <w:keepLines w:val="0"/>
              <w:widowControl/>
              <w:suppressLineNumbers w:val="0"/>
              <w:jc w:val="both"/>
              <w:rPr>
                <w:sz w:val="16"/>
                <w:szCs w:val="16"/>
              </w:rPr>
            </w:pPr>
            <w:r>
              <w:rPr>
                <w:sz w:val="16"/>
                <w:szCs w:val="16"/>
              </w:rPr>
              <w:t>3. The benefits of pricing may not be shared equally among all market participants.</w:t>
            </w:r>
          </w:p>
          <w:p w14:paraId="5FA15D06">
            <w:pPr>
              <w:jc w:val="both"/>
              <w:rPr>
                <w:vertAlign w:val="baseline"/>
              </w:rPr>
            </w:pPr>
          </w:p>
        </w:tc>
        <w:tc>
          <w:tcPr>
            <w:tcW w:w="1189" w:type="dxa"/>
          </w:tcPr>
          <w:p w14:paraId="5B8002DA">
            <w:pPr>
              <w:jc w:val="both"/>
              <w:rPr>
                <w:vertAlign w:val="baseline"/>
              </w:rPr>
            </w:pPr>
            <w:r>
              <w:rPr>
                <w:rFonts w:hint="default" w:ascii="Times New Roman" w:hAnsi="Times New Roman" w:eastAsia="SimSun" w:cs="Times New Roman"/>
                <w:sz w:val="16"/>
                <w:szCs w:val="16"/>
              </w:rPr>
              <w:t>The study does not use a real-world external dataset. It generates synthetic data using its Energy-Net simulator</w:t>
            </w:r>
            <w:r>
              <w:rPr>
                <w:rFonts w:ascii="SimSun" w:hAnsi="SimSun" w:eastAsia="SimSun" w:cs="SimSun"/>
                <w:sz w:val="16"/>
                <w:szCs w:val="16"/>
              </w:rPr>
              <w:t>.</w:t>
            </w:r>
          </w:p>
        </w:tc>
        <w:tc>
          <w:tcPr>
            <w:tcW w:w="921" w:type="dxa"/>
          </w:tcPr>
          <w:p w14:paraId="4D5344B3">
            <w:pPr>
              <w:pStyle w:val="4"/>
              <w:keepNext w:val="0"/>
              <w:keepLines w:val="0"/>
              <w:widowControl/>
              <w:suppressLineNumbers w:val="0"/>
              <w:jc w:val="both"/>
              <w:rPr>
                <w:sz w:val="16"/>
                <w:szCs w:val="16"/>
              </w:rPr>
            </w:pPr>
            <w:r>
              <w:rPr>
                <w:sz w:val="16"/>
                <w:szCs w:val="16"/>
              </w:rPr>
              <w:t>1. Develop reinforcement learning methods that handle uncertainty and risk more effectively.</w:t>
            </w:r>
          </w:p>
          <w:p w14:paraId="7AD2C8D4">
            <w:pPr>
              <w:pStyle w:val="4"/>
              <w:keepNext w:val="0"/>
              <w:keepLines w:val="0"/>
              <w:widowControl/>
              <w:suppressLineNumbers w:val="0"/>
              <w:jc w:val="both"/>
              <w:rPr>
                <w:sz w:val="16"/>
                <w:szCs w:val="16"/>
              </w:rPr>
            </w:pPr>
            <w:r>
              <w:rPr>
                <w:sz w:val="16"/>
                <w:szCs w:val="16"/>
              </w:rPr>
              <w:t>2. Test the methods on larger, real-world electricity systems.</w:t>
            </w:r>
          </w:p>
          <w:p w14:paraId="2F496708">
            <w:pPr>
              <w:pStyle w:val="4"/>
              <w:keepNext w:val="0"/>
              <w:keepLines w:val="0"/>
              <w:widowControl/>
              <w:suppressLineNumbers w:val="0"/>
              <w:jc w:val="both"/>
              <w:rPr>
                <w:sz w:val="16"/>
                <w:szCs w:val="16"/>
              </w:rPr>
            </w:pPr>
            <w:r>
              <w:rPr>
                <w:sz w:val="16"/>
                <w:szCs w:val="16"/>
              </w:rPr>
              <w:t>3. Develop fairer and more transparet pricing systems.</w:t>
            </w:r>
          </w:p>
          <w:p w14:paraId="5D9B7B85">
            <w:pPr>
              <w:jc w:val="both"/>
              <w:rPr>
                <w:vertAlign w:val="baseline"/>
              </w:rPr>
            </w:pPr>
          </w:p>
        </w:tc>
        <w:tc>
          <w:tcPr>
            <w:tcW w:w="1346" w:type="dxa"/>
          </w:tcPr>
          <w:p w14:paraId="29E6637A">
            <w:pPr>
              <w:pStyle w:val="4"/>
              <w:keepNext w:val="0"/>
              <w:keepLines w:val="0"/>
              <w:widowControl/>
              <w:suppressLineNumbers w:val="0"/>
              <w:jc w:val="both"/>
              <w:rPr>
                <w:sz w:val="16"/>
                <w:szCs w:val="16"/>
              </w:rPr>
            </w:pPr>
            <w:r>
              <w:rPr>
                <w:sz w:val="16"/>
                <w:szCs w:val="16"/>
              </w:rPr>
              <w:t>1. Both studies focus on dynamic pricing and changing demand.</w:t>
            </w:r>
          </w:p>
          <w:p w14:paraId="2343F24A">
            <w:pPr>
              <w:pStyle w:val="4"/>
              <w:keepNext w:val="0"/>
              <w:keepLines w:val="0"/>
              <w:widowControl/>
              <w:suppressLineNumbers w:val="0"/>
              <w:jc w:val="both"/>
              <w:rPr>
                <w:sz w:val="16"/>
                <w:szCs w:val="16"/>
              </w:rPr>
            </w:pPr>
            <w:r>
              <w:rPr>
                <w:sz w:val="16"/>
                <w:szCs w:val="16"/>
              </w:rPr>
              <w:t>2. The limitations of this paper motivate research into methods that better estimate uncertainty and control pricing risks. Your proposed work explores conformal calibration and risk-aware neural contextual bandits for this purpose.</w:t>
            </w:r>
          </w:p>
          <w:p w14:paraId="6267D1DE">
            <w:pPr>
              <w:pStyle w:val="4"/>
              <w:keepNext w:val="0"/>
              <w:keepLines w:val="0"/>
              <w:widowControl/>
              <w:suppressLineNumbers w:val="0"/>
              <w:jc w:val="both"/>
              <w:rPr>
                <w:sz w:val="16"/>
                <w:szCs w:val="16"/>
              </w:rPr>
            </w:pPr>
            <w:r>
              <w:rPr>
                <w:sz w:val="16"/>
                <w:szCs w:val="16"/>
              </w:rPr>
              <w:t>3. Unlike this paper, which studies energy markets using multi-agent reinforcement learning, your research focuses on retail pricing using transaction data.</w:t>
            </w:r>
          </w:p>
          <w:p w14:paraId="70094DC9">
            <w:pPr>
              <w:jc w:val="both"/>
              <w:rPr>
                <w:sz w:val="16"/>
                <w:szCs w:val="16"/>
                <w:vertAlign w:val="baseline"/>
              </w:rPr>
            </w:pPr>
          </w:p>
        </w:tc>
        <w:tc>
          <w:tcPr>
            <w:tcW w:w="1346" w:type="dxa"/>
          </w:tcPr>
          <w:p w14:paraId="0A746F61">
            <w:pPr>
              <w:jc w:val="both"/>
              <w:rPr>
                <w:sz w:val="16"/>
                <w:szCs w:val="16"/>
                <w:vertAlign w:val="baseline"/>
              </w:rPr>
            </w:pPr>
          </w:p>
        </w:tc>
      </w:tr>
      <w:tr w14:paraId="1B7E4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8" w:type="dxa"/>
          </w:tcPr>
          <w:p w14:paraId="16188BB5">
            <w:pPr>
              <w:rPr>
                <w:vertAlign w:val="baseline"/>
              </w:rPr>
            </w:pPr>
            <w:r>
              <w:rPr>
                <w:rFonts w:hint="default" w:ascii="Times New Roman" w:hAnsi="Times New Roman" w:eastAsia="SimSun" w:cs="Times New Roman"/>
                <w:b/>
                <w:bCs/>
                <w:sz w:val="16"/>
                <w:szCs w:val="16"/>
              </w:rPr>
              <w:t>Optimal Contextual Pricing under Agnostic Non-Lipschitz Demand</w:t>
            </w:r>
          </w:p>
        </w:tc>
        <w:tc>
          <w:tcPr>
            <w:tcW w:w="1336" w:type="dxa"/>
          </w:tcPr>
          <w:p w14:paraId="4A52C58F">
            <w:pPr>
              <w:jc w:val="both"/>
              <w:rPr>
                <w:rFonts w:hint="default" w:ascii="Times New Roman" w:hAnsi="Times New Roman" w:cs="Times New Roman"/>
                <w:sz w:val="16"/>
                <w:szCs w:val="16"/>
                <w:vertAlign w:val="baseline"/>
              </w:rPr>
            </w:pPr>
            <w:r>
              <w:rPr>
                <w:rFonts w:hint="default" w:ascii="Times New Roman" w:hAnsi="Times New Roman" w:eastAsia="SimSun" w:cs="Times New Roman"/>
                <w:sz w:val="16"/>
                <w:szCs w:val="16"/>
              </w:rPr>
              <w:t>2026, arXiv preprint (arXiv:2605.05609).</w:t>
            </w:r>
          </w:p>
        </w:tc>
        <w:tc>
          <w:tcPr>
            <w:tcW w:w="1705" w:type="dxa"/>
          </w:tcPr>
          <w:p w14:paraId="44E02015">
            <w:pPr>
              <w:jc w:val="both"/>
              <w:rPr>
                <w:vertAlign w:val="baseline"/>
              </w:rPr>
            </w:pPr>
            <w:r>
              <w:rPr>
                <w:rFonts w:hint="default" w:ascii="Times New Roman" w:hAnsi="Times New Roman" w:eastAsia="SimSun" w:cs="Times New Roman"/>
                <w:sz w:val="16"/>
                <w:szCs w:val="16"/>
              </w:rPr>
              <w:t>Uses Conservative-Markdown Redirect-UCB Pricing (CMRUP). It has three main stages: (1) estimates customer preferences using randomized prices, (2) tests different prices to collect information, and (3) selects prices using Upper Confidence Bound (UCB). It also adjusts its pricing strategy when uncertainty becomes sufficiently small</w:t>
            </w:r>
          </w:p>
        </w:tc>
        <w:tc>
          <w:tcPr>
            <w:tcW w:w="1572" w:type="dxa"/>
          </w:tcPr>
          <w:p w14:paraId="4193F990">
            <w:pPr>
              <w:jc w:val="both"/>
              <w:rPr>
                <w:vertAlign w:val="baseline"/>
              </w:rPr>
            </w:pPr>
            <w:r>
              <w:rPr>
                <w:rFonts w:hint="default" w:ascii="Times New Roman" w:hAnsi="Times New Roman" w:eastAsia="SimSun" w:cs="Times New Roman"/>
                <w:sz w:val="16"/>
                <w:szCs w:val="16"/>
              </w:rPr>
              <w:t xml:space="preserve">Achieves a regret bound of approximately </w:t>
            </w:r>
            <w:r>
              <w:rPr>
                <w:rFonts w:hint="default" w:ascii="Times New Roman" w:hAnsi="Times New Roman" w:eastAsia="SimSun" w:cs="Times New Roman"/>
                <w:sz w:val="16"/>
                <w:szCs w:val="16"/>
                <w:lang w:val="en-US"/>
              </w:rPr>
              <w:t>o</w:t>
            </w:r>
            <w:r>
              <w:rPr>
                <w:rFonts w:hint="default" w:ascii="Times New Roman" w:hAnsi="Times New Roman" w:eastAsia="SimSun" w:cs="Times New Roman"/>
                <w:sz w:val="16"/>
                <w:szCs w:val="16"/>
              </w:rPr>
              <w:t>(T^{2/3}). It learns pricing strategies even when demand contains sudden changes or jumps and does not follow a smooth distribution.</w:t>
            </w:r>
          </w:p>
        </w:tc>
        <w:tc>
          <w:tcPr>
            <w:tcW w:w="1573" w:type="dxa"/>
          </w:tcPr>
          <w:p w14:paraId="186BDFAF">
            <w:pPr>
              <w:pStyle w:val="4"/>
              <w:keepNext w:val="0"/>
              <w:keepLines w:val="0"/>
              <w:widowControl/>
              <w:suppressLineNumbers w:val="0"/>
              <w:jc w:val="both"/>
              <w:rPr>
                <w:sz w:val="16"/>
                <w:szCs w:val="16"/>
              </w:rPr>
            </w:pPr>
            <w:r>
              <w:rPr>
                <w:sz w:val="16"/>
                <w:szCs w:val="16"/>
              </w:rPr>
              <w:t>1. Assumes customer valuations follow a linear model.</w:t>
            </w:r>
          </w:p>
          <w:p w14:paraId="55F883B2">
            <w:pPr>
              <w:pStyle w:val="4"/>
              <w:keepNext w:val="0"/>
              <w:keepLines w:val="0"/>
              <w:widowControl/>
              <w:suppressLineNumbers w:val="0"/>
              <w:jc w:val="both"/>
              <w:rPr>
                <w:sz w:val="16"/>
                <w:szCs w:val="16"/>
              </w:rPr>
            </w:pPr>
            <w:r>
              <w:rPr>
                <w:sz w:val="16"/>
                <w:szCs w:val="16"/>
              </w:rPr>
              <w:t>2. Requires specific assumptions about customer contexts and random noise.</w:t>
            </w:r>
          </w:p>
          <w:p w14:paraId="77BA2FD4">
            <w:pPr>
              <w:pStyle w:val="4"/>
              <w:keepNext w:val="0"/>
              <w:keepLines w:val="0"/>
              <w:widowControl/>
              <w:suppressLineNumbers w:val="0"/>
              <w:jc w:val="both"/>
              <w:rPr>
                <w:sz w:val="16"/>
                <w:szCs w:val="16"/>
              </w:rPr>
            </w:pPr>
            <w:r>
              <w:rPr>
                <w:sz w:val="16"/>
                <w:szCs w:val="16"/>
              </w:rPr>
              <w:t>3. Focuses on revenue regret rather than directly controlling risks such as large losses or unsafe pricing decisions.</w:t>
            </w:r>
          </w:p>
          <w:p w14:paraId="2F317006">
            <w:pPr>
              <w:pStyle w:val="4"/>
              <w:keepNext w:val="0"/>
              <w:keepLines w:val="0"/>
              <w:widowControl/>
              <w:suppressLineNumbers w:val="0"/>
              <w:jc w:val="both"/>
            </w:pPr>
            <w:r>
              <w:rPr>
                <w:sz w:val="16"/>
                <w:szCs w:val="16"/>
              </w:rPr>
              <w:t>4. Has limitations when prices reach the boundaries of the allowed price range.</w:t>
            </w:r>
          </w:p>
          <w:p w14:paraId="31ABCDCE">
            <w:pPr>
              <w:jc w:val="both"/>
              <w:rPr>
                <w:vertAlign w:val="baseline"/>
              </w:rPr>
            </w:pPr>
          </w:p>
        </w:tc>
        <w:tc>
          <w:tcPr>
            <w:tcW w:w="1189" w:type="dxa"/>
          </w:tcPr>
          <w:p w14:paraId="10CF567D">
            <w:pPr>
              <w:jc w:val="both"/>
              <w:rPr>
                <w:vertAlign w:val="baseline"/>
              </w:rPr>
            </w:pPr>
            <w:r>
              <w:rPr>
                <w:rFonts w:hint="default" w:ascii="Times New Roman" w:hAnsi="Times New Roman" w:eastAsia="SimSun" w:cs="Times New Roman"/>
                <w:sz w:val="16"/>
                <w:szCs w:val="16"/>
              </w:rPr>
              <w:t>Uses synthetic data generated by simulations. The experiments include smooth demand and discontinuous demand with sudden changes. It does not use a real-world retail transaction dataset in the described experiments.</w:t>
            </w:r>
          </w:p>
        </w:tc>
        <w:tc>
          <w:tcPr>
            <w:tcW w:w="921" w:type="dxa"/>
          </w:tcPr>
          <w:p w14:paraId="5123E7DC">
            <w:pPr>
              <w:pStyle w:val="4"/>
              <w:keepNext w:val="0"/>
              <w:keepLines w:val="0"/>
              <w:widowControl/>
              <w:suppressLineNumbers w:val="0"/>
              <w:jc w:val="both"/>
              <w:rPr>
                <w:sz w:val="16"/>
                <w:szCs w:val="16"/>
              </w:rPr>
            </w:pPr>
            <w:r>
              <w:rPr>
                <w:sz w:val="16"/>
                <w:szCs w:val="16"/>
              </w:rPr>
              <w:t>1. Extend the method to handle more types of uncertainty.</w:t>
            </w:r>
          </w:p>
          <w:p w14:paraId="1B369895">
            <w:pPr>
              <w:pStyle w:val="4"/>
              <w:keepNext w:val="0"/>
              <w:keepLines w:val="0"/>
              <w:widowControl/>
              <w:suppressLineNumbers w:val="0"/>
              <w:jc w:val="both"/>
              <w:rPr>
                <w:sz w:val="16"/>
                <w:szCs w:val="16"/>
              </w:rPr>
            </w:pPr>
            <w:r>
              <w:rPr>
                <w:sz w:val="16"/>
                <w:szCs w:val="16"/>
              </w:rPr>
              <w:t>2. Improve pricing decisions near price boundaries.</w:t>
            </w:r>
          </w:p>
          <w:p w14:paraId="54D3249F">
            <w:pPr>
              <w:pStyle w:val="4"/>
              <w:keepNext w:val="0"/>
              <w:keepLines w:val="0"/>
              <w:widowControl/>
              <w:suppressLineNumbers w:val="0"/>
              <w:jc w:val="both"/>
              <w:rPr>
                <w:sz w:val="16"/>
                <w:szCs w:val="16"/>
              </w:rPr>
            </w:pPr>
            <w:r>
              <w:rPr>
                <w:sz w:val="16"/>
                <w:szCs w:val="16"/>
              </w:rPr>
              <w:t>3. Develop more efficient implementations and methods that do not require knowing the time horizon in advance.</w:t>
            </w:r>
          </w:p>
          <w:p w14:paraId="3029FB7A">
            <w:pPr>
              <w:jc w:val="both"/>
              <w:rPr>
                <w:sz w:val="16"/>
                <w:szCs w:val="16"/>
                <w:vertAlign w:val="baseline"/>
              </w:rPr>
            </w:pPr>
          </w:p>
        </w:tc>
        <w:tc>
          <w:tcPr>
            <w:tcW w:w="1346" w:type="dxa"/>
          </w:tcPr>
          <w:p w14:paraId="6FFBAF53">
            <w:pPr>
              <w:pStyle w:val="4"/>
              <w:keepNext w:val="0"/>
              <w:keepLines w:val="0"/>
              <w:widowControl/>
              <w:suppressLineNumbers w:val="0"/>
              <w:jc w:val="both"/>
              <w:rPr>
                <w:sz w:val="16"/>
                <w:szCs w:val="16"/>
              </w:rPr>
            </w:pPr>
            <w:r>
              <w:rPr>
                <w:sz w:val="16"/>
                <w:szCs w:val="16"/>
              </w:rPr>
              <w:t>1. Dynamic pricing: Both studies aim to select prices intelligently as customer demand changes.</w:t>
            </w:r>
          </w:p>
          <w:p w14:paraId="5B862426">
            <w:pPr>
              <w:pStyle w:val="4"/>
              <w:keepNext w:val="0"/>
              <w:keepLines w:val="0"/>
              <w:widowControl/>
              <w:suppressLineNumbers w:val="0"/>
              <w:jc w:val="both"/>
              <w:rPr>
                <w:sz w:val="16"/>
                <w:szCs w:val="16"/>
              </w:rPr>
            </w:pPr>
            <w:r>
              <w:rPr>
                <w:sz w:val="16"/>
                <w:szCs w:val="16"/>
              </w:rPr>
              <w:t>2. Model: This paper uses linear customer valuations, while your proposed work explores neural contextual bandits that can learn more complex relationships.</w:t>
            </w:r>
          </w:p>
          <w:p w14:paraId="53093915">
            <w:pPr>
              <w:pStyle w:val="4"/>
              <w:keepNext w:val="0"/>
              <w:keepLines w:val="0"/>
              <w:widowControl/>
              <w:suppressLineNumbers w:val="0"/>
              <w:jc w:val="both"/>
              <w:rPr>
                <w:sz w:val="16"/>
                <w:szCs w:val="16"/>
              </w:rPr>
            </w:pPr>
            <w:r>
              <w:rPr>
                <w:sz w:val="16"/>
                <w:szCs w:val="16"/>
              </w:rPr>
              <w:t>3. Risk and uncertainty: Your work investigates conformal calibration and risk-aware decisions, which go beyond simply minimizing revenue regret.</w:t>
            </w:r>
          </w:p>
          <w:p w14:paraId="5F4EAD3A">
            <w:pPr>
              <w:pStyle w:val="4"/>
              <w:keepNext w:val="0"/>
              <w:keepLines w:val="0"/>
              <w:widowControl/>
              <w:suppressLineNumbers w:val="0"/>
              <w:jc w:val="both"/>
              <w:rPr>
                <w:sz w:val="16"/>
                <w:szCs w:val="16"/>
              </w:rPr>
            </w:pPr>
            <w:r>
              <w:rPr>
                <w:sz w:val="16"/>
                <w:szCs w:val="16"/>
              </w:rPr>
              <w:t>4. Dataset: This paper uses synthetic data, while your proposed study aims to evaluate its method on real-world retail transaction data.</w:t>
            </w:r>
          </w:p>
          <w:p w14:paraId="5B21990B">
            <w:pPr>
              <w:jc w:val="both"/>
              <w:rPr>
                <w:sz w:val="16"/>
                <w:szCs w:val="16"/>
                <w:vertAlign w:val="baseline"/>
              </w:rPr>
            </w:pPr>
          </w:p>
        </w:tc>
        <w:tc>
          <w:tcPr>
            <w:tcW w:w="1346" w:type="dxa"/>
          </w:tcPr>
          <w:p w14:paraId="569F7CDA">
            <w:pPr>
              <w:jc w:val="both"/>
              <w:rPr>
                <w:sz w:val="16"/>
                <w:szCs w:val="16"/>
                <w:vertAlign w:val="baseline"/>
              </w:rPr>
            </w:pPr>
          </w:p>
        </w:tc>
      </w:tr>
      <w:tr w14:paraId="0E175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8" w:type="dxa"/>
          </w:tcPr>
          <w:p w14:paraId="428E61CA">
            <w:pPr>
              <w:rPr>
                <w:vertAlign w:val="baseline"/>
              </w:rPr>
            </w:pPr>
            <w:bookmarkStart w:id="0" w:name="_GoBack"/>
            <w:r>
              <w:rPr>
                <w:rFonts w:hint="default" w:ascii="Times New Roman" w:hAnsi="Times New Roman" w:eastAsia="SimSun" w:cs="Times New Roman"/>
                <w:b/>
                <w:bCs/>
                <w:sz w:val="16"/>
                <w:szCs w:val="16"/>
              </w:rPr>
              <w:t>AIGP: An LLM-Based Framework for Long-Term Value Alignment in E-Commerce Pricing</w:t>
            </w:r>
            <w:bookmarkEnd w:id="0"/>
          </w:p>
        </w:tc>
        <w:tc>
          <w:tcPr>
            <w:tcW w:w="1336" w:type="dxa"/>
          </w:tcPr>
          <w:p w14:paraId="005808CD">
            <w:pPr>
              <w:rPr>
                <w:rFonts w:hint="default" w:ascii="Times New Roman" w:hAnsi="Times New Roman" w:cs="Times New Roman"/>
                <w:sz w:val="16"/>
                <w:szCs w:val="16"/>
                <w:vertAlign w:val="baseline"/>
              </w:rPr>
            </w:pPr>
            <w:r>
              <w:rPr>
                <w:rFonts w:hint="default" w:ascii="Times New Roman" w:hAnsi="Times New Roman" w:eastAsia="SimSun" w:cs="Times New Roman"/>
                <w:sz w:val="16"/>
                <w:szCs w:val="16"/>
              </w:rPr>
              <w:t>2026, ACM SIGKDD (KDD 2026)</w:t>
            </w:r>
          </w:p>
        </w:tc>
        <w:tc>
          <w:tcPr>
            <w:tcW w:w="1705" w:type="dxa"/>
          </w:tcPr>
          <w:p w14:paraId="2D0DA137">
            <w:pPr>
              <w:rPr>
                <w:rFonts w:hint="default" w:ascii="Times New Roman" w:hAnsi="Times New Roman" w:cs="Times New Roman"/>
                <w:sz w:val="16"/>
                <w:szCs w:val="16"/>
                <w:vertAlign w:val="baseline"/>
              </w:rPr>
            </w:pPr>
            <w:r>
              <w:rPr>
                <w:rFonts w:hint="default" w:ascii="Times New Roman" w:hAnsi="Times New Roman" w:eastAsia="SimSun" w:cs="Times New Roman"/>
                <w:sz w:val="16"/>
                <w:szCs w:val="16"/>
              </w:rPr>
              <w:t>Uses a Large Language Model (LLM) to understand product information and make pricing decisions. It combines fine-tuning, offline Reinforcement Learning (RL), and Direct Preference Optimization (DPO) to improve long-term business results.</w:t>
            </w:r>
          </w:p>
        </w:tc>
        <w:tc>
          <w:tcPr>
            <w:tcW w:w="1572" w:type="dxa"/>
          </w:tcPr>
          <w:p w14:paraId="22111DB5">
            <w:pPr>
              <w:pStyle w:val="4"/>
              <w:keepNext w:val="0"/>
              <w:keepLines w:val="0"/>
              <w:widowControl/>
              <w:suppressLineNumbers w:val="0"/>
              <w:rPr>
                <w:rFonts w:hint="default" w:ascii="Times New Roman" w:hAnsi="Times New Roman" w:cs="Times New Roman"/>
                <w:sz w:val="16"/>
                <w:szCs w:val="16"/>
              </w:rPr>
            </w:pPr>
            <w:r>
              <w:rPr>
                <w:rFonts w:hint="default" w:ascii="Times New Roman" w:hAnsi="Times New Roman" w:cs="Times New Roman"/>
                <w:sz w:val="16"/>
                <w:szCs w:val="16"/>
              </w:rPr>
              <w:t>1. Combines LLMs and Reinforcement Learning for dynamic pricing.</w:t>
            </w:r>
          </w:p>
          <w:p w14:paraId="72E450B8">
            <w:pPr>
              <w:pStyle w:val="4"/>
              <w:keepNext w:val="0"/>
              <w:keepLines w:val="0"/>
              <w:widowControl/>
              <w:suppressLineNumbers w:val="0"/>
              <w:rPr>
                <w:rFonts w:hint="default" w:ascii="Times New Roman" w:hAnsi="Times New Roman" w:cs="Times New Roman"/>
                <w:sz w:val="16"/>
                <w:szCs w:val="16"/>
              </w:rPr>
            </w:pPr>
            <w:r>
              <w:rPr>
                <w:rFonts w:hint="default" w:ascii="Times New Roman" w:hAnsi="Times New Roman" w:cs="Times New Roman"/>
                <w:sz w:val="16"/>
                <w:szCs w:val="16"/>
              </w:rPr>
              <w:t>2. Uses product reviews, descriptions, and seasonal information to make better pricing decisions.</w:t>
            </w:r>
          </w:p>
          <w:p w14:paraId="57487EAE">
            <w:pPr>
              <w:pStyle w:val="4"/>
              <w:keepNext w:val="0"/>
              <w:keepLines w:val="0"/>
              <w:widowControl/>
              <w:suppressLineNumbers w:val="0"/>
              <w:rPr>
                <w:rFonts w:hint="default" w:ascii="Times New Roman" w:hAnsi="Times New Roman" w:cs="Times New Roman"/>
                <w:sz w:val="16"/>
                <w:szCs w:val="16"/>
              </w:rPr>
            </w:pPr>
            <w:r>
              <w:rPr>
                <w:rFonts w:hint="default" w:ascii="Times New Roman" w:hAnsi="Times New Roman" w:cs="Times New Roman"/>
                <w:sz w:val="16"/>
                <w:szCs w:val="16"/>
              </w:rPr>
              <w:t>3. Improves how the model learns which pricing actions are better.</w:t>
            </w:r>
          </w:p>
          <w:p w14:paraId="2C415793">
            <w:pPr>
              <w:pStyle w:val="4"/>
              <w:keepNext w:val="0"/>
              <w:keepLines w:val="0"/>
              <w:widowControl/>
              <w:suppressLineNumbers w:val="0"/>
              <w:rPr>
                <w:rFonts w:hint="default" w:ascii="Times New Roman" w:hAnsi="Times New Roman" w:cs="Times New Roman"/>
                <w:sz w:val="16"/>
                <w:szCs w:val="16"/>
              </w:rPr>
            </w:pPr>
            <w:r>
              <w:rPr>
                <w:rFonts w:hint="default" w:ascii="Times New Roman" w:hAnsi="Times New Roman" w:cs="Times New Roman"/>
                <w:sz w:val="16"/>
                <w:szCs w:val="16"/>
              </w:rPr>
              <w:t>4. Reports a 13.21% increase in GMV and a 7.59% increase in ROI over 14 days in real-world testing.</w:t>
            </w:r>
          </w:p>
          <w:p w14:paraId="12EB82C5">
            <w:pPr>
              <w:rPr>
                <w:rFonts w:hint="default" w:ascii="Times New Roman" w:hAnsi="Times New Roman" w:cs="Times New Roman"/>
                <w:sz w:val="16"/>
                <w:szCs w:val="16"/>
                <w:vertAlign w:val="baseline"/>
              </w:rPr>
            </w:pPr>
          </w:p>
        </w:tc>
        <w:tc>
          <w:tcPr>
            <w:tcW w:w="1573" w:type="dxa"/>
          </w:tcPr>
          <w:p w14:paraId="23178DD8">
            <w:pPr>
              <w:pStyle w:val="4"/>
              <w:keepNext w:val="0"/>
              <w:keepLines w:val="0"/>
              <w:widowControl/>
              <w:suppressLineNumbers w:val="0"/>
              <w:rPr>
                <w:rFonts w:hint="default" w:ascii="Times New Roman" w:hAnsi="Times New Roman" w:cs="Times New Roman"/>
                <w:sz w:val="16"/>
                <w:szCs w:val="16"/>
              </w:rPr>
            </w:pPr>
            <w:r>
              <w:rPr>
                <w:rFonts w:hint="default" w:ascii="Times New Roman" w:hAnsi="Times New Roman" w:cs="Times New Roman"/>
                <w:sz w:val="16"/>
                <w:szCs w:val="16"/>
              </w:rPr>
              <w:t>1. Uses fixed price limits to control risk rather than providing statistical safety guarantees.</w:t>
            </w:r>
          </w:p>
          <w:p w14:paraId="2E8B1F89">
            <w:pPr>
              <w:pStyle w:val="4"/>
              <w:keepNext w:val="0"/>
              <w:keepLines w:val="0"/>
              <w:widowControl/>
              <w:suppressLineNumbers w:val="0"/>
              <w:rPr>
                <w:rFonts w:hint="default" w:ascii="Times New Roman" w:hAnsi="Times New Roman" w:cs="Times New Roman"/>
                <w:sz w:val="16"/>
                <w:szCs w:val="16"/>
              </w:rPr>
            </w:pPr>
            <w:r>
              <w:rPr>
                <w:rFonts w:hint="default" w:ascii="Times New Roman" w:hAnsi="Times New Roman" w:cs="Times New Roman"/>
                <w:sz w:val="16"/>
                <w:szCs w:val="16"/>
              </w:rPr>
              <w:t>2. Requires high computational power and takes around 60 seconds per SKU, according to the summary.</w:t>
            </w:r>
          </w:p>
          <w:p w14:paraId="13709202">
            <w:pPr>
              <w:pStyle w:val="4"/>
              <w:keepNext w:val="0"/>
              <w:keepLines w:val="0"/>
              <w:widowControl/>
              <w:suppressLineNumbers w:val="0"/>
              <w:rPr>
                <w:rFonts w:hint="default" w:ascii="Times New Roman" w:hAnsi="Times New Roman" w:cs="Times New Roman"/>
                <w:sz w:val="16"/>
                <w:szCs w:val="16"/>
              </w:rPr>
            </w:pPr>
            <w:r>
              <w:rPr>
                <w:rFonts w:hint="default" w:ascii="Times New Roman" w:hAnsi="Times New Roman" w:cs="Times New Roman"/>
                <w:sz w:val="16"/>
                <w:szCs w:val="16"/>
              </w:rPr>
              <w:t>3. Its offline RL model may make unreliable decisions when facing situations not well represented in its training data.</w:t>
            </w:r>
          </w:p>
          <w:p w14:paraId="67F83D26">
            <w:pPr>
              <w:rPr>
                <w:rFonts w:hint="default" w:ascii="Times New Roman" w:hAnsi="Times New Roman" w:cs="Times New Roman"/>
                <w:sz w:val="16"/>
                <w:szCs w:val="16"/>
                <w:vertAlign w:val="baseline"/>
              </w:rPr>
            </w:pPr>
          </w:p>
        </w:tc>
        <w:tc>
          <w:tcPr>
            <w:tcW w:w="1189" w:type="dxa"/>
          </w:tcPr>
          <w:p w14:paraId="3BB6C271">
            <w:pPr>
              <w:rPr>
                <w:rFonts w:hint="default" w:ascii="Times New Roman" w:hAnsi="Times New Roman" w:cs="Times New Roman"/>
                <w:sz w:val="16"/>
                <w:szCs w:val="16"/>
                <w:vertAlign w:val="baseline"/>
              </w:rPr>
            </w:pPr>
            <w:r>
              <w:rPr>
                <w:rFonts w:hint="default" w:ascii="Times New Roman" w:hAnsi="Times New Roman" w:eastAsia="SimSun" w:cs="Times New Roman"/>
                <w:sz w:val="16"/>
                <w:szCs w:val="16"/>
              </w:rPr>
              <w:t>Tao Factory Dataset: Real-world Alibaba retail data containing millions of products. It includes sales information, prices, customer reviews, product descriptions, and business performance over more than 180 days.</w:t>
            </w:r>
          </w:p>
        </w:tc>
        <w:tc>
          <w:tcPr>
            <w:tcW w:w="921" w:type="dxa"/>
          </w:tcPr>
          <w:p w14:paraId="43208472">
            <w:pPr>
              <w:pStyle w:val="4"/>
              <w:keepNext w:val="0"/>
              <w:keepLines w:val="0"/>
              <w:widowControl/>
              <w:suppressLineNumbers w:val="0"/>
              <w:rPr>
                <w:rFonts w:hint="default" w:ascii="Times New Roman" w:hAnsi="Times New Roman" w:cs="Times New Roman"/>
                <w:sz w:val="16"/>
                <w:szCs w:val="16"/>
              </w:rPr>
            </w:pPr>
            <w:r>
              <w:rPr>
                <w:rFonts w:hint="default" w:ascii="Times New Roman" w:hAnsi="Times New Roman" w:cs="Times New Roman"/>
                <w:sz w:val="16"/>
                <w:szCs w:val="16"/>
              </w:rPr>
              <w:t>1. Apply the framework to other e-commerce tasks.</w:t>
            </w:r>
          </w:p>
          <w:p w14:paraId="309FBC8C">
            <w:pPr>
              <w:pStyle w:val="4"/>
              <w:keepNext w:val="0"/>
              <w:keepLines w:val="0"/>
              <w:widowControl/>
              <w:suppressLineNumbers w:val="0"/>
              <w:rPr>
                <w:rFonts w:hint="default" w:ascii="Times New Roman" w:hAnsi="Times New Roman" w:cs="Times New Roman"/>
                <w:sz w:val="16"/>
                <w:szCs w:val="16"/>
              </w:rPr>
            </w:pPr>
            <w:r>
              <w:rPr>
                <w:rFonts w:hint="default" w:ascii="Times New Roman" w:hAnsi="Times New Roman" w:cs="Times New Roman"/>
                <w:sz w:val="16"/>
                <w:szCs w:val="16"/>
              </w:rPr>
              <w:t>2. Improve the model's reasoning and long-term decision-making abilities.</w:t>
            </w:r>
          </w:p>
          <w:p w14:paraId="70BE970B">
            <w:pPr>
              <w:rPr>
                <w:rFonts w:hint="default" w:ascii="Times New Roman" w:hAnsi="Times New Roman" w:cs="Times New Roman"/>
                <w:sz w:val="16"/>
                <w:szCs w:val="16"/>
                <w:vertAlign w:val="baseline"/>
              </w:rPr>
            </w:pPr>
          </w:p>
        </w:tc>
        <w:tc>
          <w:tcPr>
            <w:tcW w:w="1346" w:type="dxa"/>
          </w:tcPr>
          <w:p w14:paraId="1B30E96A">
            <w:pPr>
              <w:rPr>
                <w:rFonts w:hint="default" w:ascii="Times New Roman" w:hAnsi="Times New Roman" w:cs="Times New Roman"/>
                <w:sz w:val="16"/>
                <w:szCs w:val="16"/>
                <w:vertAlign w:val="baseline"/>
              </w:rPr>
            </w:pPr>
            <w:r>
              <w:rPr>
                <w:rFonts w:hint="default" w:ascii="Times New Roman" w:hAnsi="Times New Roman" w:eastAsia="SimSun" w:cs="Times New Roman"/>
                <w:sz w:val="16"/>
                <w:szCs w:val="16"/>
              </w:rPr>
              <w:t>Both studies focus on dynamic pricing using retail data. AIGP uses LLMs and offline RL, while the proposed work uses Conformal Prediction and Risk-Aware Neural Contextual Bandits. The proposed method aims to estimate uncertainty, measure risk, and make safer pricing decisions.</w:t>
            </w:r>
          </w:p>
        </w:tc>
        <w:tc>
          <w:tcPr>
            <w:tcW w:w="1346" w:type="dxa"/>
          </w:tcPr>
          <w:p w14:paraId="32413F37">
            <w:pPr>
              <w:rPr>
                <w:rFonts w:hint="default" w:ascii="Times New Roman" w:hAnsi="Times New Roman" w:eastAsia="SimSun" w:cs="Times New Roman"/>
                <w:sz w:val="16"/>
                <w:szCs w:val="16"/>
              </w:rPr>
            </w:pPr>
          </w:p>
        </w:tc>
      </w:tr>
      <w:tr w14:paraId="7115C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8" w:type="dxa"/>
          </w:tcPr>
          <w:p w14:paraId="59EC6390">
            <w:pPr>
              <w:rPr>
                <w:vertAlign w:val="baseline"/>
              </w:rPr>
            </w:pPr>
          </w:p>
        </w:tc>
        <w:tc>
          <w:tcPr>
            <w:tcW w:w="1336" w:type="dxa"/>
          </w:tcPr>
          <w:p w14:paraId="6AE9F018">
            <w:pPr>
              <w:rPr>
                <w:rFonts w:hint="default" w:ascii="Times New Roman" w:hAnsi="Times New Roman" w:cs="Times New Roman"/>
                <w:sz w:val="16"/>
                <w:szCs w:val="16"/>
                <w:vertAlign w:val="baseline"/>
              </w:rPr>
            </w:pPr>
          </w:p>
        </w:tc>
        <w:tc>
          <w:tcPr>
            <w:tcW w:w="1705" w:type="dxa"/>
          </w:tcPr>
          <w:p w14:paraId="449FE79C">
            <w:pPr>
              <w:rPr>
                <w:rFonts w:hint="default" w:ascii="Times New Roman" w:hAnsi="Times New Roman" w:cs="Times New Roman"/>
                <w:sz w:val="16"/>
                <w:szCs w:val="16"/>
                <w:vertAlign w:val="baseline"/>
              </w:rPr>
            </w:pPr>
          </w:p>
        </w:tc>
        <w:tc>
          <w:tcPr>
            <w:tcW w:w="1572" w:type="dxa"/>
          </w:tcPr>
          <w:p w14:paraId="65624D4C">
            <w:pPr>
              <w:rPr>
                <w:rFonts w:hint="default" w:ascii="Times New Roman" w:hAnsi="Times New Roman" w:cs="Times New Roman"/>
                <w:sz w:val="16"/>
                <w:szCs w:val="16"/>
                <w:vertAlign w:val="baseline"/>
              </w:rPr>
            </w:pPr>
          </w:p>
        </w:tc>
        <w:tc>
          <w:tcPr>
            <w:tcW w:w="1573" w:type="dxa"/>
          </w:tcPr>
          <w:p w14:paraId="0C2975D7">
            <w:pPr>
              <w:rPr>
                <w:rFonts w:hint="default" w:ascii="Times New Roman" w:hAnsi="Times New Roman" w:cs="Times New Roman"/>
                <w:sz w:val="16"/>
                <w:szCs w:val="16"/>
                <w:vertAlign w:val="baseline"/>
              </w:rPr>
            </w:pPr>
          </w:p>
        </w:tc>
        <w:tc>
          <w:tcPr>
            <w:tcW w:w="1189" w:type="dxa"/>
          </w:tcPr>
          <w:p w14:paraId="201F3E8D">
            <w:pPr>
              <w:rPr>
                <w:rFonts w:hint="default" w:ascii="Times New Roman" w:hAnsi="Times New Roman" w:cs="Times New Roman"/>
                <w:sz w:val="16"/>
                <w:szCs w:val="16"/>
                <w:vertAlign w:val="baseline"/>
              </w:rPr>
            </w:pPr>
          </w:p>
        </w:tc>
        <w:tc>
          <w:tcPr>
            <w:tcW w:w="921" w:type="dxa"/>
          </w:tcPr>
          <w:p w14:paraId="3C14EA40">
            <w:pPr>
              <w:rPr>
                <w:rFonts w:hint="default" w:ascii="Times New Roman" w:hAnsi="Times New Roman" w:cs="Times New Roman"/>
                <w:sz w:val="16"/>
                <w:szCs w:val="16"/>
                <w:vertAlign w:val="baseline"/>
              </w:rPr>
            </w:pPr>
          </w:p>
        </w:tc>
        <w:tc>
          <w:tcPr>
            <w:tcW w:w="1346" w:type="dxa"/>
          </w:tcPr>
          <w:p w14:paraId="350AD7C0">
            <w:pPr>
              <w:rPr>
                <w:rFonts w:hint="default" w:ascii="Times New Roman" w:hAnsi="Times New Roman" w:cs="Times New Roman"/>
                <w:sz w:val="16"/>
                <w:szCs w:val="16"/>
                <w:vertAlign w:val="baseline"/>
              </w:rPr>
            </w:pPr>
          </w:p>
        </w:tc>
        <w:tc>
          <w:tcPr>
            <w:tcW w:w="1346" w:type="dxa"/>
          </w:tcPr>
          <w:p w14:paraId="1EC32872">
            <w:pPr>
              <w:rPr>
                <w:rFonts w:hint="default" w:ascii="Times New Roman" w:hAnsi="Times New Roman" w:cs="Times New Roman"/>
                <w:sz w:val="16"/>
                <w:szCs w:val="16"/>
                <w:vertAlign w:val="baseline"/>
              </w:rPr>
            </w:pPr>
          </w:p>
        </w:tc>
      </w:tr>
      <w:tr w14:paraId="5B67B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8" w:type="dxa"/>
          </w:tcPr>
          <w:p w14:paraId="2D66653E">
            <w:pPr>
              <w:rPr>
                <w:vertAlign w:val="baseline"/>
              </w:rPr>
            </w:pPr>
          </w:p>
        </w:tc>
        <w:tc>
          <w:tcPr>
            <w:tcW w:w="1336" w:type="dxa"/>
          </w:tcPr>
          <w:p w14:paraId="7BDA7AA0">
            <w:pPr>
              <w:rPr>
                <w:rFonts w:hint="default" w:ascii="Times New Roman" w:hAnsi="Times New Roman" w:cs="Times New Roman"/>
                <w:sz w:val="16"/>
                <w:szCs w:val="16"/>
                <w:vertAlign w:val="baseline"/>
              </w:rPr>
            </w:pPr>
          </w:p>
        </w:tc>
        <w:tc>
          <w:tcPr>
            <w:tcW w:w="1705" w:type="dxa"/>
          </w:tcPr>
          <w:p w14:paraId="2861DEE9">
            <w:pPr>
              <w:rPr>
                <w:rFonts w:hint="default" w:ascii="Times New Roman" w:hAnsi="Times New Roman" w:cs="Times New Roman"/>
                <w:sz w:val="16"/>
                <w:szCs w:val="16"/>
                <w:vertAlign w:val="baseline"/>
              </w:rPr>
            </w:pPr>
          </w:p>
        </w:tc>
        <w:tc>
          <w:tcPr>
            <w:tcW w:w="1572" w:type="dxa"/>
          </w:tcPr>
          <w:p w14:paraId="037A8DD4">
            <w:pPr>
              <w:rPr>
                <w:rFonts w:hint="default" w:ascii="Times New Roman" w:hAnsi="Times New Roman" w:cs="Times New Roman"/>
                <w:sz w:val="16"/>
                <w:szCs w:val="16"/>
                <w:vertAlign w:val="baseline"/>
              </w:rPr>
            </w:pPr>
          </w:p>
        </w:tc>
        <w:tc>
          <w:tcPr>
            <w:tcW w:w="1573" w:type="dxa"/>
          </w:tcPr>
          <w:p w14:paraId="3DC6E8E4">
            <w:pPr>
              <w:rPr>
                <w:rFonts w:hint="default" w:ascii="Times New Roman" w:hAnsi="Times New Roman" w:cs="Times New Roman"/>
                <w:sz w:val="16"/>
                <w:szCs w:val="16"/>
                <w:vertAlign w:val="baseline"/>
              </w:rPr>
            </w:pPr>
          </w:p>
        </w:tc>
        <w:tc>
          <w:tcPr>
            <w:tcW w:w="1189" w:type="dxa"/>
          </w:tcPr>
          <w:p w14:paraId="43444A50">
            <w:pPr>
              <w:rPr>
                <w:rFonts w:hint="default" w:ascii="Times New Roman" w:hAnsi="Times New Roman" w:cs="Times New Roman"/>
                <w:sz w:val="16"/>
                <w:szCs w:val="16"/>
                <w:vertAlign w:val="baseline"/>
              </w:rPr>
            </w:pPr>
          </w:p>
        </w:tc>
        <w:tc>
          <w:tcPr>
            <w:tcW w:w="921" w:type="dxa"/>
          </w:tcPr>
          <w:p w14:paraId="4B2B1BAF">
            <w:pPr>
              <w:rPr>
                <w:rFonts w:hint="default" w:ascii="Times New Roman" w:hAnsi="Times New Roman" w:cs="Times New Roman"/>
                <w:sz w:val="16"/>
                <w:szCs w:val="16"/>
                <w:vertAlign w:val="baseline"/>
              </w:rPr>
            </w:pPr>
          </w:p>
        </w:tc>
        <w:tc>
          <w:tcPr>
            <w:tcW w:w="1346" w:type="dxa"/>
          </w:tcPr>
          <w:p w14:paraId="18F38FB1">
            <w:pPr>
              <w:rPr>
                <w:rFonts w:hint="default" w:ascii="Times New Roman" w:hAnsi="Times New Roman" w:cs="Times New Roman"/>
                <w:sz w:val="16"/>
                <w:szCs w:val="16"/>
                <w:vertAlign w:val="baseline"/>
              </w:rPr>
            </w:pPr>
          </w:p>
        </w:tc>
        <w:tc>
          <w:tcPr>
            <w:tcW w:w="1346" w:type="dxa"/>
          </w:tcPr>
          <w:p w14:paraId="6B588EB4">
            <w:pPr>
              <w:rPr>
                <w:rFonts w:hint="default" w:ascii="Times New Roman" w:hAnsi="Times New Roman" w:cs="Times New Roman"/>
                <w:sz w:val="16"/>
                <w:szCs w:val="16"/>
                <w:vertAlign w:val="baseline"/>
              </w:rPr>
            </w:pPr>
          </w:p>
        </w:tc>
      </w:tr>
      <w:tr w14:paraId="1DAAA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8" w:type="dxa"/>
          </w:tcPr>
          <w:p w14:paraId="7B1245FA">
            <w:pPr>
              <w:rPr>
                <w:vertAlign w:val="baseline"/>
              </w:rPr>
            </w:pPr>
          </w:p>
        </w:tc>
        <w:tc>
          <w:tcPr>
            <w:tcW w:w="1336" w:type="dxa"/>
          </w:tcPr>
          <w:p w14:paraId="37F99A97">
            <w:pPr>
              <w:rPr>
                <w:rFonts w:hint="default" w:ascii="Times New Roman" w:hAnsi="Times New Roman" w:cs="Times New Roman"/>
                <w:sz w:val="16"/>
                <w:szCs w:val="16"/>
                <w:vertAlign w:val="baseline"/>
              </w:rPr>
            </w:pPr>
          </w:p>
        </w:tc>
        <w:tc>
          <w:tcPr>
            <w:tcW w:w="1705" w:type="dxa"/>
          </w:tcPr>
          <w:p w14:paraId="1F7260F5">
            <w:pPr>
              <w:rPr>
                <w:rFonts w:hint="default" w:ascii="Times New Roman" w:hAnsi="Times New Roman" w:cs="Times New Roman"/>
                <w:sz w:val="16"/>
                <w:szCs w:val="16"/>
                <w:vertAlign w:val="baseline"/>
              </w:rPr>
            </w:pPr>
          </w:p>
        </w:tc>
        <w:tc>
          <w:tcPr>
            <w:tcW w:w="1572" w:type="dxa"/>
          </w:tcPr>
          <w:p w14:paraId="0FDFD562">
            <w:pPr>
              <w:rPr>
                <w:rFonts w:hint="default" w:ascii="Times New Roman" w:hAnsi="Times New Roman" w:cs="Times New Roman"/>
                <w:sz w:val="16"/>
                <w:szCs w:val="16"/>
                <w:vertAlign w:val="baseline"/>
              </w:rPr>
            </w:pPr>
          </w:p>
        </w:tc>
        <w:tc>
          <w:tcPr>
            <w:tcW w:w="1573" w:type="dxa"/>
          </w:tcPr>
          <w:p w14:paraId="05EA4183">
            <w:pPr>
              <w:rPr>
                <w:rFonts w:hint="default" w:ascii="Times New Roman" w:hAnsi="Times New Roman" w:cs="Times New Roman"/>
                <w:sz w:val="16"/>
                <w:szCs w:val="16"/>
                <w:vertAlign w:val="baseline"/>
              </w:rPr>
            </w:pPr>
          </w:p>
        </w:tc>
        <w:tc>
          <w:tcPr>
            <w:tcW w:w="1189" w:type="dxa"/>
          </w:tcPr>
          <w:p w14:paraId="3A81B693">
            <w:pPr>
              <w:rPr>
                <w:rFonts w:hint="default" w:ascii="Times New Roman" w:hAnsi="Times New Roman" w:cs="Times New Roman"/>
                <w:sz w:val="16"/>
                <w:szCs w:val="16"/>
                <w:vertAlign w:val="baseline"/>
              </w:rPr>
            </w:pPr>
          </w:p>
        </w:tc>
        <w:tc>
          <w:tcPr>
            <w:tcW w:w="921" w:type="dxa"/>
          </w:tcPr>
          <w:p w14:paraId="1530BB86">
            <w:pPr>
              <w:rPr>
                <w:rFonts w:hint="default" w:ascii="Times New Roman" w:hAnsi="Times New Roman" w:cs="Times New Roman"/>
                <w:sz w:val="16"/>
                <w:szCs w:val="16"/>
                <w:vertAlign w:val="baseline"/>
              </w:rPr>
            </w:pPr>
          </w:p>
        </w:tc>
        <w:tc>
          <w:tcPr>
            <w:tcW w:w="1346" w:type="dxa"/>
          </w:tcPr>
          <w:p w14:paraId="1CF99DFB">
            <w:pPr>
              <w:rPr>
                <w:rFonts w:hint="default" w:ascii="Times New Roman" w:hAnsi="Times New Roman" w:cs="Times New Roman"/>
                <w:sz w:val="16"/>
                <w:szCs w:val="16"/>
                <w:vertAlign w:val="baseline"/>
              </w:rPr>
            </w:pPr>
          </w:p>
        </w:tc>
        <w:tc>
          <w:tcPr>
            <w:tcW w:w="1346" w:type="dxa"/>
          </w:tcPr>
          <w:p w14:paraId="07A3AA17">
            <w:pPr>
              <w:rPr>
                <w:rFonts w:hint="default" w:ascii="Times New Roman" w:hAnsi="Times New Roman" w:cs="Times New Roman"/>
                <w:sz w:val="16"/>
                <w:szCs w:val="16"/>
                <w:vertAlign w:val="baseline"/>
              </w:rPr>
            </w:pPr>
          </w:p>
        </w:tc>
      </w:tr>
      <w:tr w14:paraId="4B6B0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8" w:type="dxa"/>
          </w:tcPr>
          <w:p w14:paraId="1AEA7429">
            <w:pPr>
              <w:rPr>
                <w:vertAlign w:val="baseline"/>
              </w:rPr>
            </w:pPr>
          </w:p>
        </w:tc>
        <w:tc>
          <w:tcPr>
            <w:tcW w:w="1336" w:type="dxa"/>
          </w:tcPr>
          <w:p w14:paraId="3113C113">
            <w:pPr>
              <w:rPr>
                <w:vertAlign w:val="baseline"/>
              </w:rPr>
            </w:pPr>
          </w:p>
        </w:tc>
        <w:tc>
          <w:tcPr>
            <w:tcW w:w="1705" w:type="dxa"/>
          </w:tcPr>
          <w:p w14:paraId="3F210868">
            <w:pPr>
              <w:rPr>
                <w:vertAlign w:val="baseline"/>
              </w:rPr>
            </w:pPr>
          </w:p>
        </w:tc>
        <w:tc>
          <w:tcPr>
            <w:tcW w:w="1572" w:type="dxa"/>
          </w:tcPr>
          <w:p w14:paraId="3121C375">
            <w:pPr>
              <w:rPr>
                <w:vertAlign w:val="baseline"/>
              </w:rPr>
            </w:pPr>
          </w:p>
        </w:tc>
        <w:tc>
          <w:tcPr>
            <w:tcW w:w="1573" w:type="dxa"/>
          </w:tcPr>
          <w:p w14:paraId="269AB438">
            <w:pPr>
              <w:rPr>
                <w:vertAlign w:val="baseline"/>
              </w:rPr>
            </w:pPr>
          </w:p>
        </w:tc>
        <w:tc>
          <w:tcPr>
            <w:tcW w:w="1189" w:type="dxa"/>
          </w:tcPr>
          <w:p w14:paraId="404F1722">
            <w:pPr>
              <w:rPr>
                <w:vertAlign w:val="baseline"/>
              </w:rPr>
            </w:pPr>
          </w:p>
        </w:tc>
        <w:tc>
          <w:tcPr>
            <w:tcW w:w="921" w:type="dxa"/>
          </w:tcPr>
          <w:p w14:paraId="0895F15E">
            <w:pPr>
              <w:rPr>
                <w:vertAlign w:val="baseline"/>
              </w:rPr>
            </w:pPr>
          </w:p>
        </w:tc>
        <w:tc>
          <w:tcPr>
            <w:tcW w:w="1346" w:type="dxa"/>
          </w:tcPr>
          <w:p w14:paraId="791D3F26">
            <w:pPr>
              <w:rPr>
                <w:vertAlign w:val="baseline"/>
              </w:rPr>
            </w:pPr>
          </w:p>
        </w:tc>
        <w:tc>
          <w:tcPr>
            <w:tcW w:w="1346" w:type="dxa"/>
          </w:tcPr>
          <w:p w14:paraId="780D10EF">
            <w:pPr>
              <w:rPr>
                <w:vertAlign w:val="baseline"/>
              </w:rPr>
            </w:pPr>
          </w:p>
        </w:tc>
      </w:tr>
      <w:tr w14:paraId="69D24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8" w:type="dxa"/>
          </w:tcPr>
          <w:p w14:paraId="5BDEE68A">
            <w:pPr>
              <w:rPr>
                <w:vertAlign w:val="baseline"/>
              </w:rPr>
            </w:pPr>
          </w:p>
        </w:tc>
        <w:tc>
          <w:tcPr>
            <w:tcW w:w="1336" w:type="dxa"/>
          </w:tcPr>
          <w:p w14:paraId="288F38A7">
            <w:pPr>
              <w:rPr>
                <w:vertAlign w:val="baseline"/>
              </w:rPr>
            </w:pPr>
          </w:p>
        </w:tc>
        <w:tc>
          <w:tcPr>
            <w:tcW w:w="1705" w:type="dxa"/>
          </w:tcPr>
          <w:p w14:paraId="2DCDD8D0">
            <w:pPr>
              <w:rPr>
                <w:vertAlign w:val="baseline"/>
              </w:rPr>
            </w:pPr>
          </w:p>
        </w:tc>
        <w:tc>
          <w:tcPr>
            <w:tcW w:w="1572" w:type="dxa"/>
          </w:tcPr>
          <w:p w14:paraId="635F40E6">
            <w:pPr>
              <w:rPr>
                <w:vertAlign w:val="baseline"/>
              </w:rPr>
            </w:pPr>
          </w:p>
        </w:tc>
        <w:tc>
          <w:tcPr>
            <w:tcW w:w="1573" w:type="dxa"/>
          </w:tcPr>
          <w:p w14:paraId="7C72F5D3">
            <w:pPr>
              <w:rPr>
                <w:vertAlign w:val="baseline"/>
              </w:rPr>
            </w:pPr>
          </w:p>
        </w:tc>
        <w:tc>
          <w:tcPr>
            <w:tcW w:w="1189" w:type="dxa"/>
          </w:tcPr>
          <w:p w14:paraId="71DD853F">
            <w:pPr>
              <w:rPr>
                <w:vertAlign w:val="baseline"/>
              </w:rPr>
            </w:pPr>
          </w:p>
        </w:tc>
        <w:tc>
          <w:tcPr>
            <w:tcW w:w="921" w:type="dxa"/>
          </w:tcPr>
          <w:p w14:paraId="20647294">
            <w:pPr>
              <w:rPr>
                <w:vertAlign w:val="baseline"/>
              </w:rPr>
            </w:pPr>
          </w:p>
        </w:tc>
        <w:tc>
          <w:tcPr>
            <w:tcW w:w="1346" w:type="dxa"/>
          </w:tcPr>
          <w:p w14:paraId="7BDFF531">
            <w:pPr>
              <w:rPr>
                <w:vertAlign w:val="baseline"/>
              </w:rPr>
            </w:pPr>
          </w:p>
        </w:tc>
        <w:tc>
          <w:tcPr>
            <w:tcW w:w="1346" w:type="dxa"/>
          </w:tcPr>
          <w:p w14:paraId="50309D89">
            <w:pPr>
              <w:rPr>
                <w:vertAlign w:val="baseline"/>
              </w:rPr>
            </w:pPr>
          </w:p>
        </w:tc>
      </w:tr>
    </w:tbl>
    <w:p w14:paraId="2DCCD08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Small Semibold">
    <w:panose1 w:val="00000000000000000000"/>
    <w:charset w:val="00"/>
    <w:family w:val="auto"/>
    <w:pitch w:val="default"/>
    <w:sig w:usb0="A00002FF" w:usb1="0000000B" w:usb2="00000000" w:usb3="00000000" w:csb0="2000019F" w:csb1="00000000"/>
  </w:font>
  <w:font w:name="Sylfaen">
    <w:panose1 w:val="010A0502050306030303"/>
    <w:charset w:val="00"/>
    <w:family w:val="auto"/>
    <w:pitch w:val="default"/>
    <w:sig w:usb0="04000687" w:usb1="00000000" w:usb2="00000000" w:usb3="00000000" w:csb0="2000009F" w:csb1="00000000"/>
  </w:font>
  <w:font w:name="Trebuchet MS">
    <w:panose1 w:val="020B0603020202020204"/>
    <w:charset w:val="00"/>
    <w:family w:val="auto"/>
    <w:pitch w:val="default"/>
    <w:sig w:usb0="00000687" w:usb1="00000000" w:usb2="00000000" w:usb3="00000000" w:csb0="2000009F" w:csb1="00000000"/>
  </w:font>
  <w:font w:name="Segoe UI Variable Text Light">
    <w:panose1 w:val="00000000000000000000"/>
    <w:charset w:val="00"/>
    <w:family w:val="auto"/>
    <w:pitch w:val="default"/>
    <w:sig w:usb0="A00002FF" w:usb1="0000000B" w:usb2="00000000" w:usb3="00000000" w:csb0="2000019F" w:csb1="00000000"/>
  </w:font>
  <w:font w:name="Tw Cen MT">
    <w:panose1 w:val="020B0602020104020603"/>
    <w:charset w:val="00"/>
    <w:family w:val="auto"/>
    <w:pitch w:val="default"/>
    <w:sig w:usb0="00000003" w:usb1="00000000" w:usb2="00000000" w:usb3="00000000" w:csb0="20000003" w:csb1="00000000"/>
  </w:font>
  <w:font w:name="SimSun-ExtB">
    <w:panose1 w:val="02010609060101010101"/>
    <w:charset w:val="86"/>
    <w:family w:val="auto"/>
    <w:pitch w:val="default"/>
    <w:sig w:usb0="00000001" w:usb1="02000000" w:usb2="00000000" w:usb3="00000000" w:csb0="00040001" w:csb1="00000000"/>
  </w:font>
  <w:font w:name="SimSun-ExtG">
    <w:panose1 w:val="02010609060101010101"/>
    <w:charset w:val="86"/>
    <w:family w:val="auto"/>
    <w:pitch w:val="default"/>
    <w:sig w:usb0="00000001" w:usb1="02000000" w:usb2="00000000" w:usb3="00000000" w:csb0="00040001" w:csb1="00000000"/>
  </w:font>
  <w:font w:name="Tahoma">
    <w:panose1 w:val="020B0604030504040204"/>
    <w:charset w:val="00"/>
    <w:family w:val="auto"/>
    <w:pitch w:val="default"/>
    <w:sig w:usb0="E1002EFF" w:usb1="C000605B" w:usb2="00000029" w:usb3="00000000" w:csb0="200101FF" w:csb1="20280000"/>
  </w:font>
  <w:font w:name="Tempus Sans ITC">
    <w:panose1 w:val="04020404030D07020202"/>
    <w:charset w:val="00"/>
    <w:family w:val="auto"/>
    <w:pitch w:val="default"/>
    <w:sig w:usb0="00000003" w:usb1="00000000" w:usb2="00000000" w:usb3="00000000" w:csb0="20000001" w:csb1="00000000"/>
  </w:font>
  <w:font w:name="Sitka Banner">
    <w:panose1 w:val="00000000000000000000"/>
    <w:charset w:val="00"/>
    <w:family w:val="auto"/>
    <w:pitch w:val="default"/>
    <w:sig w:usb0="A00002EF" w:usb1="4000204B" w:usb2="00000000" w:usb3="00000000" w:csb0="2000019F" w:csb1="00000000"/>
  </w:font>
  <w:font w:name="Showcard Gothic">
    <w:panose1 w:val="04020904020102020604"/>
    <w:charset w:val="00"/>
    <w:family w:val="auto"/>
    <w:pitch w:val="default"/>
    <w:sig w:usb0="00000003" w:usb1="00000000" w:usb2="00000000" w:usb3="00000000" w:csb0="20000001" w:csb1="00000000"/>
  </w:font>
  <w:font w:name="Segoe UI Variable Text">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AE500B"/>
    <w:rsid w:val="75AE50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table" w:styleId="5">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2026-10-18T08:13:00Z</dcterms:created>
  <dc:creator>Faizm</dc:creator>
  <cp:lastModifiedBy>Faizm</cp:lastModifiedBy>
  <dcterms:modified xsi:type="dcterms:W3CDTF">2026-10-18T11:48:41Z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910BD10DB46A421A80B75BEB73034C4B_11</vt:lpwstr>
  </property>
</Properties>
</file>