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b/>
          <w:sz w:val="22"/>
        </w:rPr>
        <w:t>FINAL QUANTITATIVE RESEARCH REPORT</w:t>
      </w:r>
    </w:p>
    <w:p>
      <w:pPr>
        <w:spacing w:after="240"/>
      </w:pPr>
      <w:r>
        <w:rPr>
          <w:b/>
          <w:sz w:val="58"/>
        </w:rPr>
        <w:t>Algo 8 Reverse Engineering:</w:t>
      </w:r>
    </w:p>
    <w:p>
      <w:pPr>
        <w:spacing w:after="700"/>
      </w:pPr>
      <w:r>
        <w:rPr>
          <w:b w:val="0"/>
          <w:sz w:val="44"/>
        </w:rPr>
        <w:t>Trading Structure, Execution Evidence</w:t>
        <w:br/>
        <w:t>and Economic Attribution</w:t>
      </w:r>
    </w:p>
    <w:p>
      <w:r>
        <w:rPr>
          <w:b/>
          <w:sz w:val="30"/>
        </w:rPr>
        <w:t>Prepared for Rahul</w:t>
      </w:r>
    </w:p>
    <w:p>
      <w:r>
        <w:rPr>
          <w:b w:val="0"/>
          <w:sz w:val="22"/>
        </w:rPr>
        <w:t>Trade observations: 23 June–22 October 2026</w:t>
        <w:br/>
        <w:t>Stored index coverage begins 22 June 2026</w:t>
        <w:br/>
        <w:t>Report date: 27 October 2026</w:t>
      </w:r>
    </w:p>
    <w:p>
      <w:pPr>
        <w:spacing w:after="500"/>
      </w:pPr>
      <w:r>
        <w:rPr>
          <w:b w:val="0"/>
          <w:sz w:val="24"/>
        </w:rPr>
        <w:t>A finite investigation of the observed trading process, its reconstruction boundary and the economics supported by the received record. No proprietary rule set is claimed to have been recovered.</w:t>
      </w:r>
    </w:p>
    <w:tbl>
      <w:tblPr>
        <w:tblW w:type="auto" w:w="0"/>
        <w:tblLook w:firstColumn="1" w:firstRow="1" w:lastColumn="0" w:lastRow="0" w:noHBand="0" w:noVBand="1" w:val="04A0"/>
      </w:tblPr>
      <w:tblGrid>
        <w:gridCol w:w="9803"/>
      </w:tblGrid>
      <w:tr>
        <w:tc>
          <w:tcPr>
            <w:tcW w:type="dxa" w:w="9803"/>
            <w:shd w:fill="E8F1F3"/>
          </w:tcPr>
          <w:p>
            <w:pPr>
              <w:spacing w:after="140" w:before="140"/>
            </w:pPr>
            <w:r>
              <w:rPr>
                <w:b/>
                <w:color w:val="18394D"/>
              </w:rPr>
              <w:t>Final conclusion</w:t>
              <w:br/>
            </w:r>
            <w:r>
              <w:t>Positive marked results under some assumptions, but no demonstrated economic alpha.</w:t>
            </w:r>
          </w:p>
        </w:tc>
      </w:tr>
    </w:tbl>
    <w:p>
      <w:pPr>
        <w:spacing w:after="0"/>
      </w:pPr>
    </w:p>
    <w:p>
      <w:r>
        <w:rPr>
          <w:b w:val="0"/>
          <w:sz w:val="18"/>
        </w:rPr>
        <w:t>Source repository: SadamAnjaneyulu/Algo-8-Reverse-Engineer</w:t>
        <w:br/>
        <w:t>Research snapshot: data/local-breeze-fetch @21ce61d</w:t>
        <w:br/>
        <w:t>Strong register: research/strong-findings, v 7 @15a0e5e</w:t>
      </w:r>
    </w:p>
    <w:p>
      <w:pPr>
        <w:pStyle w:val="Sourcenote"/>
      </w:pPr>
      <w:r>
        <w:rPr>
          <w:b w:val="0"/>
        </w:rPr>
        <w:t>Intended recipient: Rahul. Prepared from the supplied repository research and received trading records.</w:t>
      </w:r>
    </w:p>
    <w:p>
      <w:bookmarkStart w:id="1" w:name="contents"/>
      <w:pPr>
        <w:pStyle w:val="Heading1"/>
        <w:pageBreakBefore/>
      </w:pPr>
      <w:r>
        <w:t>Contents and evidence labels</w:t>
      </w:r>
      <w:bookmarkEnd w:id="1"/>
    </w:p>
    <w:p>
      <w:pPr>
        <w:tabs>
          <w:tab w:pos="9432" w:val="right" w:leader="dot"/>
        </w:tabs>
        <w:spacing w:after="140"/>
      </w:pPr>
      <w:hyperlink w:anchor="s1">
        <w:r>
          <w:rPr>
            <w:color w:val="107F7B"/>
          </w:rPr>
          <w:t>1  Executive summary</w:t>
        </w:r>
      </w:hyperlink>
      <w:r>
        <w:tab/>
        <w:t>3</w:t>
      </w:r>
    </w:p>
    <w:p>
      <w:pPr>
        <w:tabs>
          <w:tab w:pos="9432" w:val="right" w:leader="dot"/>
        </w:tabs>
        <w:spacing w:after="140"/>
      </w:pPr>
      <w:hyperlink w:anchor="s2">
        <w:r>
          <w:rPr>
            <w:color w:val="107F7B"/>
          </w:rPr>
          <w:t>2  Data, accounting and methodology</w:t>
        </w:r>
      </w:hyperlink>
      <w:r>
        <w:tab/>
        <w:t>4</w:t>
      </w:r>
    </w:p>
    <w:p>
      <w:pPr>
        <w:tabs>
          <w:tab w:pos="9432" w:val="right" w:leader="dot"/>
        </w:tabs>
        <w:spacing w:after="140"/>
      </w:pPr>
      <w:hyperlink w:anchor="s3">
        <w:r>
          <w:rPr>
            <w:color w:val="107F7B"/>
          </w:rPr>
          <w:t>3  Reconstructed strategy structure</w:t>
        </w:r>
      </w:hyperlink>
      <w:r>
        <w:tab/>
        <w:t>5</w:t>
      </w:r>
    </w:p>
    <w:p>
      <w:pPr>
        <w:tabs>
          <w:tab w:pos="9432" w:val="right" w:leader="dot"/>
        </w:tabs>
        <w:spacing w:after="140"/>
      </w:pPr>
      <w:hyperlink w:anchor="s4">
        <w:r>
          <w:rPr>
            <w:color w:val="107F7B"/>
          </w:rPr>
          <w:t>4  What the controller search established</w:t>
        </w:r>
      </w:hyperlink>
      <w:r>
        <w:tab/>
        <w:t>9</w:t>
      </w:r>
    </w:p>
    <w:p>
      <w:pPr>
        <w:tabs>
          <w:tab w:pos="9432" w:val="right" w:leader="dot"/>
        </w:tabs>
        <w:spacing w:after="140"/>
      </w:pPr>
      <w:hyperlink w:anchor="s5">
        <w:r>
          <w:rPr>
            <w:color w:val="107F7B"/>
          </w:rPr>
          <w:t>5  Intermediate exits and order management</w:t>
        </w:r>
      </w:hyperlink>
      <w:r>
        <w:tab/>
        <w:t>10</w:t>
      </w:r>
    </w:p>
    <w:p>
      <w:pPr>
        <w:tabs>
          <w:tab w:pos="9432" w:val="right" w:leader="dot"/>
        </w:tabs>
        <w:spacing w:after="140"/>
      </w:pPr>
      <w:hyperlink w:anchor="s6">
        <w:r>
          <w:rPr>
            <w:color w:val="107F7B"/>
          </w:rPr>
          <w:t>6  Final liquidation and risk management</w:t>
        </w:r>
      </w:hyperlink>
      <w:r>
        <w:tab/>
        <w:t>12</w:t>
      </w:r>
    </w:p>
    <w:p>
      <w:pPr>
        <w:tabs>
          <w:tab w:pos="9432" w:val="right" w:leader="dot"/>
        </w:tabs>
        <w:spacing w:after="140"/>
      </w:pPr>
      <w:hyperlink w:anchor="s7">
        <w:r>
          <w:rPr>
            <w:color w:val="107F7B"/>
          </w:rPr>
          <w:t>7  Economic performance and attribution</w:t>
        </w:r>
      </w:hyperlink>
      <w:r>
        <w:tab/>
        <w:t>13</w:t>
      </w:r>
    </w:p>
    <w:p>
      <w:pPr>
        <w:tabs>
          <w:tab w:pos="9432" w:val="right" w:leader="dot"/>
        </w:tabs>
        <w:spacing w:after="140"/>
      </w:pPr>
      <w:hyperlink w:anchor="s8">
        <w:r>
          <w:rPr>
            <w:color w:val="107F7B"/>
          </w:rPr>
          <w:t>8  Benchmarks, uncertainty and interpretation</w:t>
        </w:r>
      </w:hyperlink>
      <w:r>
        <w:tab/>
        <w:t>17</w:t>
      </w:r>
    </w:p>
    <w:p>
      <w:pPr>
        <w:tabs>
          <w:tab w:pos="9432" w:val="right" w:leader="dot"/>
        </w:tabs>
        <w:spacing w:after="140"/>
      </w:pPr>
      <w:hyperlink w:anchor="s9">
        <w:r>
          <w:rPr>
            <w:color w:val="107F7B"/>
          </w:rPr>
          <w:t>9  Final conclusions and limitations</w:t>
        </w:r>
      </w:hyperlink>
      <w:r>
        <w:tab/>
        <w:t>18</w:t>
      </w:r>
    </w:p>
    <w:p>
      <w:pPr>
        <w:tabs>
          <w:tab w:pos="9432" w:val="right" w:leader="dot"/>
        </w:tabs>
        <w:spacing w:after="140"/>
      </w:pPr>
      <w:hyperlink w:anchor="app_a">
        <w:r>
          <w:rPr>
            <w:color w:val="107F7B"/>
          </w:rPr>
          <w:t>Appendix A  Source references</w:t>
        </w:r>
      </w:hyperlink>
      <w:r>
        <w:tab/>
        <w:t>19</w:t>
      </w:r>
    </w:p>
    <w:p>
      <w:pPr>
        <w:tabs>
          <w:tab w:pos="9432" w:val="right" w:leader="dot"/>
        </w:tabs>
        <w:spacing w:after="140"/>
      </w:pPr>
      <w:hyperlink w:anchor="app_b">
        <w:r>
          <w:rPr>
            <w:color w:val="107F7B"/>
          </w:rPr>
          <w:t>Appendix B  Definitions and cohort boundaries</w:t>
        </w:r>
      </w:hyperlink>
      <w:r>
        <w:tab/>
        <w:t>21</w:t>
      </w:r>
    </w:p>
    <w:p>
      <w:pPr>
        <w:tabs>
          <w:tab w:pos="9432" w:val="right" w:leader="dot"/>
        </w:tabs>
        <w:spacing w:after="140"/>
      </w:pPr>
      <w:hyperlink w:anchor="app_c">
        <w:r>
          <w:rPr>
            <w:color w:val="107F7B"/>
          </w:rPr>
          <w:t>Appendix C  Reproduction and validation</w:t>
        </w:r>
      </w:hyperlink>
      <w:r>
        <w:tab/>
        <w:t>22</w:t>
      </w:r>
    </w:p>
    <w:p>
      <w:pPr>
        <w:pStyle w:val="Heading3"/>
      </w:pPr>
      <w:r>
        <w:rPr>
          <w:b w:val="0"/>
        </w:rPr>
        <w:t>How to read the evidence</w:t>
      </w:r>
    </w:p>
    <w:tbl>
      <w:tblPr>
        <w:tblW w:type="auto" w:w="0"/>
        <w:jc w:val="center"/>
        <w:tblLayout w:type="fixed"/>
        <w:tblLook w:firstColumn="1" w:firstRow="1" w:lastColumn="0" w:lastRow="0" w:noHBand="0" w:noVBand="1" w:val="04A0"/>
      </w:tblPr>
      <w:tblGrid>
        <w:gridCol w:w="1944"/>
        <w:gridCol w:w="7704"/>
      </w:tblGrid>
      <w:tr>
        <w:trPr>
          <w:cantSplit/>
          <w:tblHeader/>
        </w:trPr>
        <w:tc>
          <w:tcPr>
            <w:tcW w:type="dxa" w:w="1944"/>
            <w:vAlign w:val="center"/>
            <w:shd w:fill="18394D"/>
            <w:tcMar>
              <w:top w:w="65" w:type="dxa"/>
              <w:bottom w:w="65" w:type="dxa"/>
              <w:left w:w="95" w:type="dxa"/>
              <w:right w:w="95" w:type="dxa"/>
            </w:tcMar>
          </w:tcPr>
          <w:p>
            <w:pPr>
              <w:spacing w:after="0" w:before="0" w:line="245" w:lineRule="auto"/>
            </w:pPr>
            <w:r>
              <w:rPr>
                <w:b/>
                <w:color w:val="FFFFFF"/>
                <w:sz w:val="18"/>
              </w:rPr>
              <w:t>Label</w:t>
            </w:r>
          </w:p>
        </w:tc>
        <w:tc>
          <w:tcPr>
            <w:tcW w:type="dxa" w:w="7704"/>
            <w:vAlign w:val="center"/>
            <w:shd w:fill="18394D"/>
            <w:tcMar>
              <w:top w:w="65" w:type="dxa"/>
              <w:bottom w:w="65" w:type="dxa"/>
              <w:left w:w="95" w:type="dxa"/>
              <w:right w:w="95" w:type="dxa"/>
            </w:tcMar>
          </w:tcPr>
          <w:p>
            <w:pPr>
              <w:spacing w:after="0" w:before="0" w:line="245" w:lineRule="auto"/>
            </w:pPr>
            <w:r>
              <w:rPr>
                <w:b/>
                <w:color w:val="FFFFFF"/>
                <w:sz w:val="18"/>
              </w:rPr>
              <w:t>Meaning</w:t>
            </w:r>
          </w:p>
        </w:tc>
      </w:tr>
      <w:tr>
        <w:trPr>
          <w:cantSplit/>
        </w:trPr>
        <w:tc>
          <w:tcPr>
            <w:tcW w:type="dxa" w:w="1944"/>
            <w:vAlign w:val="center"/>
            <w:shd w:fill="F0F5F6"/>
            <w:tcMar>
              <w:top w:w="65" w:type="dxa"/>
              <w:bottom w:w="65" w:type="dxa"/>
              <w:left w:w="95" w:type="dxa"/>
              <w:right w:w="95" w:type="dxa"/>
            </w:tcMar>
          </w:tcPr>
          <w:p>
            <w:pPr>
              <w:spacing w:after="0" w:before="0" w:line="245" w:lineRule="auto"/>
            </w:pPr>
            <w:r>
              <w:rPr>
                <w:b w:val="0"/>
                <w:color w:val="18394D"/>
                <w:sz w:val="18"/>
              </w:rPr>
              <w:t>Observed</w:t>
            </w:r>
          </w:p>
        </w:tc>
        <w:tc>
          <w:tcPr>
            <w:tcW w:type="dxa" w:w="7704"/>
            <w:vAlign w:val="center"/>
            <w:shd w:fill="F0F5F6"/>
            <w:tcMar>
              <w:top w:w="65" w:type="dxa"/>
              <w:bottom w:w="65" w:type="dxa"/>
              <w:left w:w="95" w:type="dxa"/>
              <w:right w:w="95" w:type="dxa"/>
            </w:tcMar>
          </w:tcPr>
          <w:p>
            <w:pPr>
              <w:spacing w:after="0" w:before="0" w:line="245" w:lineRule="auto"/>
            </w:pPr>
            <w:r>
              <w:rPr>
                <w:b w:val="0"/>
                <w:color w:val="18394D"/>
                <w:sz w:val="18"/>
              </w:rPr>
              <w:t>Recorded fills, quantities, timestamps, inventory or cash flow within the received-record assumptions.</w:t>
            </w:r>
          </w:p>
        </w:tc>
      </w:tr>
      <w:tr>
        <w:trPr>
          <w:cantSplit/>
        </w:trPr>
        <w:tc>
          <w:tcPr>
            <w:tcW w:type="dxa" w:w="1944"/>
            <w:vAlign w:val="center"/>
            <w:shd w:fill="FFFFFF"/>
            <w:tcMar>
              <w:top w:w="65" w:type="dxa"/>
              <w:bottom w:w="65" w:type="dxa"/>
              <w:left w:w="95" w:type="dxa"/>
              <w:right w:w="95" w:type="dxa"/>
            </w:tcMar>
          </w:tcPr>
          <w:p>
            <w:pPr>
              <w:spacing w:after="0" w:before="0" w:line="245" w:lineRule="auto"/>
            </w:pPr>
            <w:r>
              <w:rPr>
                <w:b w:val="0"/>
                <w:color w:val="18394D"/>
                <w:sz w:val="18"/>
              </w:rPr>
              <w:t>Strongly supported</w:t>
            </w:r>
          </w:p>
        </w:tc>
        <w:tc>
          <w:tcPr>
            <w:tcW w:type="dxa" w:w="7704"/>
            <w:vAlign w:val="center"/>
            <w:shd w:fill="FFFFFF"/>
            <w:tcMar>
              <w:top w:w="65" w:type="dxa"/>
              <w:bottom w:w="65" w:type="dxa"/>
              <w:left w:w="95" w:type="dxa"/>
              <w:right w:w="95" w:type="dxa"/>
            </w:tcMar>
          </w:tcPr>
          <w:p>
            <w:pPr>
              <w:spacing w:after="0" w:before="0" w:line="245" w:lineRule="auto"/>
            </w:pPr>
            <w:r>
              <w:rPr>
                <w:b w:val="0"/>
                <w:color w:val="18394D"/>
                <w:sz w:val="18"/>
              </w:rPr>
              <w:t>Repeated behavior matching a stated definition in a specified empirical sample.</w:t>
            </w:r>
          </w:p>
        </w:tc>
      </w:tr>
      <w:tr>
        <w:trPr>
          <w:cantSplit/>
        </w:trPr>
        <w:tc>
          <w:tcPr>
            <w:tcW w:type="dxa" w:w="1944"/>
            <w:vAlign w:val="center"/>
            <w:shd w:fill="F0F5F6"/>
            <w:tcMar>
              <w:top w:w="65" w:type="dxa"/>
              <w:bottom w:w="65" w:type="dxa"/>
              <w:left w:w="95" w:type="dxa"/>
              <w:right w:w="95" w:type="dxa"/>
            </w:tcMar>
          </w:tcPr>
          <w:p>
            <w:pPr>
              <w:spacing w:after="0" w:before="0" w:line="245" w:lineRule="auto"/>
            </w:pPr>
            <w:r>
              <w:rPr>
                <w:b w:val="0"/>
                <w:color w:val="18394D"/>
                <w:sz w:val="18"/>
              </w:rPr>
              <w:t>Hypothesis</w:t>
            </w:r>
          </w:p>
        </w:tc>
        <w:tc>
          <w:tcPr>
            <w:tcW w:type="dxa" w:w="7704"/>
            <w:vAlign w:val="center"/>
            <w:shd w:fill="F0F5F6"/>
            <w:tcMar>
              <w:top w:w="65" w:type="dxa"/>
              <w:bottom w:w="65" w:type="dxa"/>
              <w:left w:w="95" w:type="dxa"/>
              <w:right w:w="95" w:type="dxa"/>
            </w:tcMar>
          </w:tcPr>
          <w:p>
            <w:pPr>
              <w:spacing w:after="0" w:before="0" w:line="245" w:lineRule="auto"/>
            </w:pPr>
            <w:r>
              <w:rPr>
                <w:b w:val="0"/>
                <w:color w:val="18394D"/>
                <w:sz w:val="18"/>
              </w:rPr>
              <w:t>A plausible tested explanation or model assumption that is not uniquely established.</w:t>
            </w:r>
          </w:p>
        </w:tc>
      </w:tr>
      <w:tr>
        <w:trPr>
          <w:cantSplit/>
        </w:trPr>
        <w:tc>
          <w:tcPr>
            <w:tcW w:type="dxa" w:w="1944"/>
            <w:vAlign w:val="center"/>
            <w:shd w:fill="FFFFFF"/>
            <w:tcMar>
              <w:top w:w="65" w:type="dxa"/>
              <w:bottom w:w="65" w:type="dxa"/>
              <w:left w:w="95" w:type="dxa"/>
              <w:right w:w="95" w:type="dxa"/>
            </w:tcMar>
          </w:tcPr>
          <w:p>
            <w:pPr>
              <w:spacing w:after="0" w:before="0" w:line="245" w:lineRule="auto"/>
            </w:pPr>
            <w:r>
              <w:rPr>
                <w:b w:val="0"/>
                <w:color w:val="18394D"/>
                <w:sz w:val="18"/>
              </w:rPr>
              <w:t>Unresolved</w:t>
            </w:r>
          </w:p>
        </w:tc>
        <w:tc>
          <w:tcPr>
            <w:tcW w:type="dxa" w:w="7704"/>
            <w:vAlign w:val="center"/>
            <w:shd w:fill="FFFFFF"/>
            <w:tcMar>
              <w:top w:w="65" w:type="dxa"/>
              <w:bottom w:w="65" w:type="dxa"/>
              <w:left w:w="95" w:type="dxa"/>
              <w:right w:w="95" w:type="dxa"/>
            </w:tcMar>
          </w:tcPr>
          <w:p>
            <w:pPr>
              <w:spacing w:after="0" w:before="0" w:line="245" w:lineRule="auto"/>
            </w:pPr>
            <w:r>
              <w:rPr>
                <w:b w:val="0"/>
                <w:color w:val="18394D"/>
                <w:sz w:val="18"/>
              </w:rPr>
              <w:t>The available observations do not distinguish competing implementations or explanations.</w:t>
            </w:r>
          </w:p>
        </w:tc>
      </w:tr>
    </w:tbl>
    <w:p>
      <w:pPr>
        <w:spacing w:after="0"/>
      </w:pPr>
    </w:p>
    <w:p>
      <w:r>
        <w:rPr>
          <w:b w:val="0"/>
          <w:sz w:val="19"/>
        </w:rPr>
        <w:t>Rates describe their stated samples. They are not future-profit probabilities. Software tests validate implementation and accounting, not the truth of a strategy hypothesis. Figure-source notes and Appendix A identify the underlying evidence.</w:t>
      </w:r>
    </w:p>
    <w:p>
      <w:bookmarkStart w:id="2" w:name="s1"/>
      <w:pPr>
        <w:pStyle w:val="Heading1"/>
        <w:pageBreakBefore/>
      </w:pPr>
      <w:r>
        <w:t>1  Executive summary</w:t>
      </w:r>
      <w:bookmarkEnd w:id="2"/>
    </w:p>
    <w:tbl>
      <w:tblPr>
        <w:tblW w:type="auto" w:w="0"/>
        <w:tblLook w:firstColumn="1" w:firstRow="1" w:lastColumn="0" w:lastRow="0" w:noHBand="0" w:noVBand="1" w:val="04A0"/>
      </w:tblPr>
      <w:tblGrid>
        <w:gridCol w:w="9803"/>
      </w:tblGrid>
      <w:tr>
        <w:tc>
          <w:tcPr>
            <w:tcW w:type="dxa" w:w="9803"/>
            <w:shd w:fill="E8F1F3"/>
          </w:tcPr>
          <w:p>
            <w:pPr>
              <w:spacing w:after="140" w:before="140"/>
            </w:pPr>
            <w:r>
              <w:rPr>
                <w:b/>
                <w:color w:val="18394D"/>
              </w:rPr>
              <w:t>Final conclusion: positive marked results under some assumptions, but no demonstrated economic alpha.</w:t>
              <w:br/>
            </w:r>
            <w:r>
              <w:t>This is the conclusion supported by the available record. It is not proof that Algo 8 is unprofitable in every period or that the original controller never had an edge.</w:t>
            </w:r>
          </w:p>
        </w:tc>
      </w:tr>
    </w:tbl>
    <w:p>
      <w:pPr>
        <w:spacing w:after="0"/>
      </w:pPr>
    </w:p>
    <w:p>
      <w:r>
        <w:rPr>
          <w:b w:val="0"/>
        </w:rPr>
        <w:t xml:space="preserve">Rahul requested an explanation of Algo 8’s alpha. The investigation reconciled 41,421 fills into 35 cycles, then combined execution evidence with stored minute index and option data. The main economic cohort contains 32 observed pre-expiry starts; ten of those books retain quoted residual positions. </w:t>
      </w:r>
      <w:hyperlink r:id="rId11">
        <w:r>
          <w:rPr>
            <w:color w:val="107F7B"/>
          </w:rPr>
          <w:t>[S07]</w:t>
        </w:r>
      </w:hyperlink>
      <w:r>
        <w:rPr>
          <w:b w:val="0"/>
        </w:rPr>
        <w:t xml:space="preserve"> </w:t>
      </w:r>
      <w:hyperlink r:id="rId12">
        <w:r>
          <w:rPr>
            <w:color w:val="107F7B"/>
          </w:rPr>
          <w:t>[S08]</w:t>
        </w:r>
      </w:hyperlink>
      <w:r>
        <w:rPr>
          <w:b w:val="0"/>
        </w:rPr>
        <w:t xml:space="preserve"> </w:t>
      </w:r>
      <w:hyperlink r:id="rId13">
        <w:r>
          <w:rPr>
            <w:color w:val="107F7B"/>
          </w:rPr>
          <w:t>[S14]</w:t>
        </w:r>
      </w:hyperlink>
      <w:r>
        <w:rPr>
          <w:b w:val="0"/>
        </w:rPr>
      </w:r>
    </w:p>
    <w:p>
      <w:r>
        <w:rPr>
          <w:b w:val="0"/>
        </w:rPr>
        <w:t xml:space="preserve">Strongly supported: a near-expiry, protected short-option structure. Ordinary paired ATM CE/PE shorts begin near 09:16 IST. Seventeen recurring pre-expiry windows generally add updated short strikes and protection while older exposure survives. The joint build-up pattern occurs in 529/544 windows (97.2%); this is structural agreement, not full-controller recovery. </w:t>
      </w:r>
      <w:hyperlink r:id="rId14">
        <w:r>
          <w:rPr>
            <w:color w:val="107F7B"/>
          </w:rPr>
          <w:t>[S02]</w:t>
        </w:r>
      </w:hyperlink>
      <w:r>
        <w:rPr>
          <w:b w:val="0"/>
        </w:rPr>
        <w:t xml:space="preserve"> </w:t>
      </w:r>
      <w:hyperlink r:id="rId15">
        <w:r>
          <w:rPr>
            <w:color w:val="107F7B"/>
          </w:rPr>
          <w:t>[S10]</w:t>
        </w:r>
      </w:hyperlink>
      <w:r>
        <w:rPr>
          <w:b w:val="0"/>
        </w:rPr>
      </w:r>
    </w:p>
    <w:p>
      <w:r>
        <w:rPr>
          <w:b w:val="0"/>
        </w:rPr>
        <w:t xml:space="preserve">Unresolved: the exact sizing formula, intermediate exit activation, re-entry logic, stop implementation and complete pending-order process. Autonomous reconstruction remains weak: 23.3% later event macro F1 in the earlier experiment and 24.3% in a different initialized-cycle study. Fixed exit hypotheses identify only small subsets. </w:t>
      </w:r>
      <w:hyperlink r:id="rId16">
        <w:r>
          <w:rPr>
            <w:color w:val="107F7B"/>
          </w:rPr>
          <w:t>[S04]</w:t>
        </w:r>
      </w:hyperlink>
      <w:r>
        <w:rPr>
          <w:b w:val="0"/>
        </w:rPr>
        <w:t xml:space="preserve"> </w:t>
      </w:r>
      <w:hyperlink r:id="rId17">
        <w:r>
          <w:rPr>
            <w:color w:val="107F7B"/>
          </w:rPr>
          <w:t>[S05]</w:t>
        </w:r>
      </w:hyperlink>
      <w:r>
        <w:rPr>
          <w:b w:val="0"/>
        </w:rPr>
        <w:t xml:space="preserve"> </w:t>
      </w:r>
      <w:hyperlink r:id="rId18">
        <w:r>
          <w:rPr>
            <w:color w:val="107F7B"/>
          </w:rPr>
          <w:t>[S06]</w:t>
        </w:r>
      </w:hyperlink>
      <w:r>
        <w:rPr>
          <w:b w:val="0"/>
        </w:rPr>
      </w:r>
    </w:p>
    <w:tbl>
      <w:tblPr>
        <w:tblW w:type="auto" w:w="0"/>
        <w:jc w:val="center"/>
        <w:tblLayout w:type="fixed"/>
        <w:tblLook w:firstColumn="1" w:firstRow="1" w:lastColumn="0" w:lastRow="0" w:noHBand="0" w:noVBand="1" w:val="04A0"/>
      </w:tblPr>
      <w:tblGrid>
        <w:gridCol w:w="4896"/>
        <w:gridCol w:w="4752"/>
      </w:tblGrid>
      <w:tr>
        <w:trPr>
          <w:cantSplit/>
          <w:tblHeader/>
        </w:trPr>
        <w:tc>
          <w:tcPr>
            <w:tcW w:type="dxa" w:w="4896"/>
            <w:vAlign w:val="center"/>
            <w:shd w:fill="18394D"/>
            <w:tcMar>
              <w:top w:w="65" w:type="dxa"/>
              <w:bottom w:w="65" w:type="dxa"/>
              <w:left w:w="95" w:type="dxa"/>
              <w:right w:w="95" w:type="dxa"/>
            </w:tcMar>
          </w:tcPr>
          <w:p>
            <w:pPr>
              <w:spacing w:after="0" w:before="0" w:line="245" w:lineRule="auto"/>
            </w:pPr>
            <w:r>
              <w:rPr>
                <w:b/>
                <w:color w:val="FFFFFF"/>
                <w:sz w:val="18"/>
              </w:rPr>
              <w:t>Fixed cost scenario</w:t>
            </w:r>
          </w:p>
        </w:tc>
        <w:tc>
          <w:tcPr>
            <w:tcW w:type="dxa" w:w="4752"/>
            <w:vAlign w:val="center"/>
            <w:shd w:fill="18394D"/>
            <w:tcMar>
              <w:top w:w="65" w:type="dxa"/>
              <w:bottom w:w="65" w:type="dxa"/>
              <w:left w:w="95" w:type="dxa"/>
              <w:right w:w="95" w:type="dxa"/>
            </w:tcMar>
          </w:tcPr>
          <w:p>
            <w:pPr>
              <w:spacing w:after="0" w:before="0" w:line="245" w:lineRule="auto"/>
            </w:pPr>
            <w:r>
              <w:rPr>
                <w:b/>
                <w:color w:val="FFFFFF"/>
                <w:sz w:val="18"/>
              </w:rPr>
              <w:t>Primary 32 estimated net quoted P&amp;L</w:t>
            </w:r>
          </w:p>
        </w:tc>
      </w:tr>
      <w:tr>
        <w:trPr>
          <w:cantSplit/>
        </w:trPr>
        <w:tc>
          <w:tcPr>
            <w:tcW w:type="dxa" w:w="4896"/>
            <w:vAlign w:val="center"/>
            <w:shd w:fill="F0F5F6"/>
            <w:tcMar>
              <w:top w:w="65" w:type="dxa"/>
              <w:bottom w:w="65" w:type="dxa"/>
              <w:left w:w="95" w:type="dxa"/>
              <w:right w:w="95" w:type="dxa"/>
            </w:tcMar>
          </w:tcPr>
          <w:p>
            <w:pPr>
              <w:spacing w:after="0" w:before="0" w:line="245" w:lineRule="auto"/>
            </w:pPr>
            <w:r>
              <w:rPr>
                <w:b w:val="0"/>
                <w:color w:val="18394D"/>
                <w:sz w:val="18"/>
              </w:rPr>
              <w:t>Zero-cost diagnostic</w:t>
            </w:r>
          </w:p>
        </w:tc>
        <w:tc>
          <w:tcPr>
            <w:tcW w:type="dxa" w:w="4752"/>
            <w:vAlign w:val="center"/>
            <w:shd w:fill="F0F5F6"/>
            <w:tcMar>
              <w:top w:w="65" w:type="dxa"/>
              <w:bottom w:w="65" w:type="dxa"/>
              <w:left w:w="95" w:type="dxa"/>
              <w:right w:w="95" w:type="dxa"/>
            </w:tcMar>
          </w:tcPr>
          <w:p>
            <w:pPr>
              <w:spacing w:after="0" w:before="0" w:line="245" w:lineRule="auto"/>
            </w:pPr>
            <w:r>
              <w:rPr>
                <w:b w:val="0"/>
                <w:color w:val="18394D"/>
                <w:sz w:val="18"/>
              </w:rPr>
              <w:t>₹18.94 lakh</w:t>
            </w:r>
          </w:p>
        </w:tc>
      </w:tr>
      <w:tr>
        <w:trPr>
          <w:cantSplit/>
        </w:trPr>
        <w:tc>
          <w:tcPr>
            <w:tcW w:type="dxa" w:w="4896"/>
            <w:vAlign w:val="center"/>
            <w:shd w:fill="FFFFFF"/>
            <w:tcMar>
              <w:top w:w="65" w:type="dxa"/>
              <w:bottom w:w="65" w:type="dxa"/>
              <w:left w:w="95" w:type="dxa"/>
              <w:right w:w="95" w:type="dxa"/>
            </w:tcMar>
          </w:tcPr>
          <w:p>
            <w:pPr>
              <w:spacing w:after="0" w:before="0" w:line="245" w:lineRule="auto"/>
            </w:pPr>
            <w:r>
              <w:rPr>
                <w:b w:val="0"/>
                <w:color w:val="18394D"/>
                <w:sz w:val="18"/>
              </w:rPr>
              <w:t>Moderate</w:t>
            </w:r>
          </w:p>
        </w:tc>
        <w:tc>
          <w:tcPr>
            <w:tcW w:type="dxa" w:w="4752"/>
            <w:vAlign w:val="center"/>
            <w:shd w:fill="FFFFFF"/>
            <w:tcMar>
              <w:top w:w="65" w:type="dxa"/>
              <w:bottom w:w="65" w:type="dxa"/>
              <w:left w:w="95" w:type="dxa"/>
              <w:right w:w="95" w:type="dxa"/>
            </w:tcMar>
          </w:tcPr>
          <w:p>
            <w:pPr>
              <w:spacing w:after="0" w:before="0" w:line="245" w:lineRule="auto"/>
            </w:pPr>
            <w:r>
              <w:rPr>
                <w:b w:val="0"/>
                <w:color w:val="18394D"/>
                <w:sz w:val="18"/>
              </w:rPr>
              <w:t>₹8.21 lakh</w:t>
            </w:r>
          </w:p>
        </w:tc>
      </w:tr>
      <w:tr>
        <w:trPr>
          <w:cantSplit/>
        </w:trPr>
        <w:tc>
          <w:tcPr>
            <w:tcW w:type="dxa" w:w="4896"/>
            <w:vAlign w:val="center"/>
            <w:shd w:fill="F0F5F6"/>
            <w:tcMar>
              <w:top w:w="65" w:type="dxa"/>
              <w:bottom w:w="65" w:type="dxa"/>
              <w:left w:w="95" w:type="dxa"/>
              <w:right w:w="95" w:type="dxa"/>
            </w:tcMar>
          </w:tcPr>
          <w:p>
            <w:pPr>
              <w:spacing w:after="0" w:before="0" w:line="245" w:lineRule="auto"/>
            </w:pPr>
            <w:r>
              <w:rPr>
                <w:b w:val="0"/>
                <w:color w:val="18394D"/>
                <w:sz w:val="18"/>
              </w:rPr>
              <w:t>Conservative</w:t>
            </w:r>
          </w:p>
        </w:tc>
        <w:tc>
          <w:tcPr>
            <w:tcW w:type="dxa" w:w="4752"/>
            <w:vAlign w:val="center"/>
            <w:shd w:fill="F0F5F6"/>
            <w:tcMar>
              <w:top w:w="65" w:type="dxa"/>
              <w:bottom w:w="65" w:type="dxa"/>
              <w:left w:w="95" w:type="dxa"/>
              <w:right w:w="95" w:type="dxa"/>
            </w:tcMar>
          </w:tcPr>
          <w:p>
            <w:pPr>
              <w:spacing w:after="0" w:before="0" w:line="245" w:lineRule="auto"/>
            </w:pPr>
            <w:r>
              <w:rPr>
                <w:b w:val="0"/>
                <w:color w:val="18394D"/>
                <w:sz w:val="18"/>
              </w:rPr>
              <w:t>₹4.75 lakh</w:t>
            </w:r>
          </w:p>
        </w:tc>
      </w:tr>
      <w:tr>
        <w:trPr>
          <w:cantSplit/>
        </w:trPr>
        <w:tc>
          <w:tcPr>
            <w:tcW w:type="dxa" w:w="4896"/>
            <w:vAlign w:val="center"/>
            <w:shd w:fill="FFFFFF"/>
            <w:tcMar>
              <w:top w:w="65" w:type="dxa"/>
              <w:bottom w:w="65" w:type="dxa"/>
              <w:left w:w="95" w:type="dxa"/>
              <w:right w:w="95" w:type="dxa"/>
            </w:tcMar>
          </w:tcPr>
          <w:p>
            <w:pPr>
              <w:spacing w:after="0" w:before="0" w:line="245" w:lineRule="auto"/>
            </w:pPr>
            <w:r>
              <w:rPr>
                <w:b w:val="0"/>
                <w:color w:val="18394D"/>
                <w:sz w:val="18"/>
              </w:rPr>
              <w:t>Adverse execution</w:t>
            </w:r>
          </w:p>
        </w:tc>
        <w:tc>
          <w:tcPr>
            <w:tcW w:type="dxa" w:w="4752"/>
            <w:vAlign w:val="center"/>
            <w:shd w:fill="FFFFFF"/>
            <w:tcMar>
              <w:top w:w="65" w:type="dxa"/>
              <w:bottom w:w="65" w:type="dxa"/>
              <w:left w:w="95" w:type="dxa"/>
              <w:right w:w="95" w:type="dxa"/>
            </w:tcMar>
          </w:tcPr>
          <w:p>
            <w:pPr>
              <w:spacing w:after="0" w:before="0" w:line="245" w:lineRule="auto"/>
            </w:pPr>
            <w:r>
              <w:rPr>
                <w:b w:val="0"/>
                <w:color w:val="18394D"/>
                <w:sz w:val="18"/>
              </w:rPr>
              <w:t>−₹4.77 lakh</w:t>
            </w:r>
          </w:p>
        </w:tc>
      </w:tr>
    </w:tbl>
    <w:p>
      <w:pPr>
        <w:spacing w:after="0"/>
      </w:pPr>
    </w:p>
    <w:p>
      <w:r>
        <w:rPr>
          <w:b w:val="0"/>
        </w:rPr>
        <w:t xml:space="preserve">Observed economics are consistent with short-option carry exposed to convexity, direction and repricing, plus protection and trading costs. Conservative profit falls to ₹1,722 when the largest winner is removed and turns negative without the two largest. Mean-cycle and paired benchmark intervals include zero; no defensible equal-risk comparison is available. </w:t>
      </w:r>
      <w:hyperlink r:id="rId19">
        <w:r>
          <w:rPr>
            <w:color w:val="107F7B"/>
          </w:rPr>
          <w:t>[S01]</w:t>
        </w:r>
      </w:hyperlink>
      <w:r>
        <w:rPr>
          <w:b w:val="0"/>
        </w:rPr>
        <w:t xml:space="preserve"> </w:t>
      </w:r>
      <w:hyperlink r:id="rId20">
        <w:r>
          <w:rPr>
            <w:color w:val="107F7B"/>
          </w:rPr>
          <w:t>[S15]</w:t>
        </w:r>
      </w:hyperlink>
      <w:r>
        <w:rPr>
          <w:b w:val="0"/>
        </w:rPr>
        <w:t xml:space="preserve"> </w:t>
      </w:r>
      <w:hyperlink r:id="rId21">
        <w:r>
          <w:rPr>
            <w:color w:val="107F7B"/>
          </w:rPr>
          <w:t>[S17]</w:t>
        </w:r>
      </w:hyperlink>
      <w:r>
        <w:rPr>
          <w:b w:val="0"/>
        </w:rPr>
      </w:r>
    </w:p>
    <w:p>
      <w:r>
        <w:rPr>
          <w:b/>
        </w:rPr>
        <w:t>This report closes the investigation under Outcome B without claiming recovery of the original proprietary controller or an economic excess-return signal.</w:t>
      </w:r>
    </w:p>
    <w:p>
      <w:bookmarkStart w:id="3" w:name="s2"/>
      <w:pPr>
        <w:pStyle w:val="Heading1"/>
        <w:pageBreakBefore/>
      </w:pPr>
      <w:r>
        <w:t>2  Data, accounting and research methodology</w:t>
      </w:r>
      <w:bookmarkEnd w:id="3"/>
    </w:p>
    <w:tbl>
      <w:tblPr>
        <w:tblW w:type="auto" w:w="0"/>
        <w:jc w:val="center"/>
        <w:tblLayout w:type="fixed"/>
        <w:tblLook w:firstColumn="1" w:firstRow="1" w:lastColumn="0" w:lastRow="0" w:noHBand="0" w:noVBand="1" w:val="04A0"/>
      </w:tblPr>
      <w:tblGrid>
        <w:gridCol w:w="4752"/>
        <w:gridCol w:w="4896"/>
      </w:tblGrid>
      <w:tr>
        <w:trPr>
          <w:cantSplit/>
          <w:tblHeader/>
        </w:trPr>
        <w:tc>
          <w:tcPr>
            <w:tcW w:type="dxa" w:w="4752"/>
            <w:vAlign w:val="center"/>
            <w:shd w:fill="18394D"/>
            <w:tcMar>
              <w:top w:w="65" w:type="dxa"/>
              <w:bottom w:w="65" w:type="dxa"/>
              <w:left w:w="95" w:type="dxa"/>
              <w:right w:w="95" w:type="dxa"/>
            </w:tcMar>
          </w:tcPr>
          <w:p>
            <w:pPr>
              <w:spacing w:after="0" w:before="0" w:line="245" w:lineRule="auto"/>
            </w:pPr>
            <w:r>
              <w:rPr>
                <w:b/>
                <w:color w:val="FFFFFF"/>
                <w:sz w:val="18"/>
              </w:rPr>
              <w:t>Verified evidence</w:t>
            </w:r>
          </w:p>
        </w:tc>
        <w:tc>
          <w:tcPr>
            <w:tcW w:type="dxa" w:w="4896"/>
            <w:vAlign w:val="center"/>
            <w:shd w:fill="18394D"/>
            <w:tcMar>
              <w:top w:w="65" w:type="dxa"/>
              <w:bottom w:w="65" w:type="dxa"/>
              <w:left w:w="95" w:type="dxa"/>
              <w:right w:w="95" w:type="dxa"/>
            </w:tcMar>
          </w:tcPr>
          <w:p>
            <w:pPr>
              <w:spacing w:after="0" w:before="0" w:line="245" w:lineRule="auto"/>
            </w:pPr>
            <w:r>
              <w:rPr>
                <w:b/>
                <w:color w:val="FFFFFF"/>
                <w:sz w:val="18"/>
              </w:rPr>
              <w:t>Count / scope</w:t>
            </w:r>
          </w:p>
        </w:tc>
      </w:tr>
      <w:tr>
        <w:trPr>
          <w:cantSplit/>
        </w:trPr>
        <w:tc>
          <w:tcPr>
            <w:tcW w:type="dxa" w:w="4752"/>
            <w:vAlign w:val="center"/>
            <w:shd w:fill="F0F5F6"/>
            <w:tcMar>
              <w:top w:w="65" w:type="dxa"/>
              <w:bottom w:w="65" w:type="dxa"/>
              <w:left w:w="95" w:type="dxa"/>
              <w:right w:w="95" w:type="dxa"/>
            </w:tcMar>
          </w:tcPr>
          <w:p>
            <w:pPr>
              <w:spacing w:after="0" w:before="0" w:line="245" w:lineRule="auto"/>
            </w:pPr>
            <w:r>
              <w:rPr>
                <w:b w:val="0"/>
                <w:color w:val="18394D"/>
                <w:sz w:val="18"/>
              </w:rPr>
              <w:t>Recorded fills / reconstructed parents</w:t>
            </w:r>
          </w:p>
        </w:tc>
        <w:tc>
          <w:tcPr>
            <w:tcW w:type="dxa" w:w="4896"/>
            <w:vAlign w:val="center"/>
            <w:shd w:fill="F0F5F6"/>
            <w:tcMar>
              <w:top w:w="65" w:type="dxa"/>
              <w:bottom w:w="65" w:type="dxa"/>
              <w:left w:w="95" w:type="dxa"/>
              <w:right w:w="95" w:type="dxa"/>
            </w:tcMar>
          </w:tcPr>
          <w:p>
            <w:pPr>
              <w:spacing w:after="0" w:before="0" w:line="245" w:lineRule="auto"/>
            </w:pPr>
            <w:r>
              <w:rPr>
                <w:b w:val="0"/>
                <w:color w:val="18394D"/>
                <w:sz w:val="18"/>
              </w:rPr>
              <w:t>41,421 / 39,874</w:t>
            </w:r>
          </w:p>
        </w:tc>
      </w:tr>
      <w:tr>
        <w:trPr>
          <w:cantSplit/>
        </w:trPr>
        <w:tc>
          <w:tcPr>
            <w:tcW w:type="dxa" w:w="4752"/>
            <w:vAlign w:val="center"/>
            <w:shd w:fill="FFFFFF"/>
            <w:tcMar>
              <w:top w:w="65" w:type="dxa"/>
              <w:bottom w:w="65" w:type="dxa"/>
              <w:left w:w="95" w:type="dxa"/>
              <w:right w:w="95" w:type="dxa"/>
            </w:tcMar>
          </w:tcPr>
          <w:p>
            <w:pPr>
              <w:spacing w:after="0" w:before="0" w:line="245" w:lineRule="auto"/>
            </w:pPr>
            <w:r>
              <w:rPr>
                <w:b w:val="0"/>
                <w:color w:val="18394D"/>
                <w:sz w:val="18"/>
              </w:rPr>
              <w:t>Observed cycles / initialized primary cycles</w:t>
            </w:r>
          </w:p>
        </w:tc>
        <w:tc>
          <w:tcPr>
            <w:tcW w:type="dxa" w:w="4896"/>
            <w:vAlign w:val="center"/>
            <w:shd w:fill="FFFFFF"/>
            <w:tcMar>
              <w:top w:w="65" w:type="dxa"/>
              <w:bottom w:w="65" w:type="dxa"/>
              <w:left w:w="95" w:type="dxa"/>
              <w:right w:w="95" w:type="dxa"/>
            </w:tcMar>
          </w:tcPr>
          <w:p>
            <w:pPr>
              <w:spacing w:after="0" w:before="0" w:line="245" w:lineRule="auto"/>
            </w:pPr>
            <w:r>
              <w:rPr>
                <w:b w:val="0"/>
                <w:color w:val="18394D"/>
                <w:sz w:val="18"/>
              </w:rPr>
              <w:t>35 / 32</w:t>
            </w:r>
          </w:p>
        </w:tc>
      </w:tr>
      <w:tr>
        <w:trPr>
          <w:cantSplit/>
        </w:trPr>
        <w:tc>
          <w:tcPr>
            <w:tcW w:type="dxa" w:w="4752"/>
            <w:vAlign w:val="center"/>
            <w:shd w:fill="F0F5F6"/>
            <w:tcMar>
              <w:top w:w="65" w:type="dxa"/>
              <w:bottom w:w="65" w:type="dxa"/>
              <w:left w:w="95" w:type="dxa"/>
              <w:right w:w="95" w:type="dxa"/>
            </w:tcMar>
          </w:tcPr>
          <w:p>
            <w:pPr>
              <w:spacing w:after="0" w:before="0" w:line="245" w:lineRule="auto"/>
            </w:pPr>
            <w:r>
              <w:rPr>
                <w:b w:val="0"/>
                <w:color w:val="18394D"/>
                <w:sz w:val="18"/>
              </w:rPr>
              <w:t>Atomic event books</w:t>
            </w:r>
          </w:p>
        </w:tc>
        <w:tc>
          <w:tcPr>
            <w:tcW w:type="dxa" w:w="4896"/>
            <w:vAlign w:val="center"/>
            <w:shd w:fill="F0F5F6"/>
            <w:tcMar>
              <w:top w:w="65" w:type="dxa"/>
              <w:bottom w:w="65" w:type="dxa"/>
              <w:left w:w="95" w:type="dxa"/>
              <w:right w:w="95" w:type="dxa"/>
            </w:tcMar>
          </w:tcPr>
          <w:p>
            <w:pPr>
              <w:spacing w:after="0" w:before="0" w:line="245" w:lineRule="auto"/>
            </w:pPr>
            <w:r>
              <w:rPr>
                <w:b w:val="0"/>
                <w:color w:val="18394D"/>
                <w:sz w:val="18"/>
              </w:rPr>
              <w:t>21,882</w:t>
            </w:r>
          </w:p>
        </w:tc>
      </w:tr>
      <w:tr>
        <w:trPr>
          <w:cantSplit/>
        </w:trPr>
        <w:tc>
          <w:tcPr>
            <w:tcW w:type="dxa" w:w="4752"/>
            <w:vAlign w:val="center"/>
            <w:shd w:fill="FFFFFF"/>
            <w:tcMar>
              <w:top w:w="65" w:type="dxa"/>
              <w:bottom w:w="65" w:type="dxa"/>
              <w:left w:w="95" w:type="dxa"/>
              <w:right w:w="95" w:type="dxa"/>
            </w:tcMar>
          </w:tcPr>
          <w:p>
            <w:pPr>
              <w:spacing w:after="0" w:before="0" w:line="245" w:lineRule="auto"/>
            </w:pPr>
            <w:r>
              <w:rPr>
                <w:b w:val="0"/>
                <w:color w:val="18394D"/>
                <w:sz w:val="18"/>
              </w:rPr>
              <w:t>Stored index sessions / bars</w:t>
            </w:r>
          </w:p>
        </w:tc>
        <w:tc>
          <w:tcPr>
            <w:tcW w:type="dxa" w:w="4896"/>
            <w:vAlign w:val="center"/>
            <w:shd w:fill="FFFFFF"/>
            <w:tcMar>
              <w:top w:w="65" w:type="dxa"/>
              <w:bottom w:w="65" w:type="dxa"/>
              <w:left w:w="95" w:type="dxa"/>
              <w:right w:w="95" w:type="dxa"/>
            </w:tcMar>
          </w:tcPr>
          <w:p>
            <w:pPr>
              <w:spacing w:after="0" w:before="0" w:line="245" w:lineRule="auto"/>
            </w:pPr>
            <w:r>
              <w:rPr>
                <w:b w:val="0"/>
                <w:color w:val="18394D"/>
                <w:sz w:val="18"/>
              </w:rPr>
              <w:t>170 index-days / 63,678 bars</w:t>
            </w:r>
          </w:p>
        </w:tc>
      </w:tr>
      <w:tr>
        <w:trPr>
          <w:cantSplit/>
        </w:trPr>
        <w:tc>
          <w:tcPr>
            <w:tcW w:type="dxa" w:w="4752"/>
            <w:vAlign w:val="center"/>
            <w:shd w:fill="F0F5F6"/>
            <w:tcMar>
              <w:top w:w="65" w:type="dxa"/>
              <w:bottom w:w="65" w:type="dxa"/>
              <w:left w:w="95" w:type="dxa"/>
              <w:right w:w="95" w:type="dxa"/>
            </w:tcMar>
          </w:tcPr>
          <w:p>
            <w:pPr>
              <w:spacing w:after="0" w:before="0" w:line="245" w:lineRule="auto"/>
            </w:pPr>
            <w:r>
              <w:rPr>
                <w:b w:val="0"/>
                <w:color w:val="18394D"/>
                <w:sz w:val="18"/>
              </w:rPr>
              <w:t>Observed option history</w:t>
            </w:r>
          </w:p>
        </w:tc>
        <w:tc>
          <w:tcPr>
            <w:tcW w:type="dxa" w:w="4896"/>
            <w:vAlign w:val="center"/>
            <w:shd w:fill="F0F5F6"/>
            <w:tcMar>
              <w:top w:w="65" w:type="dxa"/>
              <w:bottom w:w="65" w:type="dxa"/>
              <w:left w:w="95" w:type="dxa"/>
              <w:right w:w="95" w:type="dxa"/>
            </w:tcMar>
          </w:tcPr>
          <w:p>
            <w:pPr>
              <w:spacing w:after="0" w:before="0" w:line="245" w:lineRule="auto"/>
            </w:pPr>
            <w:r>
              <w:rPr>
                <w:b w:val="0"/>
                <w:color w:val="18394D"/>
                <w:sz w:val="18"/>
              </w:rPr>
              <w:t>3,243 option contract-days</w:t>
            </w:r>
          </w:p>
        </w:tc>
      </w:tr>
    </w:tbl>
    <w:p>
      <w:pPr>
        <w:spacing w:after="0"/>
      </w:pPr>
    </w:p>
    <w:p>
      <w:r>
        <w:rPr>
          <w:b w:val="0"/>
        </w:rPr>
        <w:t xml:space="preserve">Observed: independent Decimal accounting reproduces cash, positions and pooled realized P&amp;L. Raw quotes reconcile 25,458 available minute equity marks, with maximum error below ₹0.000000001. All 35 endpoints are quote-markable; 24 received books end flat and 11 retain positions. Three expiry-only starts are a separate sensitivity cohort. </w:t>
      </w:r>
      <w:hyperlink r:id="rId11">
        <w:r>
          <w:rPr>
            <w:color w:val="107F7B"/>
          </w:rPr>
          <w:t>[S07]</w:t>
        </w:r>
      </w:hyperlink>
      <w:r>
        <w:rPr>
          <w:b w:val="0"/>
        </w:rPr>
        <w:t xml:space="preserve"> </w:t>
      </w:r>
      <w:hyperlink r:id="rId22">
        <w:r>
          <w:rPr>
            <w:color w:val="107F7B"/>
          </w:rPr>
          <w:t>[S18]</w:t>
        </w:r>
      </w:hyperlink>
      <w:r>
        <w:rPr>
          <w:b w:val="0"/>
        </w:rPr>
      </w:r>
    </w:p>
    <w:tbl>
      <w:tblPr>
        <w:tblW w:type="auto" w:w="0"/>
        <w:jc w:val="center"/>
        <w:tblLayout w:type="fixed"/>
        <w:tblLook w:firstColumn="1" w:firstRow="1" w:lastColumn="0" w:lastRow="0" w:noHBand="0" w:noVBand="1" w:val="04A0"/>
      </w:tblPr>
      <w:tblGrid>
        <w:gridCol w:w="2448"/>
        <w:gridCol w:w="5904"/>
        <w:gridCol w:w="1296"/>
      </w:tblGrid>
      <w:tr>
        <w:trPr>
          <w:cantSplit/>
          <w:tblHeader/>
        </w:trPr>
        <w:tc>
          <w:tcPr>
            <w:tcW w:type="dxa" w:w="2448"/>
            <w:vAlign w:val="center"/>
            <w:shd w:fill="18394D"/>
            <w:tcMar>
              <w:top w:w="65" w:type="dxa"/>
              <w:bottom w:w="65" w:type="dxa"/>
              <w:left w:w="95" w:type="dxa"/>
              <w:right w:w="95" w:type="dxa"/>
            </w:tcMar>
          </w:tcPr>
          <w:p>
            <w:pPr>
              <w:spacing w:after="0" w:before="0" w:line="245" w:lineRule="auto"/>
            </w:pPr>
            <w:r>
              <w:rPr>
                <w:b/>
                <w:color w:val="FFFFFF"/>
                <w:sz w:val="18"/>
              </w:rPr>
              <w:t>Research stage</w:t>
            </w:r>
          </w:p>
        </w:tc>
        <w:tc>
          <w:tcPr>
            <w:tcW w:type="dxa" w:w="5904"/>
            <w:vAlign w:val="center"/>
            <w:shd w:fill="18394D"/>
            <w:tcMar>
              <w:top w:w="65" w:type="dxa"/>
              <w:bottom w:w="65" w:type="dxa"/>
              <w:left w:w="95" w:type="dxa"/>
              <w:right w:w="95" w:type="dxa"/>
            </w:tcMar>
          </w:tcPr>
          <w:p>
            <w:pPr>
              <w:spacing w:after="0" w:before="0" w:line="245" w:lineRule="auto"/>
            </w:pPr>
            <w:r>
              <w:rPr>
                <w:b/>
                <w:color w:val="FFFFFF"/>
                <w:sz w:val="18"/>
              </w:rPr>
              <w:t>Evidence established</w:t>
            </w:r>
          </w:p>
        </w:tc>
        <w:tc>
          <w:tcPr>
            <w:tcW w:type="dxa" w:w="1296"/>
            <w:vAlign w:val="center"/>
            <w:shd w:fill="18394D"/>
            <w:tcMar>
              <w:top w:w="65" w:type="dxa"/>
              <w:bottom w:w="65" w:type="dxa"/>
              <w:left w:w="95" w:type="dxa"/>
              <w:right w:w="95" w:type="dxa"/>
            </w:tcMar>
          </w:tcPr>
          <w:p>
            <w:pPr>
              <w:spacing w:after="0" w:before="0" w:line="245" w:lineRule="auto"/>
            </w:pPr>
            <w:r>
              <w:rPr>
                <w:b/>
                <w:color w:val="FFFFFF"/>
                <w:sz w:val="18"/>
              </w:rPr>
              <w:t>Ref.</w:t>
            </w:r>
          </w:p>
        </w:tc>
      </w:tr>
      <w:tr>
        <w:trPr>
          <w:cantSplit/>
        </w:trPr>
        <w:tc>
          <w:tcPr>
            <w:tcW w:type="dxa" w:w="2448"/>
            <w:vAlign w:val="center"/>
            <w:shd w:fill="F0F5F6"/>
            <w:tcMar>
              <w:top w:w="65" w:type="dxa"/>
              <w:bottom w:w="65" w:type="dxa"/>
              <w:left w:w="95" w:type="dxa"/>
              <w:right w:w="95" w:type="dxa"/>
            </w:tcMar>
          </w:tcPr>
          <w:p>
            <w:pPr>
              <w:spacing w:after="0" w:before="0" w:line="245" w:lineRule="auto"/>
            </w:pPr>
            <w:r>
              <w:rPr>
                <w:b w:val="0"/>
                <w:color w:val="18394D"/>
                <w:sz w:val="18"/>
              </w:rPr>
              <w:t>1  Reconcile records</w:t>
            </w:r>
          </w:p>
        </w:tc>
        <w:tc>
          <w:tcPr>
            <w:tcW w:type="dxa" w:w="5904"/>
            <w:vAlign w:val="center"/>
            <w:shd w:fill="F0F5F6"/>
            <w:tcMar>
              <w:top w:w="65" w:type="dxa"/>
              <w:bottom w:w="65" w:type="dxa"/>
              <w:left w:w="95" w:type="dxa"/>
              <w:right w:w="95" w:type="dxa"/>
            </w:tcMar>
          </w:tcPr>
          <w:p>
            <w:pPr>
              <w:spacing w:after="0" w:before="0" w:line="245" w:lineRule="auto"/>
            </w:pPr>
            <w:r>
              <w:rPr>
                <w:b w:val="0"/>
                <w:color w:val="18394D"/>
                <w:sz w:val="18"/>
              </w:rPr>
              <w:t>Cash, inventory, atomic transitions and quoted marks</w:t>
            </w:r>
          </w:p>
        </w:tc>
        <w:tc>
          <w:tcPr>
            <w:tcW w:type="dxa" w:w="1296"/>
            <w:vAlign w:val="center"/>
            <w:shd w:fill="F0F5F6"/>
            <w:tcMar>
              <w:top w:w="65" w:type="dxa"/>
              <w:bottom w:w="65" w:type="dxa"/>
              <w:left w:w="95" w:type="dxa"/>
              <w:right w:w="95" w:type="dxa"/>
            </w:tcMar>
          </w:tcPr>
          <w:p>
            <w:pPr>
              <w:spacing w:after="0" w:before="0" w:line="245" w:lineRule="auto"/>
            </w:pPr>
            <w:r>
              <w:rPr>
                <w:b w:val="0"/>
                <w:color w:val="18394D"/>
                <w:sz w:val="18"/>
              </w:rPr>
              <w:t>S07</w:t>
            </w:r>
          </w:p>
        </w:tc>
      </w:tr>
      <w:tr>
        <w:trPr>
          <w:cantSplit/>
        </w:trPr>
        <w:tc>
          <w:tcPr>
            <w:tcW w:type="dxa" w:w="2448"/>
            <w:vAlign w:val="center"/>
            <w:shd w:fill="FFFFFF"/>
            <w:tcMar>
              <w:top w:w="65" w:type="dxa"/>
              <w:bottom w:w="65" w:type="dxa"/>
              <w:left w:w="95" w:type="dxa"/>
              <w:right w:w="95" w:type="dxa"/>
            </w:tcMar>
          </w:tcPr>
          <w:p>
            <w:pPr>
              <w:spacing w:after="0" w:before="0" w:line="245" w:lineRule="auto"/>
            </w:pPr>
            <w:r>
              <w:rPr>
                <w:b w:val="0"/>
                <w:color w:val="18394D"/>
                <w:sz w:val="18"/>
              </w:rPr>
              <w:t>2  Recover structure</w:t>
            </w:r>
          </w:p>
        </w:tc>
        <w:tc>
          <w:tcPr>
            <w:tcW w:type="dxa" w:w="5904"/>
            <w:vAlign w:val="center"/>
            <w:shd w:fill="FFFFFF"/>
            <w:tcMar>
              <w:top w:w="65" w:type="dxa"/>
              <w:bottom w:w="65" w:type="dxa"/>
              <w:left w:w="95" w:type="dxa"/>
              <w:right w:w="95" w:type="dxa"/>
            </w:tcMar>
          </w:tcPr>
          <w:p>
            <w:pPr>
              <w:spacing w:after="0" w:before="0" w:line="245" w:lineRule="auto"/>
            </w:pPr>
            <w:r>
              <w:rPr>
                <w:b w:val="0"/>
                <w:color w:val="18394D"/>
                <w:sz w:val="18"/>
              </w:rPr>
              <w:t>Opening, recurring windows and protection patterns</w:t>
            </w:r>
          </w:p>
        </w:tc>
        <w:tc>
          <w:tcPr>
            <w:tcW w:type="dxa" w:w="1296"/>
            <w:vAlign w:val="center"/>
            <w:shd w:fill="FFFFFF"/>
            <w:tcMar>
              <w:top w:w="65" w:type="dxa"/>
              <w:bottom w:w="65" w:type="dxa"/>
              <w:left w:w="95" w:type="dxa"/>
              <w:right w:w="95" w:type="dxa"/>
            </w:tcMar>
          </w:tcPr>
          <w:p>
            <w:pPr>
              <w:spacing w:after="0" w:before="0" w:line="245" w:lineRule="auto"/>
            </w:pPr>
            <w:r>
              <w:rPr>
                <w:b w:val="0"/>
                <w:color w:val="18394D"/>
                <w:sz w:val="18"/>
              </w:rPr>
              <w:t>S02 / S10</w:t>
            </w:r>
          </w:p>
        </w:tc>
      </w:tr>
      <w:tr>
        <w:trPr>
          <w:cantSplit/>
        </w:trPr>
        <w:tc>
          <w:tcPr>
            <w:tcW w:type="dxa" w:w="2448"/>
            <w:vAlign w:val="center"/>
            <w:shd w:fill="F0F5F6"/>
            <w:tcMar>
              <w:top w:w="65" w:type="dxa"/>
              <w:bottom w:w="65" w:type="dxa"/>
              <w:left w:w="95" w:type="dxa"/>
              <w:right w:w="95" w:type="dxa"/>
            </w:tcMar>
          </w:tcPr>
          <w:p>
            <w:pPr>
              <w:spacing w:after="0" w:before="0" w:line="245" w:lineRule="auto"/>
            </w:pPr>
            <w:r>
              <w:rPr>
                <w:b w:val="0"/>
                <w:color w:val="18394D"/>
                <w:sz w:val="18"/>
              </w:rPr>
              <w:t>3  Test rule hypotheses</w:t>
            </w:r>
          </w:p>
        </w:tc>
        <w:tc>
          <w:tcPr>
            <w:tcW w:type="dxa" w:w="5904"/>
            <w:vAlign w:val="center"/>
            <w:shd w:fill="F0F5F6"/>
            <w:tcMar>
              <w:top w:w="65" w:type="dxa"/>
              <w:bottom w:w="65" w:type="dxa"/>
              <w:left w:w="95" w:type="dxa"/>
              <w:right w:w="95" w:type="dxa"/>
            </w:tcMar>
          </w:tcPr>
          <w:p>
            <w:pPr>
              <w:spacing w:after="0" w:before="0" w:line="245" w:lineRule="auto"/>
            </w:pPr>
            <w:r>
              <w:rPr>
                <w:b w:val="0"/>
                <w:color w:val="18394D"/>
                <w:sz w:val="18"/>
              </w:rPr>
              <w:t>Entry, sizing, exit and risk candidates; contradictions</w:t>
            </w:r>
          </w:p>
        </w:tc>
        <w:tc>
          <w:tcPr>
            <w:tcW w:type="dxa" w:w="1296"/>
            <w:vAlign w:val="center"/>
            <w:shd w:fill="F0F5F6"/>
            <w:tcMar>
              <w:top w:w="65" w:type="dxa"/>
              <w:bottom w:w="65" w:type="dxa"/>
              <w:left w:w="95" w:type="dxa"/>
              <w:right w:w="95" w:type="dxa"/>
            </w:tcMar>
          </w:tcPr>
          <w:p>
            <w:pPr>
              <w:spacing w:after="0" w:before="0" w:line="245" w:lineRule="auto"/>
            </w:pPr>
            <w:r>
              <w:rPr>
                <w:b w:val="0"/>
                <w:color w:val="18394D"/>
                <w:sz w:val="18"/>
              </w:rPr>
              <w:t>S03 / S04</w:t>
            </w:r>
          </w:p>
        </w:tc>
      </w:tr>
      <w:tr>
        <w:trPr>
          <w:cantSplit/>
        </w:trPr>
        <w:tc>
          <w:tcPr>
            <w:tcW w:type="dxa" w:w="2448"/>
            <w:vAlign w:val="center"/>
            <w:shd w:fill="FFFFFF"/>
            <w:tcMar>
              <w:top w:w="65" w:type="dxa"/>
              <w:bottom w:w="65" w:type="dxa"/>
              <w:left w:w="95" w:type="dxa"/>
              <w:right w:w="95" w:type="dxa"/>
            </w:tcMar>
          </w:tcPr>
          <w:p>
            <w:pPr>
              <w:spacing w:after="0" w:before="0" w:line="245" w:lineRule="auto"/>
            </w:pPr>
            <w:r>
              <w:rPr>
                <w:b w:val="0"/>
                <w:color w:val="18394D"/>
                <w:sz w:val="18"/>
              </w:rPr>
              <w:t>4  Replay autonomous policies</w:t>
            </w:r>
          </w:p>
        </w:tc>
        <w:tc>
          <w:tcPr>
            <w:tcW w:type="dxa" w:w="5904"/>
            <w:vAlign w:val="center"/>
            <w:shd w:fill="FFFFFF"/>
            <w:tcMar>
              <w:top w:w="65" w:type="dxa"/>
              <w:bottom w:w="65" w:type="dxa"/>
              <w:left w:w="95" w:type="dxa"/>
              <w:right w:w="95" w:type="dxa"/>
            </w:tcMar>
          </w:tcPr>
          <w:p>
            <w:pPr>
              <w:spacing w:after="0" w:before="0" w:line="245" w:lineRule="auto"/>
            </w:pPr>
            <w:r>
              <w:rPr>
                <w:b w:val="0"/>
                <w:color w:val="18394D"/>
                <w:sz w:val="18"/>
              </w:rPr>
              <w:t>Own-inventory action and path matching</w:t>
            </w:r>
          </w:p>
        </w:tc>
        <w:tc>
          <w:tcPr>
            <w:tcW w:type="dxa" w:w="1296"/>
            <w:vAlign w:val="center"/>
            <w:shd w:fill="FFFFFF"/>
            <w:tcMar>
              <w:top w:w="65" w:type="dxa"/>
              <w:bottom w:w="65" w:type="dxa"/>
              <w:left w:w="95" w:type="dxa"/>
              <w:right w:w="95" w:type="dxa"/>
            </w:tcMar>
          </w:tcPr>
          <w:p>
            <w:pPr>
              <w:spacing w:after="0" w:before="0" w:line="245" w:lineRule="auto"/>
            </w:pPr>
            <w:r>
              <w:rPr>
                <w:b w:val="0"/>
                <w:color w:val="18394D"/>
                <w:sz w:val="18"/>
              </w:rPr>
              <w:t>S04</w:t>
            </w:r>
          </w:p>
        </w:tc>
      </w:tr>
      <w:tr>
        <w:trPr>
          <w:cantSplit/>
        </w:trPr>
        <w:tc>
          <w:tcPr>
            <w:tcW w:type="dxa" w:w="2448"/>
            <w:vAlign w:val="center"/>
            <w:shd w:fill="F0F5F6"/>
            <w:tcMar>
              <w:top w:w="65" w:type="dxa"/>
              <w:bottom w:w="65" w:type="dxa"/>
              <w:left w:w="95" w:type="dxa"/>
              <w:right w:w="95" w:type="dxa"/>
            </w:tcMar>
          </w:tcPr>
          <w:p>
            <w:pPr>
              <w:spacing w:after="0" w:before="0" w:line="245" w:lineRule="auto"/>
            </w:pPr>
            <w:r>
              <w:rPr>
                <w:b w:val="0"/>
                <w:color w:val="18394D"/>
                <w:sz w:val="18"/>
              </w:rPr>
              <w:t>5  Separate policy/execution</w:t>
            </w:r>
          </w:p>
        </w:tc>
        <w:tc>
          <w:tcPr>
            <w:tcW w:type="dxa" w:w="5904"/>
            <w:vAlign w:val="center"/>
            <w:shd w:fill="F0F5F6"/>
            <w:tcMar>
              <w:top w:w="65" w:type="dxa"/>
              <w:bottom w:w="65" w:type="dxa"/>
              <w:left w:w="95" w:type="dxa"/>
              <w:right w:w="95" w:type="dxa"/>
            </w:tcMar>
          </w:tcPr>
          <w:p>
            <w:pPr>
              <w:spacing w:after="0" w:before="0" w:line="245" w:lineRule="auto"/>
            </w:pPr>
            <w:r>
              <w:rPr>
                <w:b w:val="0"/>
                <w:color w:val="18394D"/>
                <w:sz w:val="18"/>
              </w:rPr>
              <w:t>59-motif audit; execution alternatives</w:t>
            </w:r>
          </w:p>
        </w:tc>
        <w:tc>
          <w:tcPr>
            <w:tcW w:type="dxa" w:w="1296"/>
            <w:vAlign w:val="center"/>
            <w:shd w:fill="F0F5F6"/>
            <w:tcMar>
              <w:top w:w="65" w:type="dxa"/>
              <w:bottom w:w="65" w:type="dxa"/>
              <w:left w:w="95" w:type="dxa"/>
              <w:right w:w="95" w:type="dxa"/>
            </w:tcMar>
          </w:tcPr>
          <w:p>
            <w:pPr>
              <w:spacing w:after="0" w:before="0" w:line="245" w:lineRule="auto"/>
            </w:pPr>
            <w:r>
              <w:rPr>
                <w:b w:val="0"/>
                <w:color w:val="18394D"/>
                <w:sz w:val="18"/>
              </w:rPr>
              <w:t>S05 / S13</w:t>
            </w:r>
          </w:p>
        </w:tc>
      </w:tr>
      <w:tr>
        <w:trPr>
          <w:cantSplit/>
        </w:trPr>
        <w:tc>
          <w:tcPr>
            <w:tcW w:type="dxa" w:w="2448"/>
            <w:vAlign w:val="center"/>
            <w:shd w:fill="FFFFFF"/>
            <w:tcMar>
              <w:top w:w="65" w:type="dxa"/>
              <w:bottom w:w="65" w:type="dxa"/>
              <w:left w:w="95" w:type="dxa"/>
              <w:right w:w="95" w:type="dxa"/>
            </w:tcMar>
          </w:tcPr>
          <w:p>
            <w:pPr>
              <w:spacing w:after="0" w:before="0" w:line="245" w:lineRule="auto"/>
            </w:pPr>
            <w:r>
              <w:rPr>
                <w:b w:val="0"/>
                <w:color w:val="18394D"/>
                <w:sz w:val="18"/>
              </w:rPr>
              <w:t>6  Test intermediate exits</w:t>
            </w:r>
          </w:p>
        </w:tc>
        <w:tc>
          <w:tcPr>
            <w:tcW w:type="dxa" w:w="5904"/>
            <w:vAlign w:val="center"/>
            <w:shd w:fill="FFFFFF"/>
            <w:tcMar>
              <w:top w:w="65" w:type="dxa"/>
              <w:bottom w:w="65" w:type="dxa"/>
              <w:left w:w="95" w:type="dxa"/>
              <w:right w:w="95" w:type="dxa"/>
            </w:tcMar>
          </w:tcPr>
          <w:p>
            <w:pPr>
              <w:spacing w:after="0" w:before="0" w:line="245" w:lineRule="auto"/>
            </w:pPr>
            <w:r>
              <w:rPr>
                <w:b w:val="0"/>
                <w:color w:val="18394D"/>
                <w:sz w:val="18"/>
              </w:rPr>
              <w:t>Matched non-exits; whole-cycle and chronology checks</w:t>
            </w:r>
          </w:p>
        </w:tc>
        <w:tc>
          <w:tcPr>
            <w:tcW w:type="dxa" w:w="1296"/>
            <w:vAlign w:val="center"/>
            <w:shd w:fill="FFFFFF"/>
            <w:tcMar>
              <w:top w:w="65" w:type="dxa"/>
              <w:bottom w:w="65" w:type="dxa"/>
              <w:left w:w="95" w:type="dxa"/>
              <w:right w:w="95" w:type="dxa"/>
            </w:tcMar>
          </w:tcPr>
          <w:p>
            <w:pPr>
              <w:spacing w:after="0" w:before="0" w:line="245" w:lineRule="auto"/>
            </w:pPr>
            <w:r>
              <w:rPr>
                <w:b w:val="0"/>
                <w:color w:val="18394D"/>
                <w:sz w:val="18"/>
              </w:rPr>
              <w:t>S06</w:t>
            </w:r>
          </w:p>
        </w:tc>
      </w:tr>
      <w:tr>
        <w:trPr>
          <w:cantSplit/>
        </w:trPr>
        <w:tc>
          <w:tcPr>
            <w:tcW w:type="dxa" w:w="2448"/>
            <w:vAlign w:val="center"/>
            <w:shd w:fill="F0F5F6"/>
            <w:tcMar>
              <w:top w:w="65" w:type="dxa"/>
              <w:bottom w:w="65" w:type="dxa"/>
              <w:left w:w="95" w:type="dxa"/>
              <w:right w:w="95" w:type="dxa"/>
            </w:tcMar>
          </w:tcPr>
          <w:p>
            <w:pPr>
              <w:spacing w:after="0" w:before="0" w:line="245" w:lineRule="auto"/>
            </w:pPr>
            <w:r>
              <w:rPr>
                <w:b w:val="0"/>
                <w:color w:val="18394D"/>
                <w:sz w:val="18"/>
              </w:rPr>
              <w:t>7  Falsify economic alpha</w:t>
            </w:r>
          </w:p>
        </w:tc>
        <w:tc>
          <w:tcPr>
            <w:tcW w:type="dxa" w:w="5904"/>
            <w:vAlign w:val="center"/>
            <w:shd w:fill="F0F5F6"/>
            <w:tcMar>
              <w:top w:w="65" w:type="dxa"/>
              <w:bottom w:w="65" w:type="dxa"/>
              <w:left w:w="95" w:type="dxa"/>
              <w:right w:w="95" w:type="dxa"/>
            </w:tcMar>
          </w:tcPr>
          <w:p>
            <w:pPr>
              <w:spacing w:after="0" w:before="0" w:line="245" w:lineRule="auto"/>
            </w:pPr>
            <w:r>
              <w:rPr>
                <w:b w:val="0"/>
                <w:color w:val="18394D"/>
                <w:sz w:val="18"/>
              </w:rPr>
              <w:t>Role/phase P&amp;L, fixed costs and paired benchmarks</w:t>
            </w:r>
          </w:p>
        </w:tc>
        <w:tc>
          <w:tcPr>
            <w:tcW w:type="dxa" w:w="1296"/>
            <w:vAlign w:val="center"/>
            <w:shd w:fill="F0F5F6"/>
            <w:tcMar>
              <w:top w:w="65" w:type="dxa"/>
              <w:bottom w:w="65" w:type="dxa"/>
              <w:left w:w="95" w:type="dxa"/>
              <w:right w:w="95" w:type="dxa"/>
            </w:tcMar>
          </w:tcPr>
          <w:p>
            <w:pPr>
              <w:spacing w:after="0" w:before="0" w:line="245" w:lineRule="auto"/>
            </w:pPr>
            <w:r>
              <w:rPr>
                <w:b w:val="0"/>
                <w:color w:val="18394D"/>
                <w:sz w:val="18"/>
              </w:rPr>
              <w:t>S01 / S14–17</w:t>
            </w:r>
          </w:p>
        </w:tc>
      </w:tr>
    </w:tbl>
    <w:p>
      <w:pPr>
        <w:spacing w:after="0"/>
      </w:pPr>
    </w:p>
    <w:p>
      <w:r>
        <w:rPr>
          <w:b w:val="0"/>
          <w:sz w:val="20"/>
        </w:rPr>
        <w:t xml:space="preserve">Unresolved data boundary: zero before the first received fill is an accounting assumption, not a verified account statement. Completeness, NAV, margin, full-chain quotes, original allocation ownership, decision events and submission/cancel/acknowledgement records are absent. Quote marks are not executable prices or settlement. </w:t>
      </w:r>
      <w:hyperlink r:id="rId19">
        <w:r>
          <w:rPr>
            <w:color w:val="107F7B"/>
          </w:rPr>
          <w:t>[S01]</w:t>
        </w:r>
      </w:hyperlink>
      <w:r>
        <w:rPr>
          <w:b w:val="0"/>
          <w:sz w:val="20"/>
        </w:rPr>
        <w:t xml:space="preserve"> </w:t>
      </w:r>
      <w:hyperlink r:id="rId22">
        <w:r>
          <w:rPr>
            <w:color w:val="107F7B"/>
          </w:rPr>
          <w:t>[S18]</w:t>
        </w:r>
      </w:hyperlink>
      <w:r>
        <w:rPr>
          <w:b w:val="0"/>
          <w:sz w:val="20"/>
        </w:rPr>
      </w:r>
    </w:p>
    <w:p>
      <w:bookmarkStart w:id="4" w:name="s3"/>
      <w:pPr>
        <w:pStyle w:val="Heading1"/>
        <w:pageBreakBefore/>
      </w:pPr>
      <w:r>
        <w:t>3  Reconstructed strategy structure</w:t>
      </w:r>
      <w:bookmarkEnd w:id="4"/>
    </w:p>
    <w:p>
      <w:r>
        <w:rPr>
          <w:b w:val="0"/>
        </w:rPr>
        <w:t xml:space="preserve">The strongest description is an accumulating, near-expiry short-option book with outward protection and separate management. It is not a recovered source-code specification. The diagram distinguishes observed actions from unidentified transition conditions. </w:t>
      </w:r>
      <w:hyperlink r:id="rId14">
        <w:r>
          <w:rPr>
            <w:color w:val="107F7B"/>
          </w:rPr>
          <w:t>[S02]</w:t>
        </w:r>
      </w:hyperlink>
      <w:r>
        <w:rPr>
          <w:b w:val="0"/>
        </w:rPr>
        <w:t xml:space="preserve"> </w:t>
      </w:r>
      <w:hyperlink r:id="rId23">
        <w:r>
          <w:rPr>
            <w:color w:val="107F7B"/>
          </w:rPr>
          <w:t>[S03]</w:t>
        </w:r>
      </w:hyperlink>
      <w:r>
        <w:rPr>
          <w:b w:val="0"/>
        </w:rPr>
      </w:r>
    </w:p>
    <w:p>
      <w:bookmarkStart w:id="5" w:name="figure_01"/>
      <w:pPr>
        <w:keepNext/>
        <w:spacing w:after="60"/>
      </w:pPr>
      <w:r>
        <w:drawing>
          <wp:inline xmlns:a="http://schemas.openxmlformats.org/drawingml/2006/main" xmlns:pic="http://schemas.openxmlformats.org/drawingml/2006/picture">
            <wp:extent cx="6080760" cy="3387852"/>
            <wp:docPr id="1" name="Picture 1"/>
            <wp:cNvGraphicFramePr>
              <a:graphicFrameLocks noChangeAspect="1"/>
            </wp:cNvGraphicFramePr>
            <a:graphic>
              <a:graphicData uri="http://schemas.openxmlformats.org/drawingml/2006/picture">
                <pic:pic>
                  <pic:nvPicPr>
                    <pic:cNvPr id="0" name="Figure_01.png"/>
                    <pic:cNvPicPr/>
                  </pic:nvPicPr>
                  <pic:blipFill>
                    <a:blip r:embed="rId24"/>
                    <a:stretch>
                      <a:fillRect/>
                    </a:stretch>
                  </pic:blipFill>
                  <pic:spPr>
                    <a:xfrm>
                      <a:off x="0" y="0"/>
                      <a:ext cx="6080760" cy="3387852"/>
                    </a:xfrm>
                    <a:prstGeom prst="rect"/>
                  </pic:spPr>
                </pic:pic>
              </a:graphicData>
            </a:graphic>
          </wp:inline>
        </w:drawing>
      </w:r>
      <w:bookmarkEnd w:id="5"/>
    </w:p>
    <w:p>
      <w:pPr>
        <w:pStyle w:val="Caption"/>
        <w:keepNext/>
      </w:pPr>
      <w:r>
        <w:rPr>
          <w:b/>
        </w:rPr>
        <w:t>Figure 1. Observed lifecycle and unresolved activation</w:t>
      </w:r>
    </w:p>
    <w:p>
      <w:pPr>
        <w:pStyle w:val="Sourcenote"/>
        <w:keepNext w:val="0"/>
      </w:pPr>
      <w:r>
        <w:rPr>
          <w:b w:val="0"/>
        </w:rPr>
        <w:t xml:space="preserve">Source: </w:t>
      </w:r>
      <w:hyperlink r:id="rId14">
        <w:r>
          <w:rPr>
            <w:color w:val="107F7B"/>
          </w:rPr>
          <w:t>[S02]</w:t>
        </w:r>
      </w:hyperlink>
      <w:r>
        <w:rPr>
          <w:b w:val="0"/>
        </w:rPr>
        <w:t xml:space="preserve">, </w:t>
      </w:r>
      <w:hyperlink r:id="rId23">
        <w:r>
          <w:rPr>
            <w:color w:val="107F7B"/>
          </w:rPr>
          <w:t>[S03]</w:t>
        </w:r>
      </w:hyperlink>
      <w:r>
        <w:rPr>
          <w:b w:val="0"/>
        </w:rPr>
        <w:t xml:space="preserve">, </w:t>
      </w:r>
      <w:hyperlink r:id="rId18">
        <w:r>
          <w:rPr>
            <w:color w:val="107F7B"/>
          </w:rPr>
          <w:t>[S06]</w:t>
        </w:r>
      </w:hyperlink>
      <w:r>
        <w:rPr>
          <w:b w:val="0"/>
        </w:rPr>
        <w:t>. Solid boxes: observed structure. Dashed gold boxes/arrows: conditions or sequencing not recovered. Schematic only; early closures can bypass later stages.</w:t>
      </w:r>
    </w:p>
    <w:p>
      <w:pPr>
        <w:pStyle w:val="Heading3"/>
      </w:pPr>
      <w:r>
        <w:rPr>
          <w:b w:val="0"/>
        </w:rPr>
        <w:t>Initial entry: what is observed</w:t>
      </w:r>
    </w:p>
    <w:p>
      <w:r>
        <w:rPr>
          <w:b w:val="0"/>
        </w:rPr>
        <w:t xml:space="preserve">Strongly supported: the first paired short sale begins in the 09:16 minute on 31/32 pre-expiry starts. Those 31 ordinary starts match nearest ATM using the completed 09:15 index close, on 50-point NIFTY and 100-point SENSEX grids. A contemporaneous quote could produce the same strike, so the exact reference implementation remains unresolved. </w:t>
      </w:r>
      <w:hyperlink r:id="rId25">
        <w:r>
          <w:rPr>
            <w:color w:val="107F7B"/>
          </w:rPr>
          <w:t>[S09]</w:t>
        </w:r>
      </w:hyperlink>
      <w:r>
        <w:rPr>
          <w:b w:val="0"/>
        </w:rPr>
      </w:r>
    </w:p>
    <w:p>
      <w:r>
        <w:rPr>
          <w:b w:val="0"/>
        </w:rPr>
        <w:t xml:space="preserve">Observed: ordinary 09:17 books commonly hold 195 NIFTY units or 60 SENSEX units in each of the four roles. These sizes match jointly on 13/14 ordinary NIFTY dates and 15/17 SENSEX dates. NIFTY 5 October is a delayed exception: first exposure precedes its 09:30:59 first pair. </w:t>
      </w:r>
      <w:hyperlink r:id="rId14">
        <w:r>
          <w:rPr>
            <w:color w:val="107F7B"/>
          </w:rPr>
          <w:t>[S02]</w:t>
        </w:r>
      </w:hyperlink>
      <w:r>
        <w:rPr>
          <w:b w:val="0"/>
        </w:rPr>
        <w:t xml:space="preserve"> </w:t>
      </w:r>
      <w:hyperlink r:id="rId25">
        <w:r>
          <w:rPr>
            <w:color w:val="107F7B"/>
          </w:rPr>
          <w:t>[S09]</w:t>
        </w:r>
      </w:hyperlink>
      <w:r>
        <w:rPr>
          <w:b w:val="0"/>
        </w:rPr>
      </w:r>
    </w:p>
    <w:p>
      <w:r>
        <w:rPr>
          <w:b w:val="0"/>
          <w:sz w:val="19"/>
        </w:rPr>
        <w:t xml:space="preserve">The four roles are not one guaranteed atomic order. First short fills are within one second on 31/31 ordinary starts; first wing/short separation is at most three seconds per right. This describes sequencing, not completion of all quantities or a guaranteed hedge-first broker instruction. </w:t>
      </w:r>
      <w:hyperlink r:id="rId23">
        <w:r>
          <w:rPr>
            <w:color w:val="107F7B"/>
          </w:rPr>
          <w:t>[S03]</w:t>
        </w:r>
      </w:hyperlink>
      <w:r>
        <w:rPr>
          <w:b w:val="0"/>
          <w:sz w:val="19"/>
        </w:rPr>
      </w:r>
    </w:p>
    <w:p>
      <w:bookmarkStart w:id="6" w:name="schedule"/>
      <w:pPr>
        <w:pStyle w:val="Heading2"/>
        <w:pageBreakBefore/>
      </w:pPr>
      <w:r>
        <w:t>3.1  The recurring allocation schedule</w:t>
      </w:r>
      <w:bookmarkEnd w:id="6"/>
    </w:p>
    <w:p>
      <w:bookmarkStart w:id="7" w:name="figure_02"/>
      <w:pPr>
        <w:keepNext/>
        <w:spacing w:after="60"/>
      </w:pPr>
      <w:r>
        <w:drawing>
          <wp:inline xmlns:a="http://schemas.openxmlformats.org/drawingml/2006/main" xmlns:pic="http://schemas.openxmlformats.org/drawingml/2006/picture">
            <wp:extent cx="6080760" cy="3691890"/>
            <wp:docPr id="2" name="Picture 2"/>
            <wp:cNvGraphicFramePr>
              <a:graphicFrameLocks noChangeAspect="1"/>
            </wp:cNvGraphicFramePr>
            <a:graphic>
              <a:graphicData uri="http://schemas.openxmlformats.org/drawingml/2006/picture">
                <pic:pic>
                  <pic:nvPicPr>
                    <pic:cNvPr id="0" name="Figure_02.png"/>
                    <pic:cNvPicPr/>
                  </pic:nvPicPr>
                  <pic:blipFill>
                    <a:blip r:embed="rId26"/>
                    <a:stretch>
                      <a:fillRect/>
                    </a:stretch>
                  </pic:blipFill>
                  <pic:spPr>
                    <a:xfrm>
                      <a:off x="0" y="0"/>
                      <a:ext cx="6080760" cy="3691890"/>
                    </a:xfrm>
                    <a:prstGeom prst="rect"/>
                  </pic:spPr>
                </pic:pic>
              </a:graphicData>
            </a:graphic>
          </wp:inline>
        </w:drawing>
      </w:r>
      <w:bookmarkEnd w:id="7"/>
    </w:p>
    <w:p>
      <w:pPr>
        <w:pStyle w:val="Caption"/>
        <w:keepNext/>
      </w:pPr>
      <w:r>
        <w:rPr>
          <w:b/>
        </w:rPr>
        <w:t>Figure 2. Observed recurring-window short allocations</w:t>
      </w:r>
    </w:p>
    <w:p>
      <w:pPr>
        <w:pStyle w:val="Sourcenote"/>
        <w:keepNext w:val="0"/>
      </w:pPr>
      <w:r>
        <w:rPr>
          <w:b w:val="0"/>
        </w:rPr>
        <w:t xml:space="preserve">Source: </w:t>
      </w:r>
      <w:hyperlink r:id="rId15">
        <w:r>
          <w:rPr>
            <w:color w:val="107F7B"/>
          </w:rPr>
          <w:t>[S10]</w:t>
        </w:r>
      </w:hyperlink>
      <w:r>
        <w:rPr>
          <w:b w:val="0"/>
        </w:rPr>
        <w:t>. Gross inventory-opening CE/PE short quantities averaged per right, divided by 65 for NIFTY and 20 for SENSEX; median and IQR. Outliers not shown; windows are not sizing instructions.</w:t>
      </w:r>
    </w:p>
    <w:p>
      <w:r>
        <w:rPr>
          <w:b/>
        </w:rPr>
        <w:t>The 17 observed pre-expiry windows (IST):</w:t>
      </w:r>
    </w:p>
    <w:p>
      <w:r>
        <w:rPr>
          <w:b w:val="0"/>
          <w:sz w:val="21"/>
        </w:rPr>
        <w:t>09:30, 09:45, 10:00, 10:15, 10:30, 10:45, 11:00, 11:15, 11:30, 11:45, 12:00, 12:30, 13:30, 13:45, 14:00, 14:15, 14:30.</w:t>
      </w:r>
    </w:p>
    <w:p>
      <w:r>
        <w:rPr>
          <w:b w:val="0"/>
        </w:rPr>
        <w:t xml:space="preserve">The measurement interval is T −2 seconds through T +3 minutes, exclusive. It allows observed execution dispersion; it is not a recovered signal timestamp. The schedule has gaps, and additional activity occurs outside it. “Every 15 minutes all day” is not the supported rule. </w:t>
      </w:r>
      <w:hyperlink r:id="rId14">
        <w:r>
          <w:rPr>
            <w:color w:val="107F7B"/>
          </w:rPr>
          <w:t>[S02]</w:t>
        </w:r>
      </w:hyperlink>
      <w:r>
        <w:rPr>
          <w:b w:val="0"/>
        </w:rPr>
        <w:t xml:space="preserve"> </w:t>
      </w:r>
      <w:hyperlink r:id="rId15">
        <w:r>
          <w:rPr>
            <w:color w:val="107F7B"/>
          </w:rPr>
          <w:t>[S10]</w:t>
        </w:r>
      </w:hyperlink>
      <w:r>
        <w:rPr>
          <w:b w:val="0"/>
        </w:rPr>
      </w:r>
    </w:p>
    <w:p>
      <w:r>
        <w:rPr>
          <w:b w:val="0"/>
        </w:rPr>
        <w:t xml:space="preserve">Figure 2 reports the observed distribution of gross short inventory openings per right. It includes 15 NIFTY and 17 SENSEX sessions; quantity is divided by the observed 65/20 base request units. The IQR describes cross-session variability, not a forecast interval or a guaranteed order size. The exact count of units at each time remains unresolved. </w:t>
      </w:r>
      <w:hyperlink r:id="rId15">
        <w:r>
          <w:rPr>
            <w:color w:val="107F7B"/>
          </w:rPr>
          <w:t>[S10]</w:t>
        </w:r>
      </w:hyperlink>
      <w:r>
        <w:rPr>
          <w:b w:val="0"/>
        </w:rPr>
      </w:r>
    </w:p>
    <w:p>
      <w:bookmarkStart w:id="8" w:name="structure_joint"/>
      <w:pPr>
        <w:pStyle w:val="Heading2"/>
        <w:pageBreakBefore/>
      </w:pPr>
      <w:r>
        <w:t>3.2  Accumulation rather than whole-book replacement</w:t>
      </w:r>
      <w:bookmarkEnd w:id="8"/>
    </w:p>
    <w:p>
      <w:bookmarkStart w:id="9" w:name="figure_03"/>
      <w:pPr>
        <w:keepNext/>
        <w:spacing w:after="60"/>
      </w:pPr>
      <w:r>
        <w:drawing>
          <wp:inline xmlns:a="http://schemas.openxmlformats.org/drawingml/2006/main" xmlns:pic="http://schemas.openxmlformats.org/drawingml/2006/picture">
            <wp:extent cx="6080760" cy="3127248"/>
            <wp:docPr id="3" name="Picture 3"/>
            <wp:cNvGraphicFramePr>
              <a:graphicFrameLocks noChangeAspect="1"/>
            </wp:cNvGraphicFramePr>
            <a:graphic>
              <a:graphicData uri="http://schemas.openxmlformats.org/drawingml/2006/picture">
                <pic:pic>
                  <pic:nvPicPr>
                    <pic:cNvPr id="0" name="Figure_03.png"/>
                    <pic:cNvPicPr/>
                  </pic:nvPicPr>
                  <pic:blipFill>
                    <a:blip r:embed="rId27"/>
                    <a:stretch>
                      <a:fillRect/>
                    </a:stretch>
                  </pic:blipFill>
                  <pic:spPr>
                    <a:xfrm>
                      <a:off x="0" y="0"/>
                      <a:ext cx="6080760" cy="3127248"/>
                    </a:xfrm>
                    <a:prstGeom prst="rect"/>
                  </pic:spPr>
                </pic:pic>
              </a:graphicData>
            </a:graphic>
          </wp:inline>
        </w:drawing>
      </w:r>
      <w:bookmarkEnd w:id="9"/>
    </w:p>
    <w:p>
      <w:pPr>
        <w:pStyle w:val="Caption"/>
        <w:keepNext/>
      </w:pPr>
      <w:r>
        <w:rPr>
          <w:b/>
        </w:rPr>
        <w:t>Figure 3. Recurring-window structural evidence</w:t>
      </w:r>
    </w:p>
    <w:p>
      <w:pPr>
        <w:pStyle w:val="Sourcenote"/>
        <w:keepNext w:val="0"/>
      </w:pPr>
      <w:r>
        <w:rPr>
          <w:b w:val="0"/>
        </w:rPr>
        <w:t xml:space="preserve">Source: </w:t>
      </w:r>
      <w:hyperlink r:id="rId14">
        <w:r>
          <w:rPr>
            <w:color w:val="107F7B"/>
          </w:rPr>
          <w:t>[S02]</w:t>
        </w:r>
      </w:hyperlink>
      <w:r>
        <w:rPr>
          <w:b w:val="0"/>
        </w:rPr>
        <w:t xml:space="preserve">, </w:t>
      </w:r>
      <w:hyperlink r:id="rId15">
        <w:r>
          <w:rPr>
            <w:color w:val="107F7B"/>
          </w:rPr>
          <w:t>[S10]</w:t>
        </w:r>
      </w:hyperlink>
      <w:r>
        <w:rPr>
          <w:b w:val="0"/>
        </w:rPr>
        <w:t>. 32 sessions ×17 windows. One window lacks a full Greek fit; joint denominator remains 544. Rates are correlated and must not be multiplied.</w:t>
      </w:r>
    </w:p>
    <w:p>
      <w:r>
        <w:rPr>
          <w:b w:val="0"/>
        </w:rPr>
        <w:t xml:space="preserve">Strongly supported: some older short and long exposure necessarily survives each of the 544 recurring windows under the conservative inventory-retention definition. Fresh quantities arrive in all four roles in 541/544; net shorts grow in 530/544. Thus the process usually adds exposure rather than closes the old four-leg basket and replaces it. It does not imply that every old lot survives. </w:t>
      </w:r>
      <w:hyperlink r:id="rId15">
        <w:r>
          <w:rPr>
            <w:color w:val="107F7B"/>
          </w:rPr>
          <w:t>[S10]</w:t>
        </w:r>
      </w:hyperlink>
      <w:r>
        <w:rPr>
          <w:b w:val="0"/>
        </w:rPr>
      </w:r>
    </w:p>
    <w:p>
      <w:r>
        <w:rPr>
          <w:b w:val="0"/>
        </w:rPr>
        <w:t xml:space="preserve">The joint 529/544 result requires retention, four-role additions, net growth and all three modeled Greek changes on the same window. One window lacks a full Greek fit and stays in the denominator as unconfirmed. Greek signs are correlated consequences of adding short exposure, not independent proofs of a hidden range-prediction signal. </w:t>
      </w:r>
      <w:hyperlink r:id="rId14">
        <w:r>
          <w:rPr>
            <w:color w:val="107F7B"/>
          </w:rPr>
          <w:t>[S02]</w:t>
        </w:r>
      </w:hyperlink>
      <w:r>
        <w:rPr>
          <w:b w:val="0"/>
        </w:rPr>
        <w:t xml:space="preserve"> </w:t>
      </w:r>
      <w:hyperlink r:id="rId15">
        <w:r>
          <w:rPr>
            <w:color w:val="107F7B"/>
          </w:rPr>
          <w:t>[S10]</w:t>
        </w:r>
      </w:hyperlink>
      <w:r>
        <w:rPr>
          <w:b w:val="0"/>
        </w:rPr>
      </w:r>
    </w:p>
    <w:tbl>
      <w:tblPr>
        <w:tblW w:type="auto" w:w="0"/>
        <w:jc w:val="center"/>
        <w:tblLayout w:type="fixed"/>
        <w:tblLook w:firstColumn="1" w:firstRow="1" w:lastColumn="0" w:lastRow="0" w:noHBand="0" w:noVBand="1" w:val="04A0"/>
      </w:tblPr>
      <w:tblGrid>
        <w:gridCol w:w="4464"/>
        <w:gridCol w:w="2160"/>
        <w:gridCol w:w="3024"/>
      </w:tblGrid>
      <w:tr>
        <w:trPr>
          <w:cantSplit/>
          <w:tblHeader/>
        </w:trPr>
        <w:tc>
          <w:tcPr>
            <w:tcW w:type="dxa" w:w="4464"/>
            <w:vAlign w:val="center"/>
            <w:shd w:fill="18394D"/>
            <w:tcMar>
              <w:top w:w="65" w:type="dxa"/>
              <w:bottom w:w="65" w:type="dxa"/>
              <w:left w:w="95" w:type="dxa"/>
              <w:right w:w="95" w:type="dxa"/>
            </w:tcMar>
          </w:tcPr>
          <w:p>
            <w:pPr>
              <w:spacing w:after="0" w:before="0" w:line="245" w:lineRule="auto"/>
            </w:pPr>
            <w:r>
              <w:rPr>
                <w:b/>
                <w:color w:val="FFFFFF"/>
                <w:sz w:val="18"/>
              </w:rPr>
              <w:t>Observed pre-expiry new-short requests</w:t>
            </w:r>
          </w:p>
        </w:tc>
        <w:tc>
          <w:tcPr>
            <w:tcW w:type="dxa" w:w="2160"/>
            <w:vAlign w:val="center"/>
            <w:shd w:fill="18394D"/>
            <w:tcMar>
              <w:top w:w="65" w:type="dxa"/>
              <w:bottom w:w="65" w:type="dxa"/>
              <w:left w:w="95" w:type="dxa"/>
              <w:right w:w="95" w:type="dxa"/>
            </w:tcMar>
          </w:tcPr>
          <w:p>
            <w:pPr>
              <w:spacing w:after="0" w:before="0" w:line="245" w:lineRule="auto"/>
            </w:pPr>
            <w:r>
              <w:rPr>
                <w:b/>
                <w:color w:val="FFFFFF"/>
                <w:sz w:val="18"/>
              </w:rPr>
              <w:t>Common base size</w:t>
            </w:r>
          </w:p>
        </w:tc>
        <w:tc>
          <w:tcPr>
            <w:tcW w:type="dxa" w:w="3024"/>
            <w:vAlign w:val="center"/>
            <w:shd w:fill="18394D"/>
            <w:tcMar>
              <w:top w:w="65" w:type="dxa"/>
              <w:bottom w:w="65" w:type="dxa"/>
              <w:left w:w="95" w:type="dxa"/>
              <w:right w:w="95" w:type="dxa"/>
            </w:tcMar>
          </w:tcPr>
          <w:p>
            <w:pPr>
              <w:spacing w:after="0" w:before="0" w:line="245" w:lineRule="auto"/>
            </w:pPr>
            <w:r>
              <w:rPr>
                <w:b/>
                <w:color w:val="FFFFFF"/>
                <w:sz w:val="18"/>
              </w:rPr>
              <w:t>Matching parents</w:t>
            </w:r>
          </w:p>
        </w:tc>
      </w:tr>
      <w:tr>
        <w:trPr>
          <w:cantSplit/>
        </w:trPr>
        <w:tc>
          <w:tcPr>
            <w:tcW w:type="dxa" w:w="4464"/>
            <w:vAlign w:val="center"/>
            <w:shd w:fill="F0F5F6"/>
            <w:tcMar>
              <w:top w:w="65" w:type="dxa"/>
              <w:bottom w:w="65" w:type="dxa"/>
              <w:left w:w="95" w:type="dxa"/>
              <w:right w:w="95" w:type="dxa"/>
            </w:tcMar>
          </w:tcPr>
          <w:p>
            <w:pPr>
              <w:spacing w:after="0" w:before="0" w:line="245" w:lineRule="auto"/>
            </w:pPr>
            <w:r>
              <w:rPr>
                <w:b w:val="0"/>
                <w:color w:val="18394D"/>
                <w:sz w:val="18"/>
              </w:rPr>
              <w:t>NIFTY</w:t>
            </w:r>
          </w:p>
        </w:tc>
        <w:tc>
          <w:tcPr>
            <w:tcW w:type="dxa" w:w="2160"/>
            <w:vAlign w:val="center"/>
            <w:shd w:fill="F0F5F6"/>
            <w:tcMar>
              <w:top w:w="65" w:type="dxa"/>
              <w:bottom w:w="65" w:type="dxa"/>
              <w:left w:w="95" w:type="dxa"/>
              <w:right w:w="95" w:type="dxa"/>
            </w:tcMar>
          </w:tcPr>
          <w:p>
            <w:pPr>
              <w:spacing w:after="0" w:before="0" w:line="245" w:lineRule="auto"/>
            </w:pPr>
            <w:r>
              <w:rPr>
                <w:b w:val="0"/>
                <w:color w:val="18394D"/>
                <w:sz w:val="18"/>
              </w:rPr>
              <w:t>65 units</w:t>
            </w:r>
          </w:p>
        </w:tc>
        <w:tc>
          <w:tcPr>
            <w:tcW w:type="dxa" w:w="3024"/>
            <w:vAlign w:val="center"/>
            <w:shd w:fill="F0F5F6"/>
            <w:tcMar>
              <w:top w:w="65" w:type="dxa"/>
              <w:bottom w:w="65" w:type="dxa"/>
              <w:left w:w="95" w:type="dxa"/>
              <w:right w:w="95" w:type="dxa"/>
            </w:tcMar>
          </w:tcPr>
          <w:p>
            <w:pPr>
              <w:spacing w:after="0" w:before="0" w:line="245" w:lineRule="auto"/>
            </w:pPr>
            <w:r>
              <w:rPr>
                <w:b w:val="0"/>
                <w:color w:val="18394D"/>
                <w:sz w:val="18"/>
              </w:rPr>
              <w:t>2,022/2,032 (99.5%)</w:t>
            </w:r>
          </w:p>
        </w:tc>
      </w:tr>
      <w:tr>
        <w:trPr>
          <w:cantSplit/>
        </w:trPr>
        <w:tc>
          <w:tcPr>
            <w:tcW w:type="dxa" w:w="4464"/>
            <w:vAlign w:val="center"/>
            <w:shd w:fill="FFFFFF"/>
            <w:tcMar>
              <w:top w:w="65" w:type="dxa"/>
              <w:bottom w:w="65" w:type="dxa"/>
              <w:left w:w="95" w:type="dxa"/>
              <w:right w:w="95" w:type="dxa"/>
            </w:tcMar>
          </w:tcPr>
          <w:p>
            <w:pPr>
              <w:spacing w:after="0" w:before="0" w:line="245" w:lineRule="auto"/>
            </w:pPr>
            <w:r>
              <w:rPr>
                <w:b w:val="0"/>
                <w:color w:val="18394D"/>
                <w:sz w:val="18"/>
              </w:rPr>
              <w:t>SENSEX</w:t>
            </w:r>
          </w:p>
        </w:tc>
        <w:tc>
          <w:tcPr>
            <w:tcW w:type="dxa" w:w="2160"/>
            <w:vAlign w:val="center"/>
            <w:shd w:fill="FFFFFF"/>
            <w:tcMar>
              <w:top w:w="65" w:type="dxa"/>
              <w:bottom w:w="65" w:type="dxa"/>
              <w:left w:w="95" w:type="dxa"/>
              <w:right w:w="95" w:type="dxa"/>
            </w:tcMar>
          </w:tcPr>
          <w:p>
            <w:pPr>
              <w:spacing w:after="0" w:before="0" w:line="245" w:lineRule="auto"/>
            </w:pPr>
            <w:r>
              <w:rPr>
                <w:b w:val="0"/>
                <w:color w:val="18394D"/>
                <w:sz w:val="18"/>
              </w:rPr>
              <w:t>20 units</w:t>
            </w:r>
          </w:p>
        </w:tc>
        <w:tc>
          <w:tcPr>
            <w:tcW w:type="dxa" w:w="3024"/>
            <w:vAlign w:val="center"/>
            <w:shd w:fill="FFFFFF"/>
            <w:tcMar>
              <w:top w:w="65" w:type="dxa"/>
              <w:bottom w:w="65" w:type="dxa"/>
              <w:left w:w="95" w:type="dxa"/>
              <w:right w:w="95" w:type="dxa"/>
            </w:tcMar>
          </w:tcPr>
          <w:p>
            <w:pPr>
              <w:spacing w:after="0" w:before="0" w:line="245" w:lineRule="auto"/>
            </w:pPr>
            <w:r>
              <w:rPr>
                <w:b w:val="0"/>
                <w:color w:val="18394D"/>
                <w:sz w:val="18"/>
              </w:rPr>
              <w:t>2,375/2,375 (100%)</w:t>
            </w:r>
          </w:p>
        </w:tc>
      </w:tr>
    </w:tbl>
    <w:p>
      <w:pPr>
        <w:spacing w:after="0"/>
      </w:pPr>
    </w:p>
    <w:p>
      <w:r>
        <w:rPr>
          <w:b w:val="0"/>
          <w:sz w:val="19"/>
        </w:rPr>
        <w:t xml:space="preserve">These are request-granularity units, not verified exchange lot definitions, capital allocations or a recovered number-of-orders formula. Separate contract/side reductions can coexist with a surviving opposite side and later new allocations. </w:t>
      </w:r>
      <w:hyperlink r:id="rId14">
        <w:r>
          <w:rPr>
            <w:color w:val="107F7B"/>
          </w:rPr>
          <w:t>[S02]</w:t>
        </w:r>
      </w:hyperlink>
      <w:r>
        <w:rPr>
          <w:b w:val="0"/>
          <w:sz w:val="19"/>
        </w:rPr>
        <w:t xml:space="preserve"> </w:t>
      </w:r>
      <w:hyperlink r:id="rId23">
        <w:r>
          <w:rPr>
            <w:color w:val="107F7B"/>
          </w:rPr>
          <w:t>[S03]</w:t>
        </w:r>
      </w:hyperlink>
      <w:r>
        <w:rPr>
          <w:b w:val="0"/>
          <w:sz w:val="19"/>
        </w:rPr>
      </w:r>
    </w:p>
    <w:p>
      <w:bookmarkStart w:id="10" w:name="opening"/>
      <w:pPr>
        <w:pStyle w:val="Heading2"/>
        <w:pageBreakBefore/>
      </w:pPr>
      <w:r>
        <w:t>3.3  Opening reconstruction and protection selection</w:t>
      </w:r>
      <w:bookmarkEnd w:id="10"/>
    </w:p>
    <w:p>
      <w:bookmarkStart w:id="11" w:name="figure_04"/>
      <w:pPr>
        <w:keepNext/>
        <w:spacing w:after="60"/>
      </w:pPr>
      <w:r>
        <w:drawing>
          <wp:inline xmlns:a="http://schemas.openxmlformats.org/drawingml/2006/main" xmlns:pic="http://schemas.openxmlformats.org/drawingml/2006/picture">
            <wp:extent cx="6080760" cy="2736342"/>
            <wp:docPr id="4" name="Picture 4"/>
            <wp:cNvGraphicFramePr>
              <a:graphicFrameLocks noChangeAspect="1"/>
            </wp:cNvGraphicFramePr>
            <a:graphic>
              <a:graphicData uri="http://schemas.openxmlformats.org/drawingml/2006/picture">
                <pic:pic>
                  <pic:nvPicPr>
                    <pic:cNvPr id="0" name="Figure_04.png"/>
                    <pic:cNvPicPr/>
                  </pic:nvPicPr>
                  <pic:blipFill>
                    <a:blip r:embed="rId28"/>
                    <a:stretch>
                      <a:fillRect/>
                    </a:stretch>
                  </pic:blipFill>
                  <pic:spPr>
                    <a:xfrm>
                      <a:off x="0" y="0"/>
                      <a:ext cx="6080760" cy="2736342"/>
                    </a:xfrm>
                    <a:prstGeom prst="rect"/>
                  </pic:spPr>
                </pic:pic>
              </a:graphicData>
            </a:graphic>
          </wp:inline>
        </w:drawing>
      </w:r>
      <w:bookmarkEnd w:id="11"/>
    </w:p>
    <w:p>
      <w:pPr>
        <w:pStyle w:val="Caption"/>
        <w:keepNext/>
      </w:pPr>
      <w:r>
        <w:rPr>
          <w:b/>
        </w:rPr>
        <w:t>Figure 4. Opening reconstruction: improvement and remaining mismatch</w:t>
      </w:r>
    </w:p>
    <w:p>
      <w:pPr>
        <w:pStyle w:val="Sourcenote"/>
        <w:keepNext w:val="0"/>
      </w:pPr>
      <w:r>
        <w:rPr>
          <w:b w:val="0"/>
        </w:rPr>
        <w:t xml:space="preserve">Source: </w:t>
      </w:r>
      <w:hyperlink r:id="rId17">
        <w:r>
          <w:rPr>
            <w:color w:val="107F7B"/>
          </w:rPr>
          <w:t>[S05]</w:t>
        </w:r>
      </w:hyperlink>
      <w:r>
        <w:rPr>
          <w:b w:val="0"/>
        </w:rPr>
        <w:t>. Different targets: opening gross shorts, true first executed wing pair, 09:17 net roles. Earlier controller contradiction is retained; no unreported net score invented.</w:t>
      </w:r>
    </w:p>
    <w:tbl>
      <w:tblPr>
        <w:tblW w:type="auto" w:w="0"/>
        <w:jc w:val="center"/>
        <w:tblLayout w:type="fixed"/>
        <w:tblLook w:firstColumn="1" w:firstRow="1" w:lastColumn="0" w:lastRow="0" w:noHBand="0" w:noVBand="1" w:val="04A0"/>
      </w:tblPr>
      <w:tblGrid>
        <w:gridCol w:w="3168"/>
        <w:gridCol w:w="6480"/>
      </w:tblGrid>
      <w:tr>
        <w:trPr>
          <w:cantSplit/>
          <w:tblHeader/>
        </w:trPr>
        <w:tc>
          <w:tcPr>
            <w:tcW w:type="dxa" w:w="3168"/>
            <w:vAlign w:val="center"/>
            <w:shd w:fill="18394D"/>
            <w:tcMar>
              <w:top w:w="65" w:type="dxa"/>
              <w:bottom w:w="65" w:type="dxa"/>
              <w:left w:w="95" w:type="dxa"/>
              <w:right w:w="95" w:type="dxa"/>
            </w:tcMar>
          </w:tcPr>
          <w:p>
            <w:pPr>
              <w:spacing w:after="0" w:before="0" w:line="245" w:lineRule="auto"/>
            </w:pPr>
            <w:r>
              <w:rPr>
                <w:b/>
                <w:color w:val="FFFFFF"/>
                <w:sz w:val="18"/>
              </w:rPr>
              <w:t>Protection cohort</w:t>
            </w:r>
          </w:p>
        </w:tc>
        <w:tc>
          <w:tcPr>
            <w:tcW w:type="dxa" w:w="6480"/>
            <w:vAlign w:val="center"/>
            <w:shd w:fill="18394D"/>
            <w:tcMar>
              <w:top w:w="65" w:type="dxa"/>
              <w:bottom w:w="65" w:type="dxa"/>
              <w:left w:w="95" w:type="dxa"/>
              <w:right w:w="95" w:type="dxa"/>
            </w:tcMar>
          </w:tcPr>
          <w:p>
            <w:pPr>
              <w:spacing w:after="0" w:before="0" w:line="245" w:lineRule="auto"/>
            </w:pPr>
            <w:r>
              <w:rPr>
                <w:b/>
                <w:color w:val="FFFFFF"/>
                <w:sz w:val="18"/>
              </w:rPr>
              <w:t>Evidence and limit</w:t>
            </w:r>
          </w:p>
        </w:tc>
      </w:tr>
      <w:tr>
        <w:trPr>
          <w:cantSplit/>
        </w:trPr>
        <w:tc>
          <w:tcPr>
            <w:tcW w:type="dxa" w:w="3168"/>
            <w:vAlign w:val="center"/>
            <w:shd w:fill="F0F5F6"/>
            <w:tcMar>
              <w:top w:w="65" w:type="dxa"/>
              <w:bottom w:w="65" w:type="dxa"/>
              <w:left w:w="95" w:type="dxa"/>
              <w:right w:w="95" w:type="dxa"/>
            </w:tcMar>
          </w:tcPr>
          <w:p>
            <w:pPr>
              <w:spacing w:after="0" w:before="0" w:line="245" w:lineRule="auto"/>
            </w:pPr>
            <w:r>
              <w:rPr>
                <w:b w:val="0"/>
                <w:color w:val="18394D"/>
                <w:sz w:val="18"/>
              </w:rPr>
              <w:t>NIFTY initial seed</w:t>
            </w:r>
          </w:p>
        </w:tc>
        <w:tc>
          <w:tcPr>
            <w:tcW w:type="dxa" w:w="6480"/>
            <w:vAlign w:val="center"/>
            <w:shd w:fill="F0F5F6"/>
            <w:tcMar>
              <w:top w:w="65" w:type="dxa"/>
              <w:bottom w:w="65" w:type="dxa"/>
              <w:left w:w="95" w:type="dxa"/>
              <w:right w:w="95" w:type="dxa"/>
            </w:tcMar>
          </w:tcPr>
          <w:p>
            <w:pPr>
              <w:spacing w:after="0" w:before="0" w:line="245" w:lineRule="auto"/>
            </w:pPr>
            <w:r>
              <w:rPr>
                <w:b w:val="0"/>
                <w:color w:val="18394D"/>
                <w:sz w:val="18"/>
              </w:rPr>
              <w:t>26/28 wings within 100 points of a 2000 gap; 19/28 exact.</w:t>
            </w:r>
          </w:p>
        </w:tc>
      </w:tr>
      <w:tr>
        <w:trPr>
          <w:cantSplit/>
        </w:trPr>
        <w:tc>
          <w:tcPr>
            <w:tcW w:type="dxa" w:w="3168"/>
            <w:vAlign w:val="center"/>
            <w:shd w:fill="FFFFFF"/>
            <w:tcMar>
              <w:top w:w="65" w:type="dxa"/>
              <w:bottom w:w="65" w:type="dxa"/>
              <w:left w:w="95" w:type="dxa"/>
              <w:right w:w="95" w:type="dxa"/>
            </w:tcMar>
          </w:tcPr>
          <w:p>
            <w:pPr>
              <w:spacing w:after="0" w:before="0" w:line="245" w:lineRule="auto"/>
            </w:pPr>
            <w:r>
              <w:rPr>
                <w:b w:val="0"/>
                <w:color w:val="18394D"/>
                <w:sz w:val="18"/>
              </w:rPr>
              <w:t>SENSEX initial seed</w:t>
            </w:r>
          </w:p>
        </w:tc>
        <w:tc>
          <w:tcPr>
            <w:tcW w:type="dxa" w:w="6480"/>
            <w:vAlign w:val="center"/>
            <w:shd w:fill="FFFFFF"/>
            <w:tcMar>
              <w:top w:w="65" w:type="dxa"/>
              <w:bottom w:w="65" w:type="dxa"/>
              <w:left w:w="95" w:type="dxa"/>
              <w:right w:w="95" w:type="dxa"/>
            </w:tcMar>
          </w:tcPr>
          <w:p>
            <w:pPr>
              <w:spacing w:after="0" w:before="0" w:line="245" w:lineRule="auto"/>
            </w:pPr>
            <w:r>
              <w:rPr>
                <w:b w:val="0"/>
                <w:color w:val="18394D"/>
                <w:sz w:val="18"/>
              </w:rPr>
              <w:t>Before 16 Sep: 21/22 within 200 of 4000. Later: 12/12 exactly 2000.</w:t>
            </w:r>
          </w:p>
        </w:tc>
      </w:tr>
      <w:tr>
        <w:trPr>
          <w:cantSplit/>
        </w:trPr>
        <w:tc>
          <w:tcPr>
            <w:tcW w:type="dxa" w:w="3168"/>
            <w:vAlign w:val="center"/>
            <w:shd w:fill="F0F5F6"/>
            <w:tcMar>
              <w:top w:w="65" w:type="dxa"/>
              <w:bottom w:w="65" w:type="dxa"/>
              <w:left w:w="95" w:type="dxa"/>
              <w:right w:w="95" w:type="dxa"/>
            </w:tcMar>
          </w:tcPr>
          <w:p>
            <w:pPr>
              <w:spacing w:after="0" w:before="0" w:line="245" w:lineRule="auto"/>
            </w:pPr>
            <w:r>
              <w:rPr>
                <w:b w:val="0"/>
                <w:color w:val="18394D"/>
                <w:sz w:val="18"/>
              </w:rPr>
              <w:t>Routine NIFTY pre-expiry budget proxy</w:t>
            </w:r>
          </w:p>
        </w:tc>
        <w:tc>
          <w:tcPr>
            <w:tcW w:type="dxa" w:w="6480"/>
            <w:vAlign w:val="center"/>
            <w:shd w:fill="F0F5F6"/>
            <w:tcMar>
              <w:top w:w="65" w:type="dxa"/>
              <w:bottom w:w="65" w:type="dxa"/>
              <w:left w:w="95" w:type="dxa"/>
              <w:right w:w="95" w:type="dxa"/>
            </w:tcMar>
          </w:tcPr>
          <w:p>
            <w:pPr>
              <w:spacing w:after="0" w:before="0" w:line="245" w:lineRule="auto"/>
            </w:pPr>
            <w:r>
              <w:rPr>
                <w:b w:val="0"/>
                <w:color w:val="18394D"/>
                <w:sz w:val="18"/>
              </w:rPr>
              <w:t>2.5% of same-right ATM premium: 316/637 exact (49.6%); 586/637 within one strike (92.0%).</w:t>
            </w:r>
          </w:p>
        </w:tc>
      </w:tr>
      <w:tr>
        <w:trPr>
          <w:cantSplit/>
        </w:trPr>
        <w:tc>
          <w:tcPr>
            <w:tcW w:type="dxa" w:w="3168"/>
            <w:vAlign w:val="center"/>
            <w:shd w:fill="FFFFFF"/>
            <w:tcMar>
              <w:top w:w="65" w:type="dxa"/>
              <w:bottom w:w="65" w:type="dxa"/>
              <w:left w:w="95" w:type="dxa"/>
              <w:right w:w="95" w:type="dxa"/>
            </w:tcMar>
          </w:tcPr>
          <w:p>
            <w:pPr>
              <w:spacing w:after="0" w:before="0" w:line="245" w:lineRule="auto"/>
            </w:pPr>
            <w:r>
              <w:rPr>
                <w:b w:val="0"/>
                <w:color w:val="18394D"/>
                <w:sz w:val="18"/>
              </w:rPr>
              <w:t>Routine SENSEX pre-expiry budget proxy</w:t>
            </w:r>
          </w:p>
        </w:tc>
        <w:tc>
          <w:tcPr>
            <w:tcW w:type="dxa" w:w="6480"/>
            <w:vAlign w:val="center"/>
            <w:shd w:fill="FFFFFF"/>
            <w:tcMar>
              <w:top w:w="65" w:type="dxa"/>
              <w:bottom w:w="65" w:type="dxa"/>
              <w:left w:w="95" w:type="dxa"/>
              <w:right w:w="95" w:type="dxa"/>
            </w:tcMar>
          </w:tcPr>
          <w:p>
            <w:pPr>
              <w:spacing w:after="0" w:before="0" w:line="245" w:lineRule="auto"/>
            </w:pPr>
            <w:r>
              <w:rPr>
                <w:b w:val="0"/>
                <w:color w:val="18394D"/>
                <w:sz w:val="18"/>
              </w:rPr>
              <w:t>Rounded budget proxy: 321/623 exact (51.5%); 589/623 within one strike (94.5%).</w:t>
            </w:r>
          </w:p>
        </w:tc>
      </w:tr>
    </w:tbl>
    <w:p>
      <w:pPr>
        <w:spacing w:after="0"/>
      </w:pPr>
    </w:p>
    <w:p>
      <w:r>
        <w:rPr>
          <w:b w:val="0"/>
        </w:rPr>
        <w:t xml:space="preserve">The routine premium-budget selector is a Hypothesis supported approximately, not an exact recovered rule. Initial geometry is a different cohort. ₹2/₹7 wing prices are not universal targets. Later short strikes follow the moving index approximately, rather than always retaining the initial ATM strike. </w:t>
      </w:r>
      <w:hyperlink r:id="rId14">
        <w:r>
          <w:rPr>
            <w:color w:val="107F7B"/>
          </w:rPr>
          <w:t>[S02]</w:t>
        </w:r>
      </w:hyperlink>
      <w:r>
        <w:rPr>
          <w:b w:val="0"/>
        </w:rPr>
        <w:t xml:space="preserve"> </w:t>
      </w:r>
      <w:hyperlink r:id="rId29">
        <w:r>
          <w:rPr>
            <w:color w:val="107F7B"/>
          </w:rPr>
          <w:t>[S11]</w:t>
        </w:r>
      </w:hyperlink>
      <w:r>
        <w:rPr>
          <w:b w:val="0"/>
        </w:rPr>
      </w:r>
    </w:p>
    <w:p>
      <w:r>
        <w:rPr>
          <w:b w:val="0"/>
          <w:sz w:val="19"/>
        </w:rPr>
        <w:t xml:space="preserve">Observed timing and modeled effects also differ: most pre-expiry hedge buys accompany new shorts, while matched expiry replacements often move protection inward. A normal opening is modeled theta-positive, Vega-negative and Gamma-negative on 31/31 ordinary starts. These describe risk exposure, not predictive alpha. </w:t>
      </w:r>
      <w:hyperlink r:id="rId14">
        <w:r>
          <w:rPr>
            <w:color w:val="107F7B"/>
          </w:rPr>
          <w:t>[S02]</w:t>
        </w:r>
      </w:hyperlink>
      <w:r>
        <w:rPr>
          <w:b w:val="0"/>
          <w:sz w:val="19"/>
        </w:rPr>
        <w:t xml:space="preserve"> </w:t>
      </w:r>
      <w:hyperlink r:id="rId23">
        <w:r>
          <w:rPr>
            <w:color w:val="107F7B"/>
          </w:rPr>
          <w:t>[S03]</w:t>
        </w:r>
      </w:hyperlink>
      <w:r>
        <w:rPr>
          <w:b w:val="0"/>
          <w:sz w:val="19"/>
        </w:rPr>
      </w:r>
    </w:p>
    <w:p>
      <w:bookmarkStart w:id="12" w:name="s4"/>
      <w:pPr>
        <w:pStyle w:val="Heading1"/>
        <w:pageBreakBefore/>
      </w:pPr>
      <w:r>
        <w:t>4  What the controller search established</w:t>
      </w:r>
      <w:bookmarkEnd w:id="12"/>
    </w:p>
    <w:p>
      <w:bookmarkStart w:id="13" w:name="figure_05"/>
      <w:pPr>
        <w:keepNext/>
        <w:spacing w:after="60"/>
      </w:pPr>
      <w:r>
        <w:drawing>
          <wp:inline xmlns:a="http://schemas.openxmlformats.org/drawingml/2006/main" xmlns:pic="http://schemas.openxmlformats.org/drawingml/2006/picture">
            <wp:extent cx="6080760" cy="2692908"/>
            <wp:docPr id="5" name="Picture 5"/>
            <wp:cNvGraphicFramePr>
              <a:graphicFrameLocks noChangeAspect="1"/>
            </wp:cNvGraphicFramePr>
            <a:graphic>
              <a:graphicData uri="http://schemas.openxmlformats.org/drawingml/2006/picture">
                <pic:pic>
                  <pic:nvPicPr>
                    <pic:cNvPr id="0" name="Figure_05.png"/>
                    <pic:cNvPicPr/>
                  </pic:nvPicPr>
                  <pic:blipFill>
                    <a:blip r:embed="rId30"/>
                    <a:stretch>
                      <a:fillRect/>
                    </a:stretch>
                  </pic:blipFill>
                  <pic:spPr>
                    <a:xfrm>
                      <a:off x="0" y="0"/>
                      <a:ext cx="6080760" cy="2692908"/>
                    </a:xfrm>
                    <a:prstGeom prst="rect"/>
                  </pic:spPr>
                </pic:pic>
              </a:graphicData>
            </a:graphic>
          </wp:inline>
        </w:drawing>
      </w:r>
      <w:bookmarkEnd w:id="13"/>
    </w:p>
    <w:p>
      <w:pPr>
        <w:pStyle w:val="Caption"/>
        <w:keepNext/>
      </w:pPr>
      <w:r>
        <w:rPr>
          <w:b/>
        </w:rPr>
        <w:t>Figure 5. Autonomous reconstruction remains weak</w:t>
      </w:r>
    </w:p>
    <w:p>
      <w:pPr>
        <w:pStyle w:val="Sourcenote"/>
        <w:keepNext w:val="0"/>
      </w:pPr>
      <w:r>
        <w:rPr>
          <w:b w:val="0"/>
        </w:rPr>
        <w:t xml:space="preserve">Source: </w:t>
      </w:r>
      <w:hyperlink r:id="rId16">
        <w:r>
          <w:rPr>
            <w:color w:val="107F7B"/>
          </w:rPr>
          <w:t>[S04]</w:t>
        </w:r>
      </w:hyperlink>
      <w:r>
        <w:rPr>
          <w:b w:val="0"/>
        </w:rPr>
        <w:t xml:space="preserve">, </w:t>
      </w:r>
      <w:hyperlink r:id="rId17">
        <w:r>
          <w:rPr>
            <w:color w:val="107F7B"/>
          </w:rPr>
          <w:t>[S05]</w:t>
        </w:r>
      </w:hyperlink>
      <w:r>
        <w:rPr>
          <w:b w:val="0"/>
        </w:rPr>
        <w:t>. Four action types, exact contract/action within ±2 min. Panels have different initialization/cohort/modules; do not read 23.3→24.3 as a controlled improvement.</w:t>
      </w:r>
    </w:p>
    <w:p>
      <w:r>
        <w:rPr>
          <w:b w:val="0"/>
        </w:rPr>
        <w:t xml:space="preserve">The constrained autonomous search evaluated 13,864 definitions: 13,824 main combinations and 40 earlier-fit refinements. Policies ran with their own simulated inventory. The selected candidate 13845 reaches 23.3% later event macro F1 versus 18.2% for pooled-clock 2320 on 15 already-inspected September–October cycles. </w:t>
      </w:r>
      <w:hyperlink r:id="rId16">
        <w:r>
          <w:rPr>
            <w:color w:val="107F7B"/>
          </w:rPr>
          <w:t>[S04]</w:t>
        </w:r>
      </w:hyperlink>
      <w:r>
        <w:rPr>
          <w:b w:val="0"/>
        </w:rPr>
      </w:r>
    </w:p>
    <w:p>
      <w:r>
        <w:rPr>
          <w:b w:val="0"/>
        </w:rPr>
        <w:t xml:space="preserve">The separate policy/execution experiment crosses 12 policies with 7 mechanics. Its selected safe model 28 reaches 24.3% on 14 initialized later cycles; pending-aware model 33 has the same minute F1. Delayed alternatives can raise F1 slightly while worsening final closure and the registered composite. Extra mechanics do not recover the missing activation logic. </w:t>
      </w:r>
      <w:hyperlink r:id="rId17">
        <w:r>
          <w:rPr>
            <w:color w:val="107F7B"/>
          </w:rPr>
          <w:t>[S05]</w:t>
        </w:r>
      </w:hyperlink>
      <w:r>
        <w:rPr>
          <w:b w:val="0"/>
        </w:rPr>
      </w:r>
    </w:p>
    <w:tbl>
      <w:tblPr>
        <w:tblW w:type="auto" w:w="0"/>
        <w:tblLook w:firstColumn="1" w:firstRow="1" w:lastColumn="0" w:lastRow="0" w:noHBand="0" w:noVBand="1" w:val="04A0"/>
      </w:tblPr>
      <w:tblGrid>
        <w:gridCol w:w="9803"/>
      </w:tblGrid>
      <w:tr>
        <w:tc>
          <w:tcPr>
            <w:tcW w:type="dxa" w:w="9803"/>
            <w:shd w:fill="E8F1F3"/>
          </w:tcPr>
          <w:p>
            <w:pPr>
              <w:spacing w:after="140" w:before="140"/>
            </w:pPr>
            <w:r>
              <w:rPr>
                <w:b/>
                <w:color w:val="18394D"/>
              </w:rPr>
              <w:t>Do not compare the two headline F1 values as a controlled improvement.</w:t>
              <w:br/>
            </w:r>
            <w:r>
              <w:t>The experiments differ in opening modules, initialization exclusions and evaluation cohorts. Within each panel the comparisons are consistent; across panels 23.3% and 24.3% are not interchangeable.</w:t>
            </w:r>
          </w:p>
        </w:tc>
      </w:tr>
    </w:tbl>
    <w:p>
      <w:pPr>
        <w:spacing w:after="0"/>
      </w:pPr>
    </w:p>
    <w:p>
      <w:r>
        <w:rPr>
          <w:b w:val="0"/>
        </w:rPr>
        <w:t xml:space="preserve">Event macro F1 averages the four action-class F 1 s using exact contract/action matches within two minutes. Quantity and inventory scores are normalized overlaps, not exact order or full-book accuracy. Low absolute matching, opening contradictions and misspecified risk actions prevent a complete strategy-recovery claim. </w:t>
      </w:r>
      <w:hyperlink r:id="rId16">
        <w:r>
          <w:rPr>
            <w:color w:val="107F7B"/>
          </w:rPr>
          <w:t>[S04]</w:t>
        </w:r>
      </w:hyperlink>
      <w:r>
        <w:rPr>
          <w:b w:val="0"/>
        </w:rPr>
        <w:t xml:space="preserve"> </w:t>
      </w:r>
      <w:hyperlink r:id="rId17">
        <w:r>
          <w:rPr>
            <w:color w:val="107F7B"/>
          </w:rPr>
          <w:t>[S05]</w:t>
        </w:r>
      </w:hyperlink>
      <w:r>
        <w:rPr>
          <w:b w:val="0"/>
        </w:rPr>
      </w:r>
    </w:p>
    <w:p>
      <w:bookmarkStart w:id="14" w:name="s5"/>
      <w:pPr>
        <w:pStyle w:val="Heading1"/>
        <w:pageBreakBefore/>
      </w:pPr>
      <w:r>
        <w:t>5  Intermediate exits, re-entry and order management</w:t>
      </w:r>
      <w:bookmarkEnd w:id="14"/>
    </w:p>
    <w:p>
      <w:bookmarkStart w:id="15" w:name="figure_06"/>
      <w:pPr>
        <w:keepNext/>
        <w:spacing w:after="60"/>
      </w:pPr>
      <w:r>
        <w:drawing>
          <wp:inline xmlns:a="http://schemas.openxmlformats.org/drawingml/2006/main" xmlns:pic="http://schemas.openxmlformats.org/drawingml/2006/picture">
            <wp:extent cx="6080760" cy="2823210"/>
            <wp:docPr id="6" name="Picture 6"/>
            <wp:cNvGraphicFramePr>
              <a:graphicFrameLocks noChangeAspect="1"/>
            </wp:cNvGraphicFramePr>
            <a:graphic>
              <a:graphicData uri="http://schemas.openxmlformats.org/drawingml/2006/picture">
                <pic:pic>
                  <pic:nvPicPr>
                    <pic:cNvPr id="0" name="Figure_06.png"/>
                    <pic:cNvPicPr/>
                  </pic:nvPicPr>
                  <pic:blipFill>
                    <a:blip r:embed="rId31"/>
                    <a:stretch>
                      <a:fillRect/>
                    </a:stretch>
                  </pic:blipFill>
                  <pic:spPr>
                    <a:xfrm>
                      <a:off x="0" y="0"/>
                      <a:ext cx="6080760" cy="2823210"/>
                    </a:xfrm>
                    <a:prstGeom prst="rect"/>
                  </pic:spPr>
                </pic:pic>
              </a:graphicData>
            </a:graphic>
          </wp:inline>
        </w:drawing>
      </w:r>
      <w:bookmarkEnd w:id="15"/>
    </w:p>
    <w:p>
      <w:pPr>
        <w:pStyle w:val="Caption"/>
        <w:keepNext/>
      </w:pPr>
      <w:r>
        <w:rPr>
          <w:b/>
        </w:rPr>
        <w:t>Figure 6. Intermediate-exit precision versus recall</w:t>
      </w:r>
    </w:p>
    <w:p>
      <w:pPr>
        <w:pStyle w:val="Sourcenote"/>
        <w:keepNext w:val="0"/>
      </w:pPr>
      <w:r>
        <w:rPr>
          <w:b w:val="0"/>
        </w:rPr>
        <w:t xml:space="preserve">Source: </w:t>
      </w:r>
      <w:hyperlink r:id="rId18">
        <w:r>
          <w:rPr>
            <w:color w:val="107F7B"/>
          </w:rPr>
          <w:t>[S06]</w:t>
        </w:r>
      </w:hyperlink>
      <w:r>
        <w:rPr>
          <w:b w:val="0"/>
        </w:rPr>
        <w:t>. 24 expanding chronological cycles; 2200 intermediate episode starts; same-contract one-to-one ±120 s. Not an independent-fill test or a full autonomous replay.</w:t>
      </w:r>
    </w:p>
    <w:p>
      <w:r>
        <w:rPr>
          <w:b w:val="0"/>
        </w:rPr>
        <w:t xml:space="preserve">Observed: the full received ledger contains 11,716 closing Buy children across all 35 cycles. The episode study’s primary 32 cycles contain 3,512 intermediate episodes and 326 separately labeled final-liquidation episodes. Same-contract covers within 120 seconds are grouped unless a new short opening, date or outcome stratum intervenes. An episode is an observable batch, not a certified original decision. </w:t>
      </w:r>
      <w:hyperlink r:id="rId18">
        <w:r>
          <w:rPr>
            <w:color w:val="107F7B"/>
          </w:rPr>
          <w:t>[S06]</w:t>
        </w:r>
      </w:hyperlink>
      <w:r>
        <w:rPr>
          <w:b w:val="0"/>
        </w:rPr>
      </w:r>
    </w:p>
    <w:p>
      <w:r>
        <w:rPr>
          <w:b w:val="0"/>
        </w:rPr>
        <w:t xml:space="preserve">The displayed precision/recall values concern the 24 expanding chronological test cycles and 2,200 intermediate starts, not all 3,512 episodes. Features use strictly earlier fills and preceding completed candles. Full active-short opportunities determine precision; matched non-exit controls do not replace that denominator. Related events stay within whole-cycle validation folds. </w:t>
      </w:r>
      <w:hyperlink r:id="rId18">
        <w:r>
          <w:rPr>
            <w:color w:val="107F7B"/>
          </w:rPr>
          <w:t>[S06]</w:t>
        </w:r>
      </w:hyperlink>
      <w:r>
        <w:rPr>
          <w:b w:val="0"/>
        </w:rPr>
      </w:r>
    </w:p>
    <w:p>
      <w:r>
        <w:rPr>
          <w:b w:val="0"/>
        </w:rPr>
        <w:t xml:space="preserve">The 50% premium-loss hypothesis has 36.4% precision /9.8% recall. Sampled side drawdown has 18.0% / 16.6%; it improves discrimination relative to clock and inventory baselines, but still misses most exits. Neither recovers the original stop. </w:t>
      </w:r>
      <w:hyperlink r:id="rId18">
        <w:r>
          <w:rPr>
            <w:color w:val="107F7B"/>
          </w:rPr>
          <w:t>[S06]</w:t>
        </w:r>
      </w:hyperlink>
      <w:r>
        <w:rPr>
          <w:b w:val="0"/>
        </w:rPr>
      </w:r>
    </w:p>
    <w:p>
      <w:r>
        <w:rPr>
          <w:b w:val="0"/>
          <w:sz w:val="19"/>
        </w:rPr>
        <w:t xml:space="preserve">Unresolved: whether an individual reduction is a stop, profit-taking, target change, re-entry preparation or execution cleanup. A rise hurts a short CE and a fall hurts a short PE, but that direction fact does not identify a threshold or explain profitable covers. Short covers, wing sales and new entries remain distinct. </w:t>
      </w:r>
      <w:hyperlink r:id="rId14">
        <w:r>
          <w:rPr>
            <w:color w:val="107F7B"/>
          </w:rPr>
          <w:t>[S02]</w:t>
        </w:r>
      </w:hyperlink>
      <w:r>
        <w:rPr>
          <w:b w:val="0"/>
          <w:sz w:val="19"/>
        </w:rPr>
        <w:t xml:space="preserve"> </w:t>
      </w:r>
      <w:hyperlink r:id="rId18">
        <w:r>
          <w:rPr>
            <w:color w:val="107F7B"/>
          </w:rPr>
          <w:t>[S06]</w:t>
        </w:r>
      </w:hyperlink>
      <w:r>
        <w:rPr>
          <w:b w:val="0"/>
          <w:sz w:val="19"/>
        </w:rPr>
      </w:r>
    </w:p>
    <w:p>
      <w:bookmarkStart w:id="16" w:name="reversals"/>
      <w:pPr>
        <w:pStyle w:val="Heading2"/>
        <w:pageBreakBefore/>
      </w:pPr>
      <w:r>
        <w:t>5.1  Reversal-sequence forensics</w:t>
      </w:r>
      <w:bookmarkEnd w:id="16"/>
    </w:p>
    <w:p>
      <w:bookmarkStart w:id="17" w:name="figure_07"/>
      <w:pPr>
        <w:keepNext/>
        <w:spacing w:after="60"/>
      </w:pPr>
      <w:r>
        <w:drawing>
          <wp:inline xmlns:a="http://schemas.openxmlformats.org/drawingml/2006/main" xmlns:pic="http://schemas.openxmlformats.org/drawingml/2006/picture">
            <wp:extent cx="6080760" cy="2736342"/>
            <wp:docPr id="7" name="Picture 7"/>
            <wp:cNvGraphicFramePr>
              <a:graphicFrameLocks noChangeAspect="1"/>
            </wp:cNvGraphicFramePr>
            <a:graphic>
              <a:graphicData uri="http://schemas.openxmlformats.org/drawingml/2006/picture">
                <pic:pic>
                  <pic:nvPicPr>
                    <pic:cNvPr id="0" name="Figure_07.png"/>
                    <pic:cNvPicPr/>
                  </pic:nvPicPr>
                  <pic:blipFill>
                    <a:blip r:embed="rId32"/>
                    <a:stretch>
                      <a:fillRect/>
                    </a:stretch>
                  </pic:blipFill>
                  <pic:spPr>
                    <a:xfrm>
                      <a:off x="0" y="0"/>
                      <a:ext cx="6080760" cy="2736342"/>
                    </a:xfrm>
                    <a:prstGeom prst="rect"/>
                  </pic:spPr>
                </pic:pic>
              </a:graphicData>
            </a:graphic>
          </wp:inline>
        </w:drawing>
      </w:r>
      <w:bookmarkEnd w:id="17"/>
    </w:p>
    <w:p>
      <w:pPr>
        <w:pStyle w:val="Caption"/>
        <w:keepNext/>
      </w:pPr>
      <w:r>
        <w:rPr>
          <w:b/>
        </w:rPr>
        <w:t>Figure 7. Reversal quantity equality is suggestive, not causal proof</w:t>
      </w:r>
    </w:p>
    <w:p>
      <w:pPr>
        <w:pStyle w:val="Sourcenote"/>
        <w:keepNext w:val="0"/>
      </w:pPr>
      <w:r>
        <w:rPr>
          <w:b w:val="0"/>
        </w:rPr>
        <w:t xml:space="preserve">Source: </w:t>
      </w:r>
      <w:hyperlink r:id="rId33">
        <w:r>
          <w:rPr>
            <w:color w:val="107F7B"/>
          </w:rPr>
          <w:t>[S13]</w:t>
        </w:r>
      </w:hyperlink>
      <w:r>
        <w:rPr>
          <w:b w:val="0"/>
        </w:rPr>
        <w:t>. Conservative motifs exclude oversize openings. One-base equality can be forced by the size restriction. Saved bootstrap is unadjusted, not a duplication probability.</w:t>
      </w:r>
    </w:p>
    <w:p>
      <w:r>
        <w:rPr>
          <w:b w:val="0"/>
        </w:rPr>
        <w:t xml:space="preserve">Observed: 49/59 conservative motifs reopen the opposite quantity equal to the final atomic close. Every opposite opening has a different reconstructed parent reference from the final close. That separates grouped parents; it does not prove duplicated submission intent. Partial execution and fast intentional adjustments can coexist with reconciliation. </w:t>
      </w:r>
      <w:hyperlink r:id="rId33">
        <w:r>
          <w:rPr>
            <w:color w:val="107F7B"/>
          </w:rPr>
          <w:t>[S13]</w:t>
        </w:r>
      </w:hyperlink>
      <w:r>
        <w:rPr>
          <w:b w:val="0"/>
        </w:rPr>
      </w:r>
    </w:p>
    <w:p>
      <w:r>
        <w:rPr>
          <w:b w:val="0"/>
        </w:rPr>
        <w:t xml:space="preserve">The universal stale/duplicate-close simulation produces 559 candidate motifs yet matches 0/59 original cases by exact contract within ±120 seconds. It can generate a shape without identifying its activation. The bounded strict controls are only 14 cases, and exact matching leaves one case/control pair about 109 minutes apart. The plotted interval is unadjusted, not a causal duplication probability. </w:t>
      </w:r>
      <w:hyperlink r:id="rId17">
        <w:r>
          <w:rPr>
            <w:color w:val="107F7B"/>
          </w:rPr>
          <w:t>[S05]</w:t>
        </w:r>
      </w:hyperlink>
      <w:r>
        <w:rPr>
          <w:b w:val="0"/>
        </w:rPr>
        <w:t xml:space="preserve"> </w:t>
      </w:r>
      <w:hyperlink r:id="rId33">
        <w:r>
          <w:rPr>
            <w:color w:val="107F7B"/>
          </w:rPr>
          <w:t>[S13]</w:t>
        </w:r>
      </w:hyperlink>
      <w:r>
        <w:rPr>
          <w:b w:val="0"/>
        </w:rPr>
      </w:r>
    </w:p>
    <w:p>
      <w:r>
        <w:rPr>
          <w:b w:val="0"/>
        </w:rPr>
        <w:t xml:space="preserve">The 59 motifs include 43 protective-long closures and 16 short covers. The earlier 32 absent /27 retained comparison therefore contains only 9/7 actual short covers, respectively. Upstream strike/allocation differences, earlier candidate reductions and unknown initialization explain parts of candidate absence. Three retained short cases close during 09:15 before a complete session candle is available. Missing features are not filled from the later 09:15 close. </w:t>
      </w:r>
      <w:hyperlink r:id="rId17">
        <w:r>
          <w:rPr>
            <w:color w:val="107F7B"/>
          </w:rPr>
          <w:t>[S05]</w:t>
        </w:r>
      </w:hyperlink>
      <w:r>
        <w:rPr>
          <w:b w:val="0"/>
        </w:rPr>
        <w:t xml:space="preserve"> </w:t>
      </w:r>
      <w:hyperlink r:id="rId18">
        <w:r>
          <w:rPr>
            <w:color w:val="107F7B"/>
          </w:rPr>
          <w:t>[S06]</w:t>
        </w:r>
      </w:hyperlink>
      <w:r>
        <w:rPr>
          <w:b w:val="0"/>
        </w:rPr>
      </w:r>
    </w:p>
    <w:p>
      <w:bookmarkStart w:id="18" w:name="s6"/>
      <w:pPr>
        <w:pStyle w:val="Heading1"/>
        <w:pageBreakBefore/>
      </w:pPr>
      <w:r>
        <w:t>6  Final liquidation and risk management</w:t>
      </w:r>
      <w:bookmarkEnd w:id="18"/>
    </w:p>
    <w:tbl>
      <w:tblPr>
        <w:tblW w:type="auto" w:w="0"/>
        <w:jc w:val="center"/>
        <w:tblLayout w:type="fixed"/>
        <w:tblLook w:firstColumn="1" w:firstRow="1" w:lastColumn="0" w:lastRow="0" w:noHBand="0" w:noVBand="1" w:val="04A0"/>
      </w:tblPr>
      <w:tblGrid>
        <w:gridCol w:w="4176"/>
        <w:gridCol w:w="5472"/>
      </w:tblGrid>
      <w:tr>
        <w:trPr>
          <w:cantSplit/>
          <w:tblHeader/>
        </w:trPr>
        <w:tc>
          <w:tcPr>
            <w:tcW w:type="dxa" w:w="4176"/>
            <w:vAlign w:val="center"/>
            <w:shd w:fill="18394D"/>
            <w:tcMar>
              <w:top w:w="65" w:type="dxa"/>
              <w:bottom w:w="65" w:type="dxa"/>
              <w:left w:w="95" w:type="dxa"/>
              <w:right w:w="95" w:type="dxa"/>
            </w:tcMar>
          </w:tcPr>
          <w:p>
            <w:pPr>
              <w:spacing w:after="0" w:before="0" w:line="245" w:lineRule="auto"/>
            </w:pPr>
            <w:r>
              <w:rPr>
                <w:b/>
                <w:color w:val="FFFFFF"/>
                <w:sz w:val="18"/>
              </w:rPr>
              <w:t>Observed closure statement</w:t>
            </w:r>
          </w:p>
        </w:tc>
        <w:tc>
          <w:tcPr>
            <w:tcW w:type="dxa" w:w="5472"/>
            <w:vAlign w:val="center"/>
            <w:shd w:fill="18394D"/>
            <w:tcMar>
              <w:top w:w="65" w:type="dxa"/>
              <w:bottom w:w="65" w:type="dxa"/>
              <w:left w:w="95" w:type="dxa"/>
              <w:right w:w="95" w:type="dxa"/>
            </w:tcMar>
          </w:tcPr>
          <w:p>
            <w:pPr>
              <w:spacing w:after="0" w:before="0" w:line="245" w:lineRule="auto"/>
            </w:pPr>
            <w:r>
              <w:rPr>
                <w:b/>
                <w:color w:val="FFFFFF"/>
                <w:sz w:val="18"/>
              </w:rPr>
              <w:t>Denominator and exceptions</w:t>
            </w:r>
          </w:p>
        </w:tc>
      </w:tr>
      <w:tr>
        <w:trPr>
          <w:cantSplit/>
        </w:trPr>
        <w:tc>
          <w:tcPr>
            <w:tcW w:type="dxa" w:w="4176"/>
            <w:vAlign w:val="center"/>
            <w:shd w:fill="F0F5F6"/>
            <w:tcMar>
              <w:top w:w="65" w:type="dxa"/>
              <w:bottom w:w="65" w:type="dxa"/>
              <w:left w:w="95" w:type="dxa"/>
              <w:right w:w="95" w:type="dxa"/>
            </w:tcMar>
          </w:tcPr>
          <w:p>
            <w:pPr>
              <w:spacing w:after="0" w:before="0" w:line="245" w:lineRule="auto"/>
            </w:pPr>
            <w:r>
              <w:rPr>
                <w:b w:val="0"/>
                <w:color w:val="18394D"/>
                <w:sz w:val="18"/>
              </w:rPr>
              <w:t>9/10 selected late closures occur in 15:14</w:t>
            </w:r>
          </w:p>
        </w:tc>
        <w:tc>
          <w:tcPr>
            <w:tcW w:type="dxa" w:w="5472"/>
            <w:vAlign w:val="center"/>
            <w:shd w:fill="F0F5F6"/>
            <w:tcMar>
              <w:top w:w="65" w:type="dxa"/>
              <w:bottom w:w="65" w:type="dxa"/>
              <w:left w:w="95" w:type="dxa"/>
              <w:right w:w="95" w:type="dxa"/>
            </w:tcMar>
          </w:tcPr>
          <w:p>
            <w:pPr>
              <w:spacing w:after="0" w:before="0" w:line="245" w:lineRule="auto"/>
            </w:pPr>
            <w:r>
              <w:rPr>
                <w:b w:val="0"/>
                <w:color w:val="18394D"/>
                <w:sz w:val="18"/>
              </w:rPr>
              <w:t>Post-3-Aug final short-book closures at/after 15:00 only; one 15:36:54 exception. Not 90% of all exits.</w:t>
            </w:r>
          </w:p>
        </w:tc>
      </w:tr>
      <w:tr>
        <w:trPr>
          <w:cantSplit/>
        </w:trPr>
        <w:tc>
          <w:tcPr>
            <w:tcW w:type="dxa" w:w="4176"/>
            <w:vAlign w:val="center"/>
            <w:shd w:fill="FFFFFF"/>
            <w:tcMar>
              <w:top w:w="65" w:type="dxa"/>
              <w:bottom w:w="65" w:type="dxa"/>
              <w:left w:w="95" w:type="dxa"/>
              <w:right w:w="95" w:type="dxa"/>
            </w:tcMar>
          </w:tcPr>
          <w:p>
            <w:pPr>
              <w:spacing w:after="0" w:before="0" w:line="245" w:lineRule="auto"/>
            </w:pPr>
            <w:r>
              <w:rPr>
                <w:b w:val="0"/>
                <w:color w:val="18394D"/>
                <w:sz w:val="18"/>
              </w:rPr>
              <w:t>27/29 finish by 15:27:33</w:t>
            </w:r>
          </w:p>
        </w:tc>
        <w:tc>
          <w:tcPr>
            <w:tcW w:type="dxa" w:w="5472"/>
            <w:vAlign w:val="center"/>
            <w:shd w:fill="FFFFFF"/>
            <w:tcMar>
              <w:top w:w="65" w:type="dxa"/>
              <w:bottom w:w="65" w:type="dxa"/>
              <w:left w:w="95" w:type="dxa"/>
              <w:right w:w="95" w:type="dxa"/>
            </w:tcMar>
          </w:tcPr>
          <w:p>
            <w:pPr>
              <w:spacing w:after="0" w:before="0" w:line="245" w:lineRule="auto"/>
            </w:pPr>
            <w:r>
              <w:rPr>
                <w:b w:val="0"/>
                <w:color w:val="18394D"/>
                <w:sz w:val="18"/>
              </w:rPr>
              <w:t>All reconciled final short-book closures in that study; cumulative deadline description, not an exact instruction.</w:t>
            </w:r>
          </w:p>
        </w:tc>
      </w:tr>
      <w:tr>
        <w:trPr>
          <w:cantSplit/>
        </w:trPr>
        <w:tc>
          <w:tcPr>
            <w:tcW w:type="dxa" w:w="4176"/>
            <w:vAlign w:val="center"/>
            <w:shd w:fill="F0F5F6"/>
            <w:tcMar>
              <w:top w:w="65" w:type="dxa"/>
              <w:bottom w:w="65" w:type="dxa"/>
              <w:left w:w="95" w:type="dxa"/>
              <w:right w:w="95" w:type="dxa"/>
            </w:tcMar>
          </w:tcPr>
          <w:p>
            <w:pPr>
              <w:spacing w:after="0" w:before="0" w:line="245" w:lineRule="auto"/>
            </w:pPr>
            <w:r>
              <w:rPr>
                <w:b w:val="0"/>
                <w:color w:val="18394D"/>
                <w:sz w:val="18"/>
              </w:rPr>
              <w:t>31/31 nonflat carry books have long quantity covering shorts</w:t>
            </w:r>
          </w:p>
        </w:tc>
        <w:tc>
          <w:tcPr>
            <w:tcW w:type="dxa" w:w="5472"/>
            <w:vAlign w:val="center"/>
            <w:shd w:fill="F0F5F6"/>
            <w:tcMar>
              <w:top w:w="65" w:type="dxa"/>
              <w:bottom w:w="65" w:type="dxa"/>
              <w:left w:w="95" w:type="dxa"/>
              <w:right w:w="95" w:type="dxa"/>
            </w:tcMar>
          </w:tcPr>
          <w:p>
            <w:pPr>
              <w:spacing w:after="0" w:before="0" w:line="245" w:lineRule="auto"/>
            </w:pPr>
            <w:r>
              <w:rPr>
                <w:b w:val="0"/>
                <w:color w:val="18394D"/>
                <w:sz w:val="18"/>
              </w:rPr>
              <w:t>Per-right end-of-pre-expiry snapshot. The remaining one of 32 pre-expiry books is flat; continuous protection is not established.</w:t>
            </w:r>
          </w:p>
        </w:tc>
      </w:tr>
    </w:tbl>
    <w:p>
      <w:pPr>
        <w:spacing w:after="0"/>
      </w:pPr>
    </w:p>
    <w:p>
      <w:r>
        <w:rPr>
          <w:b w:val="0"/>
        </w:rPr>
        <w:t xml:space="preserve">Final short-book closure, full four-role liquidation and a quote-marked residual state are different outcomes. The full economic dataset has 11 residual books; no missing closure is invented. Early exits, expiry-day additions while exposure remains active, and later re-entry mean that the first flat short book is not a universal permanent stop. </w:t>
      </w:r>
      <w:hyperlink r:id="rId14">
        <w:r>
          <w:rPr>
            <w:color w:val="107F7B"/>
          </w:rPr>
          <w:t>[S02]</w:t>
        </w:r>
      </w:hyperlink>
      <w:r>
        <w:rPr>
          <w:b w:val="0"/>
        </w:rPr>
        <w:t xml:space="preserve"> </w:t>
      </w:r>
      <w:hyperlink r:id="rId23">
        <w:r>
          <w:rPr>
            <w:color w:val="107F7B"/>
          </w:rPr>
          <w:t>[S03]</w:t>
        </w:r>
      </w:hyperlink>
      <w:r>
        <w:rPr>
          <w:b w:val="0"/>
        </w:rPr>
        <w:t xml:space="preserve"> </w:t>
      </w:r>
      <w:hyperlink r:id="rId34">
        <w:r>
          <w:rPr>
            <w:color w:val="107F7B"/>
          </w:rPr>
          <w:t>[S12]</w:t>
        </w:r>
      </w:hyperlink>
      <w:r>
        <w:rPr>
          <w:b w:val="0"/>
        </w:rPr>
      </w:r>
    </w:p>
    <w:p>
      <w:pPr>
        <w:pStyle w:val="Heading3"/>
      </w:pPr>
      <w:r>
        <w:rPr>
          <w:b w:val="0"/>
        </w:rPr>
        <w:t>State transitions: observed actions, unresolved activation</w:t>
      </w:r>
    </w:p>
    <w:p>
      <w:r>
        <w:rPr>
          <w:b w:val="0"/>
        </w:rPr>
        <w:t xml:space="preserve">Figure 1 provides the state-machine view: received pre-expiry session → protected paired entry → recurring accumulation → independent side/wing management → expiry activity while active → early or late closure → flat or residual state. The dashed eligibility and management transitions are inferred descriptions, not recovered trigger code. </w:t>
      </w:r>
      <w:hyperlink r:id="rId14">
        <w:r>
          <w:rPr>
            <w:color w:val="107F7B"/>
          </w:rPr>
          <w:t>[S02]</w:t>
        </w:r>
      </w:hyperlink>
      <w:r>
        <w:rPr>
          <w:b w:val="0"/>
        </w:rPr>
        <w:t xml:space="preserve"> </w:t>
      </w:r>
      <w:hyperlink r:id="rId23">
        <w:r>
          <w:rPr>
            <w:color w:val="107F7B"/>
          </w:rPr>
          <w:t>[S03]</w:t>
        </w:r>
      </w:hyperlink>
      <w:r>
        <w:rPr>
          <w:b w:val="0"/>
        </w:rPr>
      </w:r>
    </w:p>
    <w:tbl>
      <w:tblPr>
        <w:tblW w:type="auto" w:w="0"/>
        <w:jc w:val="center"/>
        <w:tblLayout w:type="fixed"/>
        <w:tblLook w:firstColumn="1" w:firstRow="1" w:lastColumn="0" w:lastRow="0" w:noHBand="0" w:noVBand="1" w:val="04A0"/>
      </w:tblPr>
      <w:tblGrid>
        <w:gridCol w:w="4032"/>
        <w:gridCol w:w="5616"/>
      </w:tblGrid>
      <w:tr>
        <w:trPr>
          <w:cantSplit/>
          <w:tblHeader/>
        </w:trPr>
        <w:tc>
          <w:tcPr>
            <w:tcW w:type="dxa" w:w="4032"/>
            <w:vAlign w:val="center"/>
            <w:shd w:fill="18394D"/>
            <w:tcMar>
              <w:top w:w="65" w:type="dxa"/>
              <w:bottom w:w="65" w:type="dxa"/>
              <w:left w:w="95" w:type="dxa"/>
              <w:right w:w="95" w:type="dxa"/>
            </w:tcMar>
          </w:tcPr>
          <w:p>
            <w:pPr>
              <w:spacing w:after="0" w:before="0" w:line="245" w:lineRule="auto"/>
            </w:pPr>
            <w:r>
              <w:rPr>
                <w:b/>
                <w:color w:val="FFFFFF"/>
                <w:sz w:val="18"/>
              </w:rPr>
              <w:t>Supplied statement / risk concept</w:t>
            </w:r>
          </w:p>
        </w:tc>
        <w:tc>
          <w:tcPr>
            <w:tcW w:type="dxa" w:w="5616"/>
            <w:vAlign w:val="center"/>
            <w:shd w:fill="18394D"/>
            <w:tcMar>
              <w:top w:w="65" w:type="dxa"/>
              <w:bottom w:w="65" w:type="dxa"/>
              <w:left w:w="95" w:type="dxa"/>
              <w:right w:w="95" w:type="dxa"/>
            </w:tcMar>
          </w:tcPr>
          <w:p>
            <w:pPr>
              <w:spacing w:after="0" w:before="0" w:line="245" w:lineRule="auto"/>
            </w:pPr>
            <w:r>
              <w:rPr>
                <w:b/>
                <w:color w:val="FFFFFF"/>
                <w:sz w:val="18"/>
              </w:rPr>
              <w:t>What remains unresolved</w:t>
            </w:r>
          </w:p>
        </w:tc>
      </w:tr>
      <w:tr>
        <w:trPr>
          <w:cantSplit/>
        </w:trPr>
        <w:tc>
          <w:tcPr>
            <w:tcW w:type="dxa" w:w="4032"/>
            <w:vAlign w:val="center"/>
            <w:shd w:fill="F0F5F6"/>
            <w:tcMar>
              <w:top w:w="65" w:type="dxa"/>
              <w:bottom w:w="65" w:type="dxa"/>
              <w:left w:w="95" w:type="dxa"/>
              <w:right w:w="95" w:type="dxa"/>
            </w:tcMar>
          </w:tcPr>
          <w:p>
            <w:pPr>
              <w:spacing w:after="0" w:before="0" w:line="245" w:lineRule="auto"/>
            </w:pPr>
            <w:r>
              <w:rPr>
                <w:b w:val="0"/>
                <w:color w:val="18394D"/>
                <w:sz w:val="18"/>
              </w:rPr>
              <w:t>4% carry-forward stop</w:t>
            </w:r>
          </w:p>
        </w:tc>
        <w:tc>
          <w:tcPr>
            <w:tcW w:type="dxa" w:w="5616"/>
            <w:vAlign w:val="center"/>
            <w:shd w:fill="F0F5F6"/>
            <w:tcMar>
              <w:top w:w="65" w:type="dxa"/>
              <w:bottom w:w="65" w:type="dxa"/>
              <w:left w:w="95" w:type="dxa"/>
              <w:right w:w="95" w:type="dxa"/>
            </w:tcMar>
          </w:tcPr>
          <w:p>
            <w:pPr>
              <w:spacing w:after="0" w:before="0" w:line="245" w:lineRule="auto"/>
            </w:pPr>
            <w:r>
              <w:rPr>
                <w:b w:val="0"/>
                <w:color w:val="18394D"/>
                <w:sz w:val="18"/>
              </w:rPr>
              <w:t>Denominator, allocation/side/book scope, reference time and reset logic.</w:t>
            </w:r>
          </w:p>
        </w:tc>
      </w:tr>
      <w:tr>
        <w:trPr>
          <w:cantSplit/>
        </w:trPr>
        <w:tc>
          <w:tcPr>
            <w:tcW w:type="dxa" w:w="4032"/>
            <w:vAlign w:val="center"/>
            <w:shd w:fill="FFFFFF"/>
            <w:tcMar>
              <w:top w:w="65" w:type="dxa"/>
              <w:bottom w:w="65" w:type="dxa"/>
              <w:left w:w="95" w:type="dxa"/>
              <w:right w:w="95" w:type="dxa"/>
            </w:tcMar>
          </w:tcPr>
          <w:p>
            <w:pPr>
              <w:spacing w:after="0" w:before="0" w:line="245" w:lineRule="auto"/>
            </w:pPr>
            <w:r>
              <w:rPr>
                <w:b w:val="0"/>
                <w:color w:val="18394D"/>
                <w:sz w:val="18"/>
              </w:rPr>
              <w:t>1% expiry-day capital stop</w:t>
            </w:r>
          </w:p>
        </w:tc>
        <w:tc>
          <w:tcPr>
            <w:tcW w:type="dxa" w:w="5616"/>
            <w:vAlign w:val="center"/>
            <w:shd w:fill="FFFFFF"/>
            <w:tcMar>
              <w:top w:w="65" w:type="dxa"/>
              <w:bottom w:w="65" w:type="dxa"/>
              <w:left w:w="95" w:type="dxa"/>
              <w:right w:w="95" w:type="dxa"/>
            </w:tcMar>
          </w:tcPr>
          <w:p>
            <w:pPr>
              <w:spacing w:after="0" w:before="0" w:line="245" w:lineRule="auto"/>
            </w:pPr>
            <w:r>
              <w:rPr>
                <w:b w:val="0"/>
                <w:color w:val="18394D"/>
                <w:sz w:val="18"/>
              </w:rPr>
              <w:t>₹200,000 is 1% of the supplied ₹2 crore reference; actual NAV, margin and implementation are unverified.</w:t>
            </w:r>
          </w:p>
        </w:tc>
      </w:tr>
      <w:tr>
        <w:trPr>
          <w:cantSplit/>
        </w:trPr>
        <w:tc>
          <w:tcPr>
            <w:tcW w:type="dxa" w:w="4032"/>
            <w:vAlign w:val="center"/>
            <w:shd w:fill="F0F5F6"/>
            <w:tcMar>
              <w:top w:w="65" w:type="dxa"/>
              <w:bottom w:w="65" w:type="dxa"/>
              <w:left w:w="95" w:type="dxa"/>
              <w:right w:w="95" w:type="dxa"/>
            </w:tcMar>
          </w:tcPr>
          <w:p>
            <w:pPr>
              <w:spacing w:after="0" w:before="0" w:line="245" w:lineRule="auto"/>
            </w:pPr>
            <w:r>
              <w:rPr>
                <w:b w:val="0"/>
                <w:color w:val="18394D"/>
                <w:sz w:val="18"/>
              </w:rPr>
              <w:t>Protective quantities / frozen payoff</w:t>
            </w:r>
          </w:p>
        </w:tc>
        <w:tc>
          <w:tcPr>
            <w:tcW w:type="dxa" w:w="5616"/>
            <w:vAlign w:val="center"/>
            <w:shd w:fill="F0F5F6"/>
            <w:tcMar>
              <w:top w:w="65" w:type="dxa"/>
              <w:bottom w:w="65" w:type="dxa"/>
              <w:left w:w="95" w:type="dxa"/>
              <w:right w:w="95" w:type="dxa"/>
            </w:tcMar>
          </w:tcPr>
          <w:p>
            <w:pPr>
              <w:spacing w:after="0" w:before="0" w:line="245" w:lineRule="auto"/>
            </w:pPr>
            <w:r>
              <w:rPr>
                <w:b w:val="0"/>
                <w:color w:val="18394D"/>
                <w:sz w:val="18"/>
              </w:rPr>
              <w:t>Snapshot coverage does not identify a coded guard, continuous hedge matching, dynamic loss cap or funding budget.</w:t>
            </w:r>
          </w:p>
        </w:tc>
      </w:tr>
    </w:tbl>
    <w:p>
      <w:pPr>
        <w:spacing w:after="0"/>
      </w:pPr>
    </w:p>
    <w:p>
      <w:r>
        <w:rPr>
          <w:b w:val="0"/>
          <w:sz w:val="19"/>
        </w:rPr>
        <w:t xml:space="preserve">Hypothesis: some late actions prepare the carry book or manage exposure. That interpretation is consistent with the end-book condition but does not establish the original stop, hedge trigger or pending-order handling. Intraday sequencing can briefly leave a negative call tail under the received-options-only convention. </w:t>
      </w:r>
      <w:hyperlink r:id="rId14">
        <w:r>
          <w:rPr>
            <w:color w:val="107F7B"/>
          </w:rPr>
          <w:t>[S02]</w:t>
        </w:r>
      </w:hyperlink>
      <w:r>
        <w:rPr>
          <w:b w:val="0"/>
          <w:sz w:val="19"/>
        </w:rPr>
        <w:t xml:space="preserve"> </w:t>
      </w:r>
      <w:hyperlink r:id="rId23">
        <w:r>
          <w:rPr>
            <w:color w:val="107F7B"/>
          </w:rPr>
          <w:t>[S03]</w:t>
        </w:r>
      </w:hyperlink>
      <w:r>
        <w:rPr>
          <w:b w:val="0"/>
          <w:sz w:val="19"/>
        </w:rPr>
      </w:r>
    </w:p>
    <w:p>
      <w:bookmarkStart w:id="19" w:name="s7"/>
      <w:pPr>
        <w:pStyle w:val="Heading1"/>
        <w:pageBreakBefore/>
      </w:pPr>
      <w:r>
        <w:t>7  Economic performance and alpha attribution</w:t>
      </w:r>
      <w:bookmarkEnd w:id="19"/>
    </w:p>
    <w:tbl>
      <w:tblPr>
        <w:tblW w:type="auto" w:w="0"/>
        <w:jc w:val="center"/>
        <w:tblLayout w:type="fixed"/>
        <w:tblLook w:firstColumn="1" w:firstRow="1" w:lastColumn="0" w:lastRow="0" w:noHBand="0" w:noVBand="1" w:val="04A0"/>
      </w:tblPr>
      <w:tblGrid>
        <w:gridCol w:w="5040"/>
        <w:gridCol w:w="4608"/>
      </w:tblGrid>
      <w:tr>
        <w:trPr>
          <w:cantSplit/>
          <w:tblHeader/>
        </w:trPr>
        <w:tc>
          <w:tcPr>
            <w:tcW w:type="dxa" w:w="5040"/>
            <w:vAlign w:val="center"/>
            <w:shd w:fill="18394D"/>
            <w:tcMar>
              <w:top w:w="65" w:type="dxa"/>
              <w:bottom w:w="65" w:type="dxa"/>
              <w:left w:w="95" w:type="dxa"/>
              <w:right w:w="95" w:type="dxa"/>
            </w:tcMar>
          </w:tcPr>
          <w:p>
            <w:pPr>
              <w:spacing w:after="0" w:before="0" w:line="245" w:lineRule="auto"/>
            </w:pPr>
            <w:r>
              <w:rPr>
                <w:b/>
                <w:color w:val="FFFFFF"/>
                <w:sz w:val="18"/>
              </w:rPr>
              <w:t>Economic view | primary 32</w:t>
            </w:r>
          </w:p>
        </w:tc>
        <w:tc>
          <w:tcPr>
            <w:tcW w:type="dxa" w:w="4608"/>
            <w:vAlign w:val="center"/>
            <w:shd w:fill="18394D"/>
            <w:tcMar>
              <w:top w:w="65" w:type="dxa"/>
              <w:bottom w:w="65" w:type="dxa"/>
              <w:left w:w="95" w:type="dxa"/>
              <w:right w:w="95" w:type="dxa"/>
            </w:tcMar>
          </w:tcPr>
          <w:p>
            <w:pPr>
              <w:spacing w:after="0" w:before="0" w:line="245" w:lineRule="auto"/>
            </w:pPr>
            <w:r>
              <w:rPr>
                <w:b/>
                <w:color w:val="FFFFFF"/>
                <w:sz w:val="18"/>
              </w:rPr>
              <w:t>Quoted / reconstructed amount</w:t>
            </w:r>
          </w:p>
        </w:tc>
      </w:tr>
      <w:tr>
        <w:trPr>
          <w:cantSplit/>
        </w:trPr>
        <w:tc>
          <w:tcPr>
            <w:tcW w:type="dxa" w:w="5040"/>
            <w:vAlign w:val="center"/>
            <w:shd w:fill="F0F5F6"/>
            <w:tcMar>
              <w:top w:w="65" w:type="dxa"/>
              <w:bottom w:w="65" w:type="dxa"/>
              <w:left w:w="95" w:type="dxa"/>
              <w:right w:w="95" w:type="dxa"/>
            </w:tcMar>
          </w:tcPr>
          <w:p>
            <w:pPr>
              <w:spacing w:after="0" w:before="0" w:line="245" w:lineRule="auto"/>
            </w:pPr>
            <w:r>
              <w:rPr>
                <w:b w:val="0"/>
                <w:color w:val="18394D"/>
                <w:sz w:val="18"/>
              </w:rPr>
              <w:t>Gross realized P&amp;L</w:t>
            </w:r>
          </w:p>
        </w:tc>
        <w:tc>
          <w:tcPr>
            <w:tcW w:type="dxa" w:w="4608"/>
            <w:vAlign w:val="center"/>
            <w:shd w:fill="F0F5F6"/>
            <w:tcMar>
              <w:top w:w="65" w:type="dxa"/>
              <w:bottom w:w="65" w:type="dxa"/>
              <w:left w:w="95" w:type="dxa"/>
              <w:right w:w="95" w:type="dxa"/>
            </w:tcMar>
          </w:tcPr>
          <w:p>
            <w:pPr>
              <w:spacing w:after="0" w:before="0" w:line="245" w:lineRule="auto"/>
            </w:pPr>
            <w:r>
              <w:rPr>
                <w:b w:val="0"/>
                <w:color w:val="18394D"/>
                <w:sz w:val="18"/>
              </w:rPr>
              <w:t>₹1,371,078.56</w:t>
            </w:r>
          </w:p>
        </w:tc>
      </w:tr>
      <w:tr>
        <w:trPr>
          <w:cantSplit/>
        </w:trPr>
        <w:tc>
          <w:tcPr>
            <w:tcW w:type="dxa" w:w="5040"/>
            <w:vAlign w:val="center"/>
            <w:shd w:fill="FFFFFF"/>
            <w:tcMar>
              <w:top w:w="65" w:type="dxa"/>
              <w:bottom w:w="65" w:type="dxa"/>
              <w:left w:w="95" w:type="dxa"/>
              <w:right w:w="95" w:type="dxa"/>
            </w:tcMar>
          </w:tcPr>
          <w:p>
            <w:pPr>
              <w:spacing w:after="0" w:before="0" w:line="245" w:lineRule="auto"/>
            </w:pPr>
            <w:r>
              <w:rPr>
                <w:b w:val="0"/>
                <w:color w:val="18394D"/>
                <w:sz w:val="18"/>
              </w:rPr>
              <w:t>Marked unrealized P&amp;L</w:t>
            </w:r>
          </w:p>
        </w:tc>
        <w:tc>
          <w:tcPr>
            <w:tcW w:type="dxa" w:w="4608"/>
            <w:vAlign w:val="center"/>
            <w:shd w:fill="FFFFFF"/>
            <w:tcMar>
              <w:top w:w="65" w:type="dxa"/>
              <w:bottom w:w="65" w:type="dxa"/>
              <w:left w:w="95" w:type="dxa"/>
              <w:right w:w="95" w:type="dxa"/>
            </w:tcMar>
          </w:tcPr>
          <w:p>
            <w:pPr>
              <w:spacing w:after="0" w:before="0" w:line="245" w:lineRule="auto"/>
            </w:pPr>
            <w:r>
              <w:rPr>
                <w:b w:val="0"/>
                <w:color w:val="18394D"/>
                <w:sz w:val="18"/>
              </w:rPr>
              <w:t>₹523,276.94</w:t>
            </w:r>
          </w:p>
        </w:tc>
      </w:tr>
      <w:tr>
        <w:trPr>
          <w:cantSplit/>
        </w:trPr>
        <w:tc>
          <w:tcPr>
            <w:tcW w:type="dxa" w:w="5040"/>
            <w:vAlign w:val="center"/>
            <w:shd w:fill="F0F5F6"/>
            <w:tcMar>
              <w:top w:w="65" w:type="dxa"/>
              <w:bottom w:w="65" w:type="dxa"/>
              <w:left w:w="95" w:type="dxa"/>
              <w:right w:w="95" w:type="dxa"/>
            </w:tcMar>
          </w:tcPr>
          <w:p>
            <w:pPr>
              <w:spacing w:after="0" w:before="0" w:line="245" w:lineRule="auto"/>
            </w:pPr>
            <w:r>
              <w:rPr>
                <w:b w:val="0"/>
                <w:color w:val="18394D"/>
                <w:sz w:val="18"/>
              </w:rPr>
              <w:t>Combined gross quoted endpoint</w:t>
            </w:r>
          </w:p>
        </w:tc>
        <w:tc>
          <w:tcPr>
            <w:tcW w:type="dxa" w:w="4608"/>
            <w:vAlign w:val="center"/>
            <w:shd w:fill="F0F5F6"/>
            <w:tcMar>
              <w:top w:w="65" w:type="dxa"/>
              <w:bottom w:w="65" w:type="dxa"/>
              <w:left w:w="95" w:type="dxa"/>
              <w:right w:w="95" w:type="dxa"/>
            </w:tcMar>
          </w:tcPr>
          <w:p>
            <w:pPr>
              <w:spacing w:after="0" w:before="0" w:line="245" w:lineRule="auto"/>
            </w:pPr>
            <w:r>
              <w:rPr>
                <w:b w:val="0"/>
                <w:color w:val="18394D"/>
                <w:sz w:val="18"/>
              </w:rPr>
              <w:t>₹1,894,355.50</w:t>
            </w:r>
          </w:p>
        </w:tc>
      </w:tr>
    </w:tbl>
    <w:p>
      <w:pPr>
        <w:spacing w:after="0"/>
      </w:pPr>
    </w:p>
    <w:p>
      <w:r>
        <w:rPr>
          <w:b w:val="0"/>
        </w:rPr>
        <w:t xml:space="preserve">These reconcile: realized plus unrealized equals combined P&amp;L. Do not add all three. Unrealized amounts include residual quote marks, not verified liquidation proceeds. Received fill cash flow is ₹20.65 lakh and still includes remaining liabilities. </w:t>
      </w:r>
      <w:hyperlink r:id="rId19">
        <w:r>
          <w:rPr>
            <w:color w:val="107F7B"/>
          </w:rPr>
          <w:t>[S01]</w:t>
        </w:r>
      </w:hyperlink>
      <w:r>
        <w:rPr>
          <w:b w:val="0"/>
        </w:rPr>
        <w:t xml:space="preserve"> </w:t>
      </w:r>
      <w:hyperlink r:id="rId13">
        <w:r>
          <w:rPr>
            <w:color w:val="107F7B"/>
          </w:rPr>
          <w:t>[S14]</w:t>
        </w:r>
      </w:hyperlink>
      <w:r>
        <w:rPr>
          <w:b w:val="0"/>
        </w:rPr>
      </w:r>
    </w:p>
    <w:p>
      <w:bookmarkStart w:id="20" w:name="figure_08"/>
      <w:pPr>
        <w:keepNext/>
        <w:spacing w:after="60"/>
      </w:pPr>
      <w:r>
        <w:drawing>
          <wp:inline xmlns:a="http://schemas.openxmlformats.org/drawingml/2006/main" xmlns:pic="http://schemas.openxmlformats.org/drawingml/2006/picture">
            <wp:extent cx="6080760" cy="2779776"/>
            <wp:docPr id="8" name="Picture 8"/>
            <wp:cNvGraphicFramePr>
              <a:graphicFrameLocks noChangeAspect="1"/>
            </wp:cNvGraphicFramePr>
            <a:graphic>
              <a:graphicData uri="http://schemas.openxmlformats.org/drawingml/2006/picture">
                <pic:pic>
                  <pic:nvPicPr>
                    <pic:cNvPr id="0" name="Figure_08.png"/>
                    <pic:cNvPicPr/>
                  </pic:nvPicPr>
                  <pic:blipFill>
                    <a:blip r:embed="rId35"/>
                    <a:stretch>
                      <a:fillRect/>
                    </a:stretch>
                  </pic:blipFill>
                  <pic:spPr>
                    <a:xfrm>
                      <a:off x="0" y="0"/>
                      <a:ext cx="6080760" cy="2779776"/>
                    </a:xfrm>
                    <a:prstGeom prst="rect"/>
                  </pic:spPr>
                </pic:pic>
              </a:graphicData>
            </a:graphic>
          </wp:inline>
        </w:drawing>
      </w:r>
      <w:bookmarkEnd w:id="20"/>
    </w:p>
    <w:p>
      <w:pPr>
        <w:pStyle w:val="Caption"/>
        <w:keepNext/>
      </w:pPr>
      <w:r>
        <w:rPr>
          <w:b/>
        </w:rPr>
        <w:t>Figure 8. Economic result changes with declared costs</w:t>
      </w:r>
    </w:p>
    <w:p>
      <w:pPr>
        <w:pStyle w:val="Sourcenote"/>
        <w:keepNext w:val="0"/>
      </w:pPr>
      <w:r>
        <w:rPr>
          <w:b w:val="0"/>
        </w:rPr>
        <w:t xml:space="preserve">Source: </w:t>
      </w:r>
      <w:hyperlink r:id="rId19">
        <w:r>
          <w:rPr>
            <w:color w:val="107F7B"/>
          </w:rPr>
          <w:t>[S01]</w:t>
        </w:r>
      </w:hyperlink>
      <w:r>
        <w:rPr>
          <w:b w:val="0"/>
        </w:rPr>
        <w:t xml:space="preserve">, </w:t>
      </w:r>
      <w:hyperlink r:id="rId13">
        <w:r>
          <w:rPr>
            <w:color w:val="107F7B"/>
          </w:rPr>
          <w:t>[S14]</w:t>
        </w:r>
      </w:hyperlink>
      <w:r>
        <w:rPr>
          <w:b w:val="0"/>
        </w:rPr>
        <w:t xml:space="preserve">, </w:t>
      </w:r>
      <w:hyperlink r:id="rId20">
        <w:r>
          <w:rPr>
            <w:color w:val="107F7B"/>
          </w:rPr>
          <w:t>[S15]</w:t>
        </w:r>
      </w:hyperlink>
      <w:r>
        <w:rPr>
          <w:b w:val="0"/>
        </w:rPr>
        <w:t xml:space="preserve">, </w:t>
      </w:r>
      <w:hyperlink r:id="rId36">
        <w:r>
          <w:rPr>
            <w:color w:val="107F7B"/>
          </w:rPr>
          <w:t>[S19]</w:t>
        </w:r>
      </w:hyperlink>
      <w:r>
        <w:rPr>
          <w:b w:val="0"/>
        </w:rPr>
        <w:t>. 32 initialized cycles. Net includes quoted residuals, not verified account returns or settlements. Charges are fixed estimates, not authenticated fees.</w:t>
      </w:r>
    </w:p>
    <w:tbl>
      <w:tblPr>
        <w:tblW w:type="auto" w:w="0"/>
        <w:jc w:val="center"/>
        <w:tblLayout w:type="fixed"/>
        <w:tblLook w:firstColumn="1" w:firstRow="1" w:lastColumn="0" w:lastRow="0" w:noHBand="0" w:noVBand="1" w:val="04A0"/>
      </w:tblPr>
      <w:tblGrid>
        <w:gridCol w:w="3312"/>
        <w:gridCol w:w="2592"/>
        <w:gridCol w:w="1872"/>
        <w:gridCol w:w="1872"/>
      </w:tblGrid>
      <w:tr>
        <w:trPr>
          <w:cantSplit/>
          <w:tblHeader/>
        </w:trPr>
        <w:tc>
          <w:tcPr>
            <w:tcW w:type="dxa" w:w="3312"/>
            <w:vAlign w:val="center"/>
            <w:shd w:fill="18394D"/>
            <w:tcMar>
              <w:top w:w="65" w:type="dxa"/>
              <w:bottom w:w="65" w:type="dxa"/>
              <w:left w:w="95" w:type="dxa"/>
              <w:right w:w="95" w:type="dxa"/>
            </w:tcMar>
          </w:tcPr>
          <w:p>
            <w:pPr>
              <w:spacing w:after="0" w:before="0" w:line="245" w:lineRule="auto"/>
            </w:pPr>
            <w:r>
              <w:rPr>
                <w:b/>
                <w:color w:val="FFFFFF"/>
                <w:sz w:val="18"/>
              </w:rPr>
              <w:t>Scenario</w:t>
            </w:r>
          </w:p>
        </w:tc>
        <w:tc>
          <w:tcPr>
            <w:tcW w:type="dxa" w:w="2592"/>
            <w:vAlign w:val="center"/>
            <w:shd w:fill="18394D"/>
            <w:tcMar>
              <w:top w:w="65" w:type="dxa"/>
              <w:bottom w:w="65" w:type="dxa"/>
              <w:left w:w="95" w:type="dxa"/>
              <w:right w:w="95" w:type="dxa"/>
            </w:tcMar>
          </w:tcPr>
          <w:p>
            <w:pPr>
              <w:spacing w:after="0" w:before="0" w:line="245" w:lineRule="auto"/>
            </w:pPr>
            <w:r>
              <w:rPr>
                <w:b/>
                <w:color w:val="FFFFFF"/>
                <w:sz w:val="18"/>
              </w:rPr>
              <w:t>Premium turnover</w:t>
            </w:r>
          </w:p>
        </w:tc>
        <w:tc>
          <w:tcPr>
            <w:tcW w:type="dxa" w:w="1872"/>
            <w:vAlign w:val="center"/>
            <w:shd w:fill="18394D"/>
            <w:tcMar>
              <w:top w:w="65" w:type="dxa"/>
              <w:bottom w:w="65" w:type="dxa"/>
              <w:left w:w="95" w:type="dxa"/>
              <w:right w:w="95" w:type="dxa"/>
            </w:tcMar>
          </w:tcPr>
          <w:p>
            <w:pPr>
              <w:spacing w:after="0" w:before="0" w:line="245" w:lineRule="auto"/>
            </w:pPr>
            <w:r>
              <w:rPr>
                <w:b/>
                <w:color w:val="FFFFFF"/>
                <w:sz w:val="18"/>
              </w:rPr>
              <w:t>Per parent</w:t>
            </w:r>
          </w:p>
        </w:tc>
        <w:tc>
          <w:tcPr>
            <w:tcW w:type="dxa" w:w="1872"/>
            <w:vAlign w:val="center"/>
            <w:shd w:fill="18394D"/>
            <w:tcMar>
              <w:top w:w="65" w:type="dxa"/>
              <w:bottom w:w="65" w:type="dxa"/>
              <w:left w:w="95" w:type="dxa"/>
              <w:right w:w="95" w:type="dxa"/>
            </w:tcMar>
          </w:tcPr>
          <w:p>
            <w:pPr>
              <w:spacing w:after="0" w:before="0" w:line="245" w:lineRule="auto"/>
            </w:pPr>
            <w:r>
              <w:rPr>
                <w:b/>
                <w:color w:val="FFFFFF"/>
                <w:sz w:val="18"/>
              </w:rPr>
              <w:t>Per unit</w:t>
            </w:r>
          </w:p>
        </w:tc>
      </w:tr>
      <w:tr>
        <w:trPr>
          <w:cantSplit/>
        </w:trPr>
        <w:tc>
          <w:tcPr>
            <w:tcW w:type="dxa" w:w="3312"/>
            <w:vAlign w:val="center"/>
            <w:shd w:fill="F0F5F6"/>
            <w:tcMar>
              <w:top w:w="65" w:type="dxa"/>
              <w:bottom w:w="65" w:type="dxa"/>
              <w:left w:w="95" w:type="dxa"/>
              <w:right w:w="95" w:type="dxa"/>
            </w:tcMar>
          </w:tcPr>
          <w:p>
            <w:pPr>
              <w:spacing w:after="0" w:before="0" w:line="245" w:lineRule="auto"/>
            </w:pPr>
            <w:r>
              <w:rPr>
                <w:b w:val="0"/>
                <w:color w:val="18394D"/>
                <w:sz w:val="18"/>
              </w:rPr>
              <w:t>Zero diagnostic</w:t>
            </w:r>
          </w:p>
        </w:tc>
        <w:tc>
          <w:tcPr>
            <w:tcW w:type="dxa" w:w="2592"/>
            <w:vAlign w:val="center"/>
            <w:shd w:fill="F0F5F6"/>
            <w:tcMar>
              <w:top w:w="65" w:type="dxa"/>
              <w:bottom w:w="65" w:type="dxa"/>
              <w:left w:w="95" w:type="dxa"/>
              <w:right w:w="95" w:type="dxa"/>
            </w:tcMar>
          </w:tcPr>
          <w:p>
            <w:pPr>
              <w:spacing w:after="0" w:before="0" w:line="245" w:lineRule="auto"/>
            </w:pPr>
            <w:r>
              <w:rPr>
                <w:b w:val="0"/>
                <w:color w:val="18394D"/>
                <w:sz w:val="18"/>
              </w:rPr>
              <w:t>0%</w:t>
            </w:r>
          </w:p>
        </w:tc>
        <w:tc>
          <w:tcPr>
            <w:tcW w:type="dxa" w:w="1872"/>
            <w:vAlign w:val="center"/>
            <w:shd w:fill="F0F5F6"/>
            <w:tcMar>
              <w:top w:w="65" w:type="dxa"/>
              <w:bottom w:w="65" w:type="dxa"/>
              <w:left w:w="95" w:type="dxa"/>
              <w:right w:w="95" w:type="dxa"/>
            </w:tcMar>
          </w:tcPr>
          <w:p>
            <w:pPr>
              <w:spacing w:after="0" w:before="0" w:line="245" w:lineRule="auto"/>
            </w:pPr>
            <w:r>
              <w:rPr>
                <w:b w:val="0"/>
                <w:color w:val="18394D"/>
                <w:sz w:val="18"/>
              </w:rPr>
              <w:t>₹0</w:t>
            </w:r>
          </w:p>
        </w:tc>
        <w:tc>
          <w:tcPr>
            <w:tcW w:type="dxa" w:w="1872"/>
            <w:vAlign w:val="center"/>
            <w:shd w:fill="F0F5F6"/>
            <w:tcMar>
              <w:top w:w="65" w:type="dxa"/>
              <w:bottom w:w="65" w:type="dxa"/>
              <w:left w:w="95" w:type="dxa"/>
              <w:right w:w="95" w:type="dxa"/>
            </w:tcMar>
          </w:tcPr>
          <w:p>
            <w:pPr>
              <w:spacing w:after="0" w:before="0" w:line="245" w:lineRule="auto"/>
            </w:pPr>
            <w:r>
              <w:rPr>
                <w:b w:val="0"/>
                <w:color w:val="18394D"/>
                <w:sz w:val="18"/>
              </w:rPr>
              <w:t>₹0</w:t>
            </w:r>
          </w:p>
        </w:tc>
      </w:tr>
      <w:tr>
        <w:trPr>
          <w:cantSplit/>
        </w:trPr>
        <w:tc>
          <w:tcPr>
            <w:tcW w:type="dxa" w:w="3312"/>
            <w:vAlign w:val="center"/>
            <w:shd w:fill="FFFFFF"/>
            <w:tcMar>
              <w:top w:w="65" w:type="dxa"/>
              <w:bottom w:w="65" w:type="dxa"/>
              <w:left w:w="95" w:type="dxa"/>
              <w:right w:w="95" w:type="dxa"/>
            </w:tcMar>
          </w:tcPr>
          <w:p>
            <w:pPr>
              <w:spacing w:after="0" w:before="0" w:line="245" w:lineRule="auto"/>
            </w:pPr>
            <w:r>
              <w:rPr>
                <w:b w:val="0"/>
                <w:color w:val="18394D"/>
                <w:sz w:val="18"/>
              </w:rPr>
              <w:t>Moderate</w:t>
            </w:r>
          </w:p>
        </w:tc>
        <w:tc>
          <w:tcPr>
            <w:tcW w:type="dxa" w:w="2592"/>
            <w:vAlign w:val="center"/>
            <w:shd w:fill="FFFFFF"/>
            <w:tcMar>
              <w:top w:w="65" w:type="dxa"/>
              <w:bottom w:w="65" w:type="dxa"/>
              <w:left w:w="95" w:type="dxa"/>
              <w:right w:w="95" w:type="dxa"/>
            </w:tcMar>
          </w:tcPr>
          <w:p>
            <w:pPr>
              <w:spacing w:after="0" w:before="0" w:line="245" w:lineRule="auto"/>
            </w:pPr>
            <w:r>
              <w:rPr>
                <w:b w:val="0"/>
                <w:color w:val="18394D"/>
                <w:sz w:val="18"/>
              </w:rPr>
              <w:t>0.25%</w:t>
            </w:r>
          </w:p>
        </w:tc>
        <w:tc>
          <w:tcPr>
            <w:tcW w:type="dxa" w:w="1872"/>
            <w:vAlign w:val="center"/>
            <w:shd w:fill="FFFFFF"/>
            <w:tcMar>
              <w:top w:w="65" w:type="dxa"/>
              <w:bottom w:w="65" w:type="dxa"/>
              <w:left w:w="95" w:type="dxa"/>
              <w:right w:w="95" w:type="dxa"/>
            </w:tcMar>
          </w:tcPr>
          <w:p>
            <w:pPr>
              <w:spacing w:after="0" w:before="0" w:line="245" w:lineRule="auto"/>
            </w:pPr>
            <w:r>
              <w:rPr>
                <w:b w:val="0"/>
                <w:color w:val="18394D"/>
                <w:sz w:val="18"/>
              </w:rPr>
              <w:t>₹20</w:t>
            </w:r>
          </w:p>
        </w:tc>
        <w:tc>
          <w:tcPr>
            <w:tcW w:type="dxa" w:w="1872"/>
            <w:vAlign w:val="center"/>
            <w:shd w:fill="FFFFFF"/>
            <w:tcMar>
              <w:top w:w="65" w:type="dxa"/>
              <w:bottom w:w="65" w:type="dxa"/>
              <w:left w:w="95" w:type="dxa"/>
              <w:right w:w="95" w:type="dxa"/>
            </w:tcMar>
          </w:tcPr>
          <w:p>
            <w:pPr>
              <w:spacing w:after="0" w:before="0" w:line="245" w:lineRule="auto"/>
            </w:pPr>
            <w:r>
              <w:rPr>
                <w:b w:val="0"/>
                <w:color w:val="18394D"/>
                <w:sz w:val="18"/>
              </w:rPr>
              <w:t>₹0.05</w:t>
            </w:r>
          </w:p>
        </w:tc>
      </w:tr>
      <w:tr>
        <w:trPr>
          <w:cantSplit/>
        </w:trPr>
        <w:tc>
          <w:tcPr>
            <w:tcW w:type="dxa" w:w="3312"/>
            <w:vAlign w:val="center"/>
            <w:shd w:fill="F0F5F6"/>
            <w:tcMar>
              <w:top w:w="65" w:type="dxa"/>
              <w:bottom w:w="65" w:type="dxa"/>
              <w:left w:w="95" w:type="dxa"/>
              <w:right w:w="95" w:type="dxa"/>
            </w:tcMar>
          </w:tcPr>
          <w:p>
            <w:pPr>
              <w:spacing w:after="0" w:before="0" w:line="245" w:lineRule="auto"/>
            </w:pPr>
            <w:r>
              <w:rPr>
                <w:b w:val="0"/>
                <w:color w:val="18394D"/>
                <w:sz w:val="18"/>
              </w:rPr>
              <w:t>Conservative</w:t>
            </w:r>
          </w:p>
        </w:tc>
        <w:tc>
          <w:tcPr>
            <w:tcW w:type="dxa" w:w="2592"/>
            <w:vAlign w:val="center"/>
            <w:shd w:fill="F0F5F6"/>
            <w:tcMar>
              <w:top w:w="65" w:type="dxa"/>
              <w:bottom w:w="65" w:type="dxa"/>
              <w:left w:w="95" w:type="dxa"/>
              <w:right w:w="95" w:type="dxa"/>
            </w:tcMar>
          </w:tcPr>
          <w:p>
            <w:pPr>
              <w:spacing w:after="0" w:before="0" w:line="245" w:lineRule="auto"/>
            </w:pPr>
            <w:r>
              <w:rPr>
                <w:b w:val="0"/>
                <w:color w:val="18394D"/>
                <w:sz w:val="18"/>
              </w:rPr>
              <w:t>0.50%</w:t>
            </w:r>
          </w:p>
        </w:tc>
        <w:tc>
          <w:tcPr>
            <w:tcW w:type="dxa" w:w="1872"/>
            <w:vAlign w:val="center"/>
            <w:shd w:fill="F0F5F6"/>
            <w:tcMar>
              <w:top w:w="65" w:type="dxa"/>
              <w:bottom w:w="65" w:type="dxa"/>
              <w:left w:w="95" w:type="dxa"/>
              <w:right w:w="95" w:type="dxa"/>
            </w:tcMar>
          </w:tcPr>
          <w:p>
            <w:pPr>
              <w:spacing w:after="0" w:before="0" w:line="245" w:lineRule="auto"/>
            </w:pPr>
            <w:r>
              <w:rPr>
                <w:b w:val="0"/>
                <w:color w:val="18394D"/>
                <w:sz w:val="18"/>
              </w:rPr>
              <w:t>₹20</w:t>
            </w:r>
          </w:p>
        </w:tc>
        <w:tc>
          <w:tcPr>
            <w:tcW w:type="dxa" w:w="1872"/>
            <w:vAlign w:val="center"/>
            <w:shd w:fill="F0F5F6"/>
            <w:tcMar>
              <w:top w:w="65" w:type="dxa"/>
              <w:bottom w:w="65" w:type="dxa"/>
              <w:left w:w="95" w:type="dxa"/>
              <w:right w:w="95" w:type="dxa"/>
            </w:tcMar>
          </w:tcPr>
          <w:p>
            <w:pPr>
              <w:spacing w:after="0" w:before="0" w:line="245" w:lineRule="auto"/>
            </w:pPr>
            <w:r>
              <w:rPr>
                <w:b w:val="0"/>
                <w:color w:val="18394D"/>
                <w:sz w:val="18"/>
              </w:rPr>
              <w:t>₹0.10</w:t>
            </w:r>
          </w:p>
        </w:tc>
      </w:tr>
      <w:tr>
        <w:trPr>
          <w:cantSplit/>
        </w:trPr>
        <w:tc>
          <w:tcPr>
            <w:tcW w:type="dxa" w:w="3312"/>
            <w:vAlign w:val="center"/>
            <w:shd w:fill="FFFFFF"/>
            <w:tcMar>
              <w:top w:w="65" w:type="dxa"/>
              <w:bottom w:w="65" w:type="dxa"/>
              <w:left w:w="95" w:type="dxa"/>
              <w:right w:w="95" w:type="dxa"/>
            </w:tcMar>
          </w:tcPr>
          <w:p>
            <w:pPr>
              <w:spacing w:after="0" w:before="0" w:line="245" w:lineRule="auto"/>
            </w:pPr>
            <w:r>
              <w:rPr>
                <w:b w:val="0"/>
                <w:color w:val="18394D"/>
                <w:sz w:val="18"/>
              </w:rPr>
              <w:t>Adverse execution</w:t>
            </w:r>
          </w:p>
        </w:tc>
        <w:tc>
          <w:tcPr>
            <w:tcW w:type="dxa" w:w="2592"/>
            <w:vAlign w:val="center"/>
            <w:shd w:fill="FFFFFF"/>
            <w:tcMar>
              <w:top w:w="65" w:type="dxa"/>
              <w:bottom w:w="65" w:type="dxa"/>
              <w:left w:w="95" w:type="dxa"/>
              <w:right w:w="95" w:type="dxa"/>
            </w:tcMar>
          </w:tcPr>
          <w:p>
            <w:pPr>
              <w:spacing w:after="0" w:before="0" w:line="245" w:lineRule="auto"/>
            </w:pPr>
            <w:r>
              <w:rPr>
                <w:b w:val="0"/>
                <w:color w:val="18394D"/>
                <w:sz w:val="18"/>
              </w:rPr>
              <w:t>0.50%</w:t>
            </w:r>
          </w:p>
        </w:tc>
        <w:tc>
          <w:tcPr>
            <w:tcW w:type="dxa" w:w="1872"/>
            <w:vAlign w:val="center"/>
            <w:shd w:fill="FFFFFF"/>
            <w:tcMar>
              <w:top w:w="65" w:type="dxa"/>
              <w:bottom w:w="65" w:type="dxa"/>
              <w:left w:w="95" w:type="dxa"/>
              <w:right w:w="95" w:type="dxa"/>
            </w:tcMar>
          </w:tcPr>
          <w:p>
            <w:pPr>
              <w:spacing w:after="0" w:before="0" w:line="245" w:lineRule="auto"/>
            </w:pPr>
            <w:r>
              <w:rPr>
                <w:b w:val="0"/>
                <w:color w:val="18394D"/>
                <w:sz w:val="18"/>
              </w:rPr>
              <w:t>₹40</w:t>
            </w:r>
          </w:p>
        </w:tc>
        <w:tc>
          <w:tcPr>
            <w:tcW w:type="dxa" w:w="1872"/>
            <w:vAlign w:val="center"/>
            <w:shd w:fill="FFFFFF"/>
            <w:tcMar>
              <w:top w:w="65" w:type="dxa"/>
              <w:bottom w:w="65" w:type="dxa"/>
              <w:left w:w="95" w:type="dxa"/>
              <w:right w:w="95" w:type="dxa"/>
            </w:tcMar>
          </w:tcPr>
          <w:p>
            <w:pPr>
              <w:spacing w:after="0" w:before="0" w:line="245" w:lineRule="auto"/>
            </w:pPr>
            <w:r>
              <w:rPr>
                <w:b w:val="0"/>
                <w:color w:val="18394D"/>
                <w:sz w:val="18"/>
              </w:rPr>
              <w:t>₹0.20</w:t>
            </w:r>
          </w:p>
        </w:tc>
      </w:tr>
    </w:tbl>
    <w:p>
      <w:pPr>
        <w:spacing w:after="0"/>
      </w:pPr>
    </w:p>
    <w:p>
      <w:r>
        <w:rPr>
          <w:b w:val="0"/>
          <w:sz w:val="19"/>
        </w:rPr>
        <w:t xml:space="preserve">Hypothesis: these fixed charges are cost/slippage estimates, not authenticated broker fees. Recorded prices already contain whatever execution occurred; incremental slippage is an adverse sensitivity, not a rewritten historical fill. Zero cost is a diagnostic upper bound on these incremental charges. </w:t>
      </w:r>
      <w:hyperlink r:id="rId36">
        <w:r>
          <w:rPr>
            <w:color w:val="107F7B"/>
          </w:rPr>
          <w:t>[S19]</w:t>
        </w:r>
      </w:hyperlink>
      <w:r>
        <w:rPr>
          <w:b w:val="0"/>
          <w:sz w:val="19"/>
        </w:rPr>
      </w:r>
    </w:p>
    <w:p>
      <w:bookmarkStart w:id="21" w:name="concentration"/>
      <w:pPr>
        <w:pStyle w:val="Heading2"/>
        <w:pageBreakBefore/>
      </w:pPr>
      <w:r>
        <w:t>7.1  Concentration, residual dependence and sampled risk</w:t>
      </w:r>
      <w:bookmarkEnd w:id="21"/>
    </w:p>
    <w:p>
      <w:bookmarkStart w:id="22" w:name="figure_09"/>
      <w:pPr>
        <w:keepNext/>
        <w:spacing w:after="60"/>
      </w:pPr>
      <w:r>
        <w:drawing>
          <wp:inline xmlns:a="http://schemas.openxmlformats.org/drawingml/2006/main" xmlns:pic="http://schemas.openxmlformats.org/drawingml/2006/picture">
            <wp:extent cx="6080760" cy="2649474"/>
            <wp:docPr id="9" name="Picture 9"/>
            <wp:cNvGraphicFramePr>
              <a:graphicFrameLocks noChangeAspect="1"/>
            </wp:cNvGraphicFramePr>
            <a:graphic>
              <a:graphicData uri="http://schemas.openxmlformats.org/drawingml/2006/picture">
                <pic:pic>
                  <pic:nvPicPr>
                    <pic:cNvPr id="0" name="Figure_09.png"/>
                    <pic:cNvPicPr/>
                  </pic:nvPicPr>
                  <pic:blipFill>
                    <a:blip r:embed="rId37"/>
                    <a:stretch>
                      <a:fillRect/>
                    </a:stretch>
                  </pic:blipFill>
                  <pic:spPr>
                    <a:xfrm>
                      <a:off x="0" y="0"/>
                      <a:ext cx="6080760" cy="2649474"/>
                    </a:xfrm>
                    <a:prstGeom prst="rect"/>
                  </pic:spPr>
                </pic:pic>
              </a:graphicData>
            </a:graphic>
          </wp:inline>
        </w:drawing>
      </w:r>
      <w:bookmarkEnd w:id="22"/>
    </w:p>
    <w:p>
      <w:pPr>
        <w:pStyle w:val="Caption"/>
        <w:keepNext/>
      </w:pPr>
      <w:r>
        <w:rPr>
          <w:b/>
        </w:rPr>
        <w:t>Figure 9. Conservative net is highly sensitive to winning cycles</w:t>
      </w:r>
    </w:p>
    <w:p>
      <w:pPr>
        <w:pStyle w:val="Sourcenote"/>
        <w:keepNext w:val="0"/>
      </w:pPr>
      <w:r>
        <w:rPr>
          <w:b w:val="0"/>
        </w:rPr>
        <w:t xml:space="preserve">Source: </w:t>
      </w:r>
      <w:hyperlink r:id="rId19">
        <w:r>
          <w:rPr>
            <w:color w:val="107F7B"/>
          </w:rPr>
          <w:t>[S01]</w:t>
        </w:r>
      </w:hyperlink>
      <w:r>
        <w:rPr>
          <w:b w:val="0"/>
        </w:rPr>
        <w:t xml:space="preserve">, </w:t>
      </w:r>
      <w:hyperlink r:id="rId20">
        <w:r>
          <w:rPr>
            <w:color w:val="107F7B"/>
          </w:rPr>
          <w:t>[S15]</w:t>
        </w:r>
      </w:hyperlink>
      <w:r>
        <w:rPr>
          <w:b w:val="0"/>
        </w:rPr>
        <w:t>. Largest winner: NIFTY 29 Sep; no received expiry-day fills and substantial unrealized quoted gain. This is a sensitivity check, not a rule-selection exercise.</w:t>
      </w:r>
    </w:p>
    <w:p>
      <w:r>
        <w:rPr>
          <w:b w:val="0"/>
        </w:rPr>
        <w:t xml:space="preserve">The largest winner is NIFTY 29 September. Its realized P&amp;L is −₹52,161.17 and its quoted unrealized gain is ₹540,801.92; the received log has no expiry-day fills. Conservative net for that cycle is ₹473,625.07. This is a residual mark, not verified expiry execution profit. </w:t>
      </w:r>
      <w:hyperlink r:id="rId19">
        <w:r>
          <w:rPr>
            <w:color w:val="107F7B"/>
          </w:rPr>
          <w:t>[S01]</w:t>
        </w:r>
      </w:hyperlink>
      <w:r>
        <w:rPr>
          <w:b w:val="0"/>
        </w:rPr>
        <w:t xml:space="preserve"> </w:t>
      </w:r>
      <w:hyperlink r:id="rId13">
        <w:r>
          <w:rPr>
            <w:color w:val="107F7B"/>
          </w:rPr>
          <w:t>[S14]</w:t>
        </w:r>
      </w:hyperlink>
      <w:r>
        <w:rPr>
          <w:b w:val="0"/>
        </w:rPr>
      </w:r>
    </w:p>
    <w:tbl>
      <w:tblPr>
        <w:tblW w:type="auto" w:w="0"/>
        <w:jc w:val="center"/>
        <w:tblLayout w:type="fixed"/>
        <w:tblLook w:firstColumn="1" w:firstRow="1" w:lastColumn="0" w:lastRow="0" w:noHBand="0" w:noVBand="1" w:val="04A0"/>
      </w:tblPr>
      <w:tblGrid>
        <w:gridCol w:w="5184"/>
        <w:gridCol w:w="4464"/>
      </w:tblGrid>
      <w:tr>
        <w:trPr>
          <w:cantSplit/>
          <w:tblHeader/>
        </w:trPr>
        <w:tc>
          <w:tcPr>
            <w:tcW w:type="dxa" w:w="5184"/>
            <w:vAlign w:val="center"/>
            <w:shd w:fill="18394D"/>
            <w:tcMar>
              <w:top w:w="65" w:type="dxa"/>
              <w:bottom w:w="65" w:type="dxa"/>
              <w:left w:w="95" w:type="dxa"/>
              <w:right w:w="95" w:type="dxa"/>
            </w:tcMar>
          </w:tcPr>
          <w:p>
            <w:pPr>
              <w:spacing w:after="0" w:before="0" w:line="245" w:lineRule="auto"/>
            </w:pPr>
            <w:r>
              <w:rPr>
                <w:b/>
                <w:color w:val="FFFFFF"/>
                <w:sz w:val="18"/>
              </w:rPr>
              <w:t>Primary 32 conservative robustness measure</w:t>
            </w:r>
          </w:p>
        </w:tc>
        <w:tc>
          <w:tcPr>
            <w:tcW w:type="dxa" w:w="4464"/>
            <w:vAlign w:val="center"/>
            <w:shd w:fill="18394D"/>
            <w:tcMar>
              <w:top w:w="65" w:type="dxa"/>
              <w:bottom w:w="65" w:type="dxa"/>
              <w:left w:w="95" w:type="dxa"/>
              <w:right w:w="95" w:type="dxa"/>
            </w:tcMar>
          </w:tcPr>
          <w:p>
            <w:pPr>
              <w:spacing w:after="0" w:before="0" w:line="245" w:lineRule="auto"/>
            </w:pPr>
            <w:r>
              <w:rPr>
                <w:b/>
                <w:color w:val="FFFFFF"/>
                <w:sz w:val="18"/>
              </w:rPr>
              <w:t>Result</w:t>
            </w:r>
          </w:p>
        </w:tc>
      </w:tr>
      <w:tr>
        <w:trPr>
          <w:cantSplit/>
        </w:trPr>
        <w:tc>
          <w:tcPr>
            <w:tcW w:type="dxa" w:w="5184"/>
            <w:vAlign w:val="center"/>
            <w:shd w:fill="F0F5F6"/>
            <w:tcMar>
              <w:top w:w="65" w:type="dxa"/>
              <w:bottom w:w="65" w:type="dxa"/>
              <w:left w:w="95" w:type="dxa"/>
              <w:right w:w="95" w:type="dxa"/>
            </w:tcMar>
          </w:tcPr>
          <w:p>
            <w:pPr>
              <w:spacing w:after="0" w:before="0" w:line="245" w:lineRule="auto"/>
            </w:pPr>
            <w:r>
              <w:rPr>
                <w:b w:val="0"/>
                <w:color w:val="18394D"/>
                <w:sz w:val="18"/>
              </w:rPr>
              <w:t>Net without largest winner</w:t>
            </w:r>
          </w:p>
        </w:tc>
        <w:tc>
          <w:tcPr>
            <w:tcW w:type="dxa" w:w="4464"/>
            <w:vAlign w:val="center"/>
            <w:shd w:fill="F0F5F6"/>
            <w:tcMar>
              <w:top w:w="65" w:type="dxa"/>
              <w:bottom w:w="65" w:type="dxa"/>
              <w:left w:w="95" w:type="dxa"/>
              <w:right w:w="95" w:type="dxa"/>
            </w:tcMar>
          </w:tcPr>
          <w:p>
            <w:pPr>
              <w:spacing w:after="0" w:before="0" w:line="245" w:lineRule="auto"/>
            </w:pPr>
            <w:r>
              <w:rPr>
                <w:b w:val="0"/>
                <w:color w:val="18394D"/>
                <w:sz w:val="18"/>
              </w:rPr>
              <w:t>₹1,721.58</w:t>
            </w:r>
          </w:p>
        </w:tc>
      </w:tr>
      <w:tr>
        <w:trPr>
          <w:cantSplit/>
        </w:trPr>
        <w:tc>
          <w:tcPr>
            <w:tcW w:type="dxa" w:w="5184"/>
            <w:vAlign w:val="center"/>
            <w:shd w:fill="FFFFFF"/>
            <w:tcMar>
              <w:top w:w="65" w:type="dxa"/>
              <w:bottom w:w="65" w:type="dxa"/>
              <w:left w:w="95" w:type="dxa"/>
              <w:right w:w="95" w:type="dxa"/>
            </w:tcMar>
          </w:tcPr>
          <w:p>
            <w:pPr>
              <w:spacing w:after="0" w:before="0" w:line="245" w:lineRule="auto"/>
            </w:pPr>
            <w:r>
              <w:rPr>
                <w:b w:val="0"/>
                <w:color w:val="18394D"/>
                <w:sz w:val="18"/>
              </w:rPr>
              <w:t>Net without two largest winners</w:t>
            </w:r>
          </w:p>
        </w:tc>
        <w:tc>
          <w:tcPr>
            <w:tcW w:type="dxa" w:w="4464"/>
            <w:vAlign w:val="center"/>
            <w:shd w:fill="FFFFFF"/>
            <w:tcMar>
              <w:top w:w="65" w:type="dxa"/>
              <w:bottom w:w="65" w:type="dxa"/>
              <w:left w:w="95" w:type="dxa"/>
              <w:right w:w="95" w:type="dxa"/>
            </w:tcMar>
          </w:tcPr>
          <w:p>
            <w:pPr>
              <w:spacing w:after="0" w:before="0" w:line="245" w:lineRule="auto"/>
            </w:pPr>
            <w:r>
              <w:rPr>
                <w:b w:val="0"/>
                <w:color w:val="18394D"/>
                <w:sz w:val="18"/>
              </w:rPr>
              <w:t>−₹423,305.62</w:t>
            </w:r>
          </w:p>
        </w:tc>
      </w:tr>
      <w:tr>
        <w:trPr>
          <w:cantSplit/>
        </w:trPr>
        <w:tc>
          <w:tcPr>
            <w:tcW w:type="dxa" w:w="5184"/>
            <w:vAlign w:val="center"/>
            <w:shd w:fill="F0F5F6"/>
            <w:tcMar>
              <w:top w:w="65" w:type="dxa"/>
              <w:bottom w:w="65" w:type="dxa"/>
              <w:left w:w="95" w:type="dxa"/>
              <w:right w:w="95" w:type="dxa"/>
            </w:tcMar>
          </w:tcPr>
          <w:p>
            <w:pPr>
              <w:spacing w:after="0" w:before="0" w:line="245" w:lineRule="auto"/>
            </w:pPr>
            <w:r>
              <w:rPr>
                <w:b w:val="0"/>
                <w:color w:val="18394D"/>
                <w:sz w:val="18"/>
              </w:rPr>
              <w:t>Mean-cycle 95% bootstrap interval</w:t>
            </w:r>
          </w:p>
        </w:tc>
        <w:tc>
          <w:tcPr>
            <w:tcW w:type="dxa" w:w="4464"/>
            <w:vAlign w:val="center"/>
            <w:shd w:fill="F0F5F6"/>
            <w:tcMar>
              <w:top w:w="65" w:type="dxa"/>
              <w:bottom w:w="65" w:type="dxa"/>
              <w:left w:w="95" w:type="dxa"/>
              <w:right w:w="95" w:type="dxa"/>
            </w:tcMar>
          </w:tcPr>
          <w:p>
            <w:pPr>
              <w:spacing w:after="0" w:before="0" w:line="245" w:lineRule="auto"/>
            </w:pPr>
            <w:r>
              <w:rPr>
                <w:b w:val="0"/>
                <w:color w:val="18394D"/>
                <w:sz w:val="18"/>
              </w:rPr>
              <w:t>−₹55,260.39 to ₹87,259.06</w:t>
            </w:r>
          </w:p>
        </w:tc>
      </w:tr>
      <w:tr>
        <w:trPr>
          <w:cantSplit/>
        </w:trPr>
        <w:tc>
          <w:tcPr>
            <w:tcW w:type="dxa" w:w="5184"/>
            <w:vAlign w:val="center"/>
            <w:shd w:fill="FFFFFF"/>
            <w:tcMar>
              <w:top w:w="65" w:type="dxa"/>
              <w:bottom w:w="65" w:type="dxa"/>
              <w:left w:w="95" w:type="dxa"/>
              <w:right w:w="95" w:type="dxa"/>
            </w:tcMar>
          </w:tcPr>
          <w:p>
            <w:pPr>
              <w:spacing w:after="0" w:before="0" w:line="245" w:lineRule="auto"/>
            </w:pPr>
            <w:r>
              <w:rPr>
                <w:b w:val="0"/>
                <w:color w:val="18394D"/>
                <w:sz w:val="18"/>
              </w:rPr>
              <w:t>Largest sampled intracycle drawdown</w:t>
            </w:r>
          </w:p>
        </w:tc>
        <w:tc>
          <w:tcPr>
            <w:tcW w:type="dxa" w:w="4464"/>
            <w:vAlign w:val="center"/>
            <w:shd w:fill="FFFFFF"/>
            <w:tcMar>
              <w:top w:w="65" w:type="dxa"/>
              <w:bottom w:w="65" w:type="dxa"/>
              <w:left w:w="95" w:type="dxa"/>
              <w:right w:w="95" w:type="dxa"/>
            </w:tcMar>
          </w:tcPr>
          <w:p>
            <w:pPr>
              <w:spacing w:after="0" w:before="0" w:line="245" w:lineRule="auto"/>
            </w:pPr>
            <w:r>
              <w:rPr>
                <w:b w:val="0"/>
                <w:color w:val="18394D"/>
                <w:sz w:val="18"/>
              </w:rPr>
              <w:t>₹417,144.82</w:t>
            </w:r>
          </w:p>
        </w:tc>
      </w:tr>
    </w:tbl>
    <w:p>
      <w:pPr>
        <w:spacing w:after="0"/>
      </w:pPr>
    </w:p>
    <w:p>
      <w:r>
        <w:rPr>
          <w:b w:val="0"/>
        </w:rPr>
        <w:t xml:space="preserve">Single-cycle removal leaves positive totals, but the weakest is nearly zero. The top two wins account for 28.5% of gross winning P&amp;L and more than erase aggregate net when removed. The 22 initialized books ending flat have −₹6.73 lakh conservative net; that subset is selected and cannot serve as an unbiased complete-strategy rejection. </w:t>
      </w:r>
      <w:hyperlink r:id="rId20">
        <w:r>
          <w:rPr>
            <w:color w:val="107F7B"/>
          </w:rPr>
          <w:t>[S15]</w:t>
        </w:r>
      </w:hyperlink>
      <w:r>
        <w:rPr>
          <w:b w:val="0"/>
        </w:rPr>
      </w:r>
    </w:p>
    <w:p>
      <w:r>
        <w:rPr>
          <w:b w:val="0"/>
          <w:sz w:val="19"/>
        </w:rPr>
        <w:t xml:space="preserve">Risk is sampled from available minute marks, not continuous tick NAV. There is no verified account-capital denominator, reliable ruin probability or calibrated extreme-tail quantile. Thirty-two already-inspected cycles, including related calendar exposures, do not establish a precise future mean return. </w:t>
      </w:r>
      <w:hyperlink r:id="rId19">
        <w:r>
          <w:rPr>
            <w:color w:val="107F7B"/>
          </w:rPr>
          <w:t>[S01]</w:t>
        </w:r>
      </w:hyperlink>
      <w:r>
        <w:rPr>
          <w:b w:val="0"/>
          <w:sz w:val="19"/>
        </w:rPr>
        <w:t xml:space="preserve"> </w:t>
      </w:r>
      <w:hyperlink r:id="rId20">
        <w:r>
          <w:rPr>
            <w:color w:val="107F7B"/>
          </w:rPr>
          <w:t>[S15]</w:t>
        </w:r>
      </w:hyperlink>
      <w:r>
        <w:rPr>
          <w:b w:val="0"/>
          <w:sz w:val="19"/>
        </w:rPr>
      </w:r>
    </w:p>
    <w:p>
      <w:bookmarkStart w:id="23" w:name="roles"/>
      <w:pPr>
        <w:pStyle w:val="Heading2"/>
        <w:pageBreakBefore/>
      </w:pPr>
      <w:r>
        <w:t>7.2  Roles, protective wings and overnight carry</w:t>
      </w:r>
      <w:bookmarkEnd w:id="23"/>
    </w:p>
    <w:p>
      <w:bookmarkStart w:id="24" w:name="figure_10"/>
      <w:pPr>
        <w:keepNext/>
        <w:spacing w:after="60"/>
      </w:pPr>
      <w:r>
        <w:drawing>
          <wp:inline xmlns:a="http://schemas.openxmlformats.org/drawingml/2006/main" xmlns:pic="http://schemas.openxmlformats.org/drawingml/2006/picture">
            <wp:extent cx="6080760" cy="2779776"/>
            <wp:docPr id="10" name="Picture 10"/>
            <wp:cNvGraphicFramePr>
              <a:graphicFrameLocks noChangeAspect="1"/>
            </wp:cNvGraphicFramePr>
            <a:graphic>
              <a:graphicData uri="http://schemas.openxmlformats.org/drawingml/2006/picture">
                <pic:pic>
                  <pic:nvPicPr>
                    <pic:cNvPr id="0" name="Figure_10.png"/>
                    <pic:cNvPicPr/>
                  </pic:nvPicPr>
                  <pic:blipFill>
                    <a:blip r:embed="rId38"/>
                    <a:stretch>
                      <a:fillRect/>
                    </a:stretch>
                  </pic:blipFill>
                  <pic:spPr>
                    <a:xfrm>
                      <a:off x="0" y="0"/>
                      <a:ext cx="6080760" cy="2779776"/>
                    </a:xfrm>
                    <a:prstGeom prst="rect"/>
                  </pic:spPr>
                </pic:pic>
              </a:graphicData>
            </a:graphic>
          </wp:inline>
        </w:drawing>
      </w:r>
      <w:bookmarkEnd w:id="24"/>
    </w:p>
    <w:p>
      <w:pPr>
        <w:pStyle w:val="Caption"/>
        <w:keepNext/>
      </w:pPr>
      <w:r>
        <w:rPr>
          <w:b/>
        </w:rPr>
        <w:t>Figure 10. Gross role contributions: gains and protection costs</w:t>
      </w:r>
    </w:p>
    <w:p>
      <w:pPr>
        <w:pStyle w:val="Sourcenote"/>
        <w:keepNext w:val="0"/>
      </w:pPr>
      <w:r>
        <w:rPr>
          <w:b w:val="0"/>
        </w:rPr>
        <w:t xml:space="preserve">Source: </w:t>
      </w:r>
      <w:hyperlink r:id="rId13">
        <w:r>
          <w:rPr>
            <w:color w:val="107F7B"/>
          </w:rPr>
          <w:t>[S14]</w:t>
        </w:r>
      </w:hyperlink>
      <w:r>
        <w:rPr>
          <w:b w:val="0"/>
        </w:rPr>
        <w:t>. 32 initialized cycles; pooled role cash plus residual marks, not original allocation P&amp;L. Four roles sum to 18.94 lakh gross; strategy costs are deducted separately once.</w:t>
      </w:r>
    </w:p>
    <w:p>
      <w:r>
        <w:rPr>
          <w:b w:val="0"/>
        </w:rPr>
        <w:t xml:space="preserve">Observed pooled gross role P&amp;L is approximately +₹36.19 lakh short CE,−₹8.87 lakh short PE,−₹4.85 lakh long CE and −₹3.51 lakh long PE. Repurchases, wing purchases/sales and residual liabilities are included; collected premium is not automatically profit. Transaction costs affect net results separately. </w:t>
      </w:r>
      <w:hyperlink r:id="rId13">
        <w:r>
          <w:rPr>
            <w:color w:val="107F7B"/>
          </w:rPr>
          <w:t>[S14]</w:t>
        </w:r>
      </w:hyperlink>
      <w:r>
        <w:rPr>
          <w:b w:val="0"/>
        </w:rPr>
      </w:r>
    </w:p>
    <w:tbl>
      <w:tblPr>
        <w:tblW w:type="auto" w:w="0"/>
        <w:jc w:val="center"/>
        <w:tblLayout w:type="fixed"/>
        <w:tblLook w:firstColumn="1" w:firstRow="1" w:lastColumn="0" w:lastRow="0" w:noHBand="0" w:noVBand="1" w:val="04A0"/>
      </w:tblPr>
      <w:tblGrid>
        <w:gridCol w:w="4032"/>
        <w:gridCol w:w="2808"/>
        <w:gridCol w:w="2808"/>
      </w:tblGrid>
      <w:tr>
        <w:trPr>
          <w:cantSplit/>
          <w:tblHeader/>
        </w:trPr>
        <w:tc>
          <w:tcPr>
            <w:tcW w:type="dxa" w:w="4032"/>
            <w:vAlign w:val="center"/>
            <w:shd w:fill="18394D"/>
            <w:tcMar>
              <w:top w:w="65" w:type="dxa"/>
              <w:bottom w:w="65" w:type="dxa"/>
              <w:left w:w="95" w:type="dxa"/>
              <w:right w:w="95" w:type="dxa"/>
            </w:tcMar>
          </w:tcPr>
          <w:p>
            <w:pPr>
              <w:spacing w:after="0" w:before="0" w:line="245" w:lineRule="auto"/>
            </w:pPr>
            <w:r>
              <w:rPr>
                <w:b/>
                <w:color w:val="FFFFFF"/>
                <w:sz w:val="18"/>
              </w:rPr>
              <w:t>Phase | primary 32</w:t>
            </w:r>
          </w:p>
        </w:tc>
        <w:tc>
          <w:tcPr>
            <w:tcW w:type="dxa" w:w="2808"/>
            <w:vAlign w:val="center"/>
            <w:shd w:fill="18394D"/>
            <w:tcMar>
              <w:top w:w="65" w:type="dxa"/>
              <w:bottom w:w="65" w:type="dxa"/>
              <w:left w:w="95" w:type="dxa"/>
              <w:right w:w="95" w:type="dxa"/>
            </w:tcMar>
          </w:tcPr>
          <w:p>
            <w:pPr>
              <w:spacing w:after="0" w:before="0" w:line="245" w:lineRule="auto"/>
            </w:pPr>
            <w:r>
              <w:rPr>
                <w:b/>
                <w:color w:val="FFFFFF"/>
                <w:sz w:val="18"/>
              </w:rPr>
              <w:t>Gross quoted P&amp;L</w:t>
            </w:r>
          </w:p>
        </w:tc>
        <w:tc>
          <w:tcPr>
            <w:tcW w:type="dxa" w:w="2808"/>
            <w:vAlign w:val="center"/>
            <w:shd w:fill="18394D"/>
            <w:tcMar>
              <w:top w:w="65" w:type="dxa"/>
              <w:bottom w:w="65" w:type="dxa"/>
              <w:left w:w="95" w:type="dxa"/>
              <w:right w:w="95" w:type="dxa"/>
            </w:tcMar>
          </w:tcPr>
          <w:p>
            <w:pPr>
              <w:spacing w:after="0" w:before="0" w:line="245" w:lineRule="auto"/>
            </w:pPr>
            <w:r>
              <w:rPr>
                <w:b/>
                <w:color w:val="FFFFFF"/>
                <w:sz w:val="18"/>
              </w:rPr>
              <w:t>Conservative net</w:t>
            </w:r>
          </w:p>
        </w:tc>
      </w:tr>
      <w:tr>
        <w:trPr>
          <w:cantSplit/>
        </w:trPr>
        <w:tc>
          <w:tcPr>
            <w:tcW w:type="dxa" w:w="4032"/>
            <w:vAlign w:val="center"/>
            <w:shd w:fill="F0F5F6"/>
            <w:tcMar>
              <w:top w:w="65" w:type="dxa"/>
              <w:bottom w:w="65" w:type="dxa"/>
              <w:left w:w="95" w:type="dxa"/>
              <w:right w:w="95" w:type="dxa"/>
            </w:tcMar>
          </w:tcPr>
          <w:p>
            <w:pPr>
              <w:spacing w:after="0" w:before="0" w:line="245" w:lineRule="auto"/>
            </w:pPr>
            <w:r>
              <w:rPr>
                <w:b w:val="0"/>
                <w:color w:val="18394D"/>
                <w:sz w:val="18"/>
              </w:rPr>
              <w:t>Pre-expiry</w:t>
            </w:r>
          </w:p>
        </w:tc>
        <w:tc>
          <w:tcPr>
            <w:tcW w:type="dxa" w:w="2808"/>
            <w:vAlign w:val="center"/>
            <w:shd w:fill="F0F5F6"/>
            <w:tcMar>
              <w:top w:w="65" w:type="dxa"/>
              <w:bottom w:w="65" w:type="dxa"/>
              <w:left w:w="95" w:type="dxa"/>
              <w:right w:w="95" w:type="dxa"/>
            </w:tcMar>
          </w:tcPr>
          <w:p>
            <w:pPr>
              <w:spacing w:after="0" w:before="0" w:line="245" w:lineRule="auto"/>
            </w:pPr>
            <w:r>
              <w:rPr>
                <w:b w:val="0"/>
                <w:color w:val="18394D"/>
                <w:sz w:val="18"/>
              </w:rPr>
              <w:t>₹9.76 lakh</w:t>
            </w:r>
          </w:p>
        </w:tc>
        <w:tc>
          <w:tcPr>
            <w:tcW w:type="dxa" w:w="2808"/>
            <w:vAlign w:val="center"/>
            <w:shd w:fill="F0F5F6"/>
            <w:tcMar>
              <w:top w:w="65" w:type="dxa"/>
              <w:bottom w:w="65" w:type="dxa"/>
              <w:left w:w="95" w:type="dxa"/>
              <w:right w:w="95" w:type="dxa"/>
            </w:tcMar>
          </w:tcPr>
          <w:p>
            <w:pPr>
              <w:spacing w:after="0" w:before="0" w:line="245" w:lineRule="auto"/>
            </w:pPr>
            <w:r>
              <w:rPr>
                <w:b w:val="0"/>
                <w:color w:val="18394D"/>
                <w:sz w:val="18"/>
              </w:rPr>
              <w:t>₹5.40 lakh</w:t>
            </w:r>
          </w:p>
        </w:tc>
      </w:tr>
      <w:tr>
        <w:trPr>
          <w:cantSplit/>
        </w:trPr>
        <w:tc>
          <w:tcPr>
            <w:tcW w:type="dxa" w:w="4032"/>
            <w:vAlign w:val="center"/>
            <w:shd w:fill="FFFFFF"/>
            <w:tcMar>
              <w:top w:w="65" w:type="dxa"/>
              <w:bottom w:w="65" w:type="dxa"/>
              <w:left w:w="95" w:type="dxa"/>
              <w:right w:w="95" w:type="dxa"/>
            </w:tcMar>
          </w:tcPr>
          <w:p>
            <w:pPr>
              <w:spacing w:after="0" w:before="0" w:line="245" w:lineRule="auto"/>
            </w:pPr>
            <w:r>
              <w:rPr>
                <w:b w:val="0"/>
                <w:color w:val="18394D"/>
                <w:sz w:val="18"/>
              </w:rPr>
              <w:t>Overnight close→open</w:t>
            </w:r>
          </w:p>
        </w:tc>
        <w:tc>
          <w:tcPr>
            <w:tcW w:type="dxa" w:w="2808"/>
            <w:vAlign w:val="center"/>
            <w:shd w:fill="FFFFFF"/>
            <w:tcMar>
              <w:top w:w="65" w:type="dxa"/>
              <w:bottom w:w="65" w:type="dxa"/>
              <w:left w:w="95" w:type="dxa"/>
              <w:right w:w="95" w:type="dxa"/>
            </w:tcMar>
          </w:tcPr>
          <w:p>
            <w:pPr>
              <w:spacing w:after="0" w:before="0" w:line="245" w:lineRule="auto"/>
            </w:pPr>
            <w:r>
              <w:rPr>
                <w:b w:val="0"/>
                <w:color w:val="18394D"/>
                <w:sz w:val="18"/>
              </w:rPr>
              <w:t>₹5.22 lakh</w:t>
            </w:r>
          </w:p>
        </w:tc>
        <w:tc>
          <w:tcPr>
            <w:tcW w:type="dxa" w:w="2808"/>
            <w:vAlign w:val="center"/>
            <w:shd w:fill="FFFFFF"/>
            <w:tcMar>
              <w:top w:w="65" w:type="dxa"/>
              <w:bottom w:w="65" w:type="dxa"/>
              <w:left w:w="95" w:type="dxa"/>
              <w:right w:w="95" w:type="dxa"/>
            </w:tcMar>
          </w:tcPr>
          <w:p>
            <w:pPr>
              <w:spacing w:after="0" w:before="0" w:line="245" w:lineRule="auto"/>
            </w:pPr>
            <w:r>
              <w:rPr>
                <w:b w:val="0"/>
                <w:color w:val="18394D"/>
                <w:sz w:val="18"/>
              </w:rPr>
              <w:t>₹5.22 lakh</w:t>
            </w:r>
          </w:p>
        </w:tc>
      </w:tr>
      <w:tr>
        <w:trPr>
          <w:cantSplit/>
        </w:trPr>
        <w:tc>
          <w:tcPr>
            <w:tcW w:type="dxa" w:w="4032"/>
            <w:vAlign w:val="center"/>
            <w:shd w:fill="F0F5F6"/>
            <w:tcMar>
              <w:top w:w="65" w:type="dxa"/>
              <w:bottom w:w="65" w:type="dxa"/>
              <w:left w:w="95" w:type="dxa"/>
              <w:right w:w="95" w:type="dxa"/>
            </w:tcMar>
          </w:tcPr>
          <w:p>
            <w:pPr>
              <w:spacing w:after="0" w:before="0" w:line="245" w:lineRule="auto"/>
            </w:pPr>
            <w:r>
              <w:rPr>
                <w:b w:val="0"/>
                <w:color w:val="18394D"/>
                <w:sz w:val="18"/>
              </w:rPr>
              <w:t>Expiry-day remainder</w:t>
            </w:r>
          </w:p>
        </w:tc>
        <w:tc>
          <w:tcPr>
            <w:tcW w:type="dxa" w:w="2808"/>
            <w:vAlign w:val="center"/>
            <w:shd w:fill="F0F5F6"/>
            <w:tcMar>
              <w:top w:w="65" w:type="dxa"/>
              <w:bottom w:w="65" w:type="dxa"/>
              <w:left w:w="95" w:type="dxa"/>
              <w:right w:w="95" w:type="dxa"/>
            </w:tcMar>
          </w:tcPr>
          <w:p>
            <w:pPr>
              <w:spacing w:after="0" w:before="0" w:line="245" w:lineRule="auto"/>
            </w:pPr>
            <w:r>
              <w:rPr>
                <w:b w:val="0"/>
                <w:color w:val="18394D"/>
                <w:sz w:val="18"/>
              </w:rPr>
              <w:t>₹3.96 lakh</w:t>
            </w:r>
          </w:p>
        </w:tc>
        <w:tc>
          <w:tcPr>
            <w:tcW w:type="dxa" w:w="2808"/>
            <w:vAlign w:val="center"/>
            <w:shd w:fill="F0F5F6"/>
            <w:tcMar>
              <w:top w:w="65" w:type="dxa"/>
              <w:bottom w:w="65" w:type="dxa"/>
              <w:left w:w="95" w:type="dxa"/>
              <w:right w:w="95" w:type="dxa"/>
            </w:tcMar>
          </w:tcPr>
          <w:p>
            <w:pPr>
              <w:spacing w:after="0" w:before="0" w:line="245" w:lineRule="auto"/>
            </w:pPr>
            <w:r>
              <w:rPr>
                <w:b w:val="0"/>
                <w:color w:val="18394D"/>
                <w:sz w:val="18"/>
              </w:rPr>
              <w:t>−₹5.87 lakh</w:t>
            </w:r>
          </w:p>
        </w:tc>
      </w:tr>
    </w:tbl>
    <w:p>
      <w:pPr>
        <w:spacing w:after="0"/>
      </w:pPr>
    </w:p>
    <w:p>
      <w:r>
        <w:rPr>
          <w:b w:val="0"/>
        </w:rPr>
        <w:t xml:space="preserve">The phases reconcile to the endpoint. Overnight has no assigned trading charge, not verified zero funding cost. Expiry-day gross gains become negative after estimated costs in this sample; this is accounting, not a hindsight rule to skip the phase. </w:t>
      </w:r>
      <w:hyperlink r:id="rId13">
        <w:r>
          <w:rPr>
            <w:color w:val="107F7B"/>
          </w:rPr>
          <w:t>[S14]</w:t>
        </w:r>
      </w:hyperlink>
      <w:r>
        <w:rPr>
          <w:b w:val="0"/>
        </w:rPr>
        <w:t xml:space="preserve"> </w:t>
      </w:r>
      <w:hyperlink r:id="rId20">
        <w:r>
          <w:rPr>
            <w:color w:val="107F7B"/>
          </w:rPr>
          <w:t>[S15]</w:t>
        </w:r>
      </w:hyperlink>
      <w:r>
        <w:rPr>
          <w:b w:val="0"/>
        </w:rPr>
      </w:r>
    </w:p>
    <w:p>
      <w:r>
        <w:rPr>
          <w:b w:val="0"/>
          <w:sz w:val="19"/>
        </w:rPr>
        <w:t xml:space="preserve">Protection is a gross drag in the received sample, but its removal is not an equal-risk alternative. Finite frozen payoffs do not show that insurance was economically worthwhile, and 35 cycles do not value absent extreme tails. Pooled role/holding-time attributions do not recover original allocation ownership. </w:t>
      </w:r>
      <w:hyperlink r:id="rId19">
        <w:r>
          <w:rPr>
            <w:color w:val="107F7B"/>
          </w:rPr>
          <w:t>[S01]</w:t>
        </w:r>
      </w:hyperlink>
      <w:r>
        <w:rPr>
          <w:b w:val="0"/>
          <w:sz w:val="19"/>
        </w:rPr>
        <w:t xml:space="preserve"> </w:t>
      </w:r>
      <w:hyperlink r:id="rId39">
        <w:r>
          <w:rPr>
            <w:color w:val="107F7B"/>
          </w:rPr>
          <w:t>[S20]</w:t>
        </w:r>
      </w:hyperlink>
      <w:r>
        <w:rPr>
          <w:b w:val="0"/>
          <w:sz w:val="19"/>
        </w:rPr>
      </w:r>
    </w:p>
    <w:p>
      <w:bookmarkStart w:id="25" w:name="model_attribution"/>
      <w:pPr>
        <w:pStyle w:val="Heading2"/>
        <w:pageBreakBefore/>
      </w:pPr>
      <w:r>
        <w:t>7.3  Model-based direction, time and own-IV repricing</w:t>
      </w:r>
      <w:bookmarkEnd w:id="25"/>
    </w:p>
    <w:p>
      <w:bookmarkStart w:id="26" w:name="figure_11"/>
      <w:pPr>
        <w:keepNext/>
        <w:spacing w:after="60"/>
      </w:pPr>
      <w:r>
        <w:drawing>
          <wp:inline xmlns:a="http://schemas.openxmlformats.org/drawingml/2006/main" xmlns:pic="http://schemas.openxmlformats.org/drawingml/2006/picture">
            <wp:extent cx="6080760" cy="2953512"/>
            <wp:docPr id="11" name="Picture 11"/>
            <wp:cNvGraphicFramePr>
              <a:graphicFrameLocks noChangeAspect="1"/>
            </wp:cNvGraphicFramePr>
            <a:graphic>
              <a:graphicData uri="http://schemas.openxmlformats.org/drawingml/2006/picture">
                <pic:pic>
                  <pic:nvPicPr>
                    <pic:cNvPr id="0" name="Figure_11.png"/>
                    <pic:cNvPicPr/>
                  </pic:nvPicPr>
                  <pic:blipFill>
                    <a:blip r:embed="rId40"/>
                    <a:stretch>
                      <a:fillRect/>
                    </a:stretch>
                  </pic:blipFill>
                  <pic:spPr>
                    <a:xfrm>
                      <a:off x="0" y="0"/>
                      <a:ext cx="6080760" cy="2953512"/>
                    </a:xfrm>
                    <a:prstGeom prst="rect"/>
                  </pic:spPr>
                </pic:pic>
              </a:graphicData>
            </a:graphic>
          </wp:inline>
        </w:drawing>
      </w:r>
      <w:bookmarkEnd w:id="26"/>
    </w:p>
    <w:p>
      <w:pPr>
        <w:pStyle w:val="Caption"/>
        <w:keepNext/>
      </w:pPr>
      <w:r>
        <w:rPr>
          <w:b/>
        </w:rPr>
        <w:t>Figure 11. Model-based repricing decomposition with residual</w:t>
      </w:r>
    </w:p>
    <w:p>
      <w:pPr>
        <w:pStyle w:val="Sourcenote"/>
        <w:keepNext w:val="0"/>
      </w:pPr>
      <w:r>
        <w:rPr>
          <w:b w:val="0"/>
        </w:rPr>
        <w:t xml:space="preserve">Source: </w:t>
      </w:r>
      <w:hyperlink r:id="rId41">
        <w:r>
          <w:rPr>
            <w:color w:val="107F7B"/>
          </w:rPr>
          <w:t>[S16]</w:t>
        </w:r>
      </w:hyperlink>
      <w:r>
        <w:rPr>
          <w:b w:val="0"/>
        </w:rPr>
        <w:t>. Primary 32, primary model variant-valid intervals. Five signed terms sum to 18.94 lakh; time is not causal alpha and the bridge is not identified execution alpha.</w:t>
      </w:r>
    </w:p>
    <w:p>
      <w:r>
        <w:rPr>
          <w:b w:val="0"/>
        </w:rPr>
        <w:t xml:space="preserve">Hypothesis: the European Black framework fits each option’s own endpoint IV and symmetrically allocates repricing to forward, time and IV changes. Primary forwards use a same-strike parity proxy when adequate quotes exist, otherwise a flagged spot proxy. Missing, low-extrinsic-value, zero-volume and nonpositive-time fits are not silently accepted. </w:t>
      </w:r>
      <w:hyperlink r:id="rId41">
        <w:r>
          <w:rPr>
            <w:color w:val="107F7B"/>
          </w:rPr>
          <w:t>[S16]</w:t>
        </w:r>
      </w:hyperlink>
      <w:r>
        <w:rPr>
          <w:b w:val="0"/>
        </w:rPr>
        <w:t xml:space="preserve"> </w:t>
      </w:r>
      <w:hyperlink r:id="rId36">
        <w:r>
          <w:rPr>
            <w:color w:val="107F7B"/>
          </w:rPr>
          <w:t>[S19]</w:t>
        </w:r>
      </w:hyperlink>
      <w:r>
        <w:rPr>
          <w:b w:val="0"/>
        </w:rPr>
      </w:r>
    </w:p>
    <w:p>
      <w:r>
        <w:rPr>
          <w:b w:val="0"/>
        </w:rPr>
        <w:t xml:space="preserve">The positive modeled time term is heavily offset by direction/convexity and own-IV repricing. Within forward repricing, linear delta, quadratic gamma and a higher-order/interaction remainder are nested diagnostics—not additional profits. The trade-to-bar bridge includes intraminute movement/mark differences; it is not identified execution alpha. The material residual is not renamed alpha. </w:t>
      </w:r>
      <w:hyperlink r:id="rId41">
        <w:r>
          <w:rPr>
            <w:color w:val="107F7B"/>
          </w:rPr>
          <w:t>[S16]</w:t>
        </w:r>
      </w:hyperlink>
      <w:r>
        <w:rPr>
          <w:b w:val="0"/>
        </w:rPr>
      </w:r>
    </w:p>
    <w:p>
      <w:r>
        <w:rPr>
          <w:b w:val="0"/>
        </w:rPr>
        <w:t xml:space="preserve">Model sensitivity uses a 6% rate, expiry clocks ±5 minutes and a spot-only forward on common fitted intervals. These assumptions reassign components; none changes the observed quoted endpoint. The main figure uses the primary model’s own valid intervals, so its components must not be mixed with common-fit sensitivity totals. No constant volatility surface or uniquely causal explanation is claimed. </w:t>
      </w:r>
      <w:hyperlink r:id="rId41">
        <w:r>
          <w:rPr>
            <w:color w:val="107F7B"/>
          </w:rPr>
          <w:t>[S16]</w:t>
        </w:r>
      </w:hyperlink>
      <w:r>
        <w:rPr>
          <w:b w:val="0"/>
        </w:rPr>
      </w:r>
    </w:p>
    <w:tbl>
      <w:tblPr>
        <w:tblW w:type="auto" w:w="0"/>
        <w:tblLook w:firstColumn="1" w:firstRow="1" w:lastColumn="0" w:lastRow="0" w:noHBand="0" w:noVBand="1" w:val="04A0"/>
      </w:tblPr>
      <w:tblGrid>
        <w:gridCol w:w="9803"/>
      </w:tblGrid>
      <w:tr>
        <w:tc>
          <w:tcPr>
            <w:tcW w:type="dxa" w:w="9803"/>
            <w:shd w:fill="E8F1F3"/>
          </w:tcPr>
          <w:p>
            <w:pPr>
              <w:spacing w:after="140" w:before="140"/>
            </w:pPr>
            <w:r>
              <w:rPr>
                <w:b/>
                <w:color w:val="18394D"/>
              </w:rPr>
              <w:t>Three alternative cuts of the same economic result</w:t>
              <w:br/>
            </w:r>
            <w:r>
              <w:t>Role P&amp;L, phase P&amp;L and modeled repricing are not independent sources to add together. Only the five signed terms in Figure 11 add to the quoted gross endpoint; strategy costs are then deducted once.</w:t>
            </w:r>
          </w:p>
        </w:tc>
      </w:tr>
    </w:tbl>
    <w:p>
      <w:pPr>
        <w:spacing w:after="0"/>
      </w:pPr>
    </w:p>
    <w:p>
      <w:bookmarkStart w:id="27" w:name="s8"/>
      <w:pPr>
        <w:pStyle w:val="Heading1"/>
        <w:pageBreakBefore/>
      </w:pPr>
      <w:r>
        <w:t>8  Benchmarks, uncertainty and final interpretation</w:t>
      </w:r>
      <w:bookmarkEnd w:id="27"/>
    </w:p>
    <w:p>
      <w:bookmarkStart w:id="28" w:name="figure_12"/>
      <w:pPr>
        <w:keepNext/>
        <w:spacing w:after="60"/>
      </w:pPr>
      <w:r>
        <w:drawing>
          <wp:inline xmlns:a="http://schemas.openxmlformats.org/drawingml/2006/main" xmlns:pic="http://schemas.openxmlformats.org/drawingml/2006/picture">
            <wp:extent cx="6080760" cy="2432304"/>
            <wp:docPr id="12" name="Picture 12"/>
            <wp:cNvGraphicFramePr>
              <a:graphicFrameLocks noChangeAspect="1"/>
            </wp:cNvGraphicFramePr>
            <a:graphic>
              <a:graphicData uri="http://schemas.openxmlformats.org/drawingml/2006/picture">
                <pic:pic>
                  <pic:nvPicPr>
                    <pic:cNvPr id="0" name="Figure_12.png"/>
                    <pic:cNvPicPr/>
                  </pic:nvPicPr>
                  <pic:blipFill>
                    <a:blip r:embed="rId42"/>
                    <a:stretch>
                      <a:fillRect/>
                    </a:stretch>
                  </pic:blipFill>
                  <pic:spPr>
                    <a:xfrm>
                      <a:off x="0" y="0"/>
                      <a:ext cx="6080760" cy="2432304"/>
                    </a:xfrm>
                    <a:prstGeom prst="rect"/>
                  </pic:spPr>
                </pic:pic>
              </a:graphicData>
            </a:graphic>
          </wp:inline>
        </w:drawing>
      </w:r>
      <w:bookmarkEnd w:id="28"/>
    </w:p>
    <w:p>
      <w:pPr>
        <w:pStyle w:val="Caption"/>
        <w:keepNext/>
      </w:pPr>
      <w:r>
        <w:rPr>
          <w:b/>
        </w:rPr>
        <w:t>Figure 12. Benchmark uncertainty does not establish alpha</w:t>
      </w:r>
    </w:p>
    <w:p>
      <w:pPr>
        <w:pStyle w:val="Sourcenote"/>
        <w:keepNext w:val="0"/>
      </w:pPr>
      <w:r>
        <w:rPr>
          <w:b w:val="0"/>
        </w:rPr>
        <w:t xml:space="preserve">Source: </w:t>
      </w:r>
      <w:hyperlink r:id="rId21">
        <w:r>
          <w:rPr>
            <w:color w:val="107F7B"/>
          </w:rPr>
          <w:t>[S17]</w:t>
        </w:r>
      </w:hyperlink>
      <w:r>
        <w:rPr>
          <w:b w:val="0"/>
        </w:rPr>
        <w:t>. Conservative costs; D_common_clock hypothetically closes actual pre-deadline inventory at the same candle open. B: 25 and C: 20 separate common cohorts; risk budgets unequal; C uses Aug–Oct after June–July size fitting.</w:t>
      </w:r>
    </w:p>
    <w:tbl>
      <w:tblPr>
        <w:tblW w:type="auto" w:w="0"/>
        <w:jc w:val="center"/>
        <w:tblLayout w:type="fixed"/>
        <w:tblLook w:firstColumn="1" w:firstRow="1" w:lastColumn="0" w:lastRow="0" w:noHBand="0" w:noVBand="1" w:val="04A0"/>
      </w:tblPr>
      <w:tblGrid>
        <w:gridCol w:w="3456"/>
        <w:gridCol w:w="6192"/>
      </w:tblGrid>
      <w:tr>
        <w:trPr>
          <w:cantSplit/>
          <w:tblHeader/>
        </w:trPr>
        <w:tc>
          <w:tcPr>
            <w:tcW w:type="dxa" w:w="3456"/>
            <w:vAlign w:val="center"/>
            <w:shd w:fill="18394D"/>
            <w:tcMar>
              <w:top w:w="65" w:type="dxa"/>
              <w:bottom w:w="65" w:type="dxa"/>
              <w:left w:w="95" w:type="dxa"/>
              <w:right w:w="95" w:type="dxa"/>
            </w:tcMar>
          </w:tcPr>
          <w:p>
            <w:pPr>
              <w:spacing w:after="0" w:before="0" w:line="245" w:lineRule="auto"/>
            </w:pPr>
            <w:r>
              <w:rPr>
                <w:b/>
                <w:color w:val="FFFFFF"/>
                <w:sz w:val="18"/>
              </w:rPr>
              <w:t>Fixed comparison</w:t>
            </w:r>
          </w:p>
        </w:tc>
        <w:tc>
          <w:tcPr>
            <w:tcW w:type="dxa" w:w="6192"/>
            <w:vAlign w:val="center"/>
            <w:shd w:fill="18394D"/>
            <w:tcMar>
              <w:top w:w="65" w:type="dxa"/>
              <w:bottom w:w="65" w:type="dxa"/>
              <w:left w:w="95" w:type="dxa"/>
              <w:right w:w="95" w:type="dxa"/>
            </w:tcMar>
          </w:tcPr>
          <w:p>
            <w:pPr>
              <w:spacing w:after="0" w:before="0" w:line="245" w:lineRule="auto"/>
            </w:pPr>
            <w:r>
              <w:rPr>
                <w:b/>
                <w:color w:val="FFFFFF"/>
                <w:sz w:val="18"/>
              </w:rPr>
              <w:t>Interpretation / limitation</w:t>
            </w:r>
          </w:p>
        </w:tc>
      </w:tr>
      <w:tr>
        <w:trPr>
          <w:cantSplit/>
        </w:trPr>
        <w:tc>
          <w:tcPr>
            <w:tcW w:type="dxa" w:w="3456"/>
            <w:vAlign w:val="center"/>
            <w:shd w:fill="F0F5F6"/>
            <w:tcMar>
              <w:top w:w="65" w:type="dxa"/>
              <w:bottom w:w="65" w:type="dxa"/>
              <w:left w:w="95" w:type="dxa"/>
              <w:right w:w="95" w:type="dxa"/>
            </w:tcMar>
          </w:tcPr>
          <w:p>
            <w:pPr>
              <w:spacing w:after="0" w:before="0" w:line="245" w:lineRule="auto"/>
            </w:pPr>
            <w:r>
              <w:rPr>
                <w:b w:val="0"/>
                <w:color w:val="18394D"/>
                <w:sz w:val="18"/>
              </w:rPr>
              <w:t>A  No trading</w:t>
            </w:r>
          </w:p>
        </w:tc>
        <w:tc>
          <w:tcPr>
            <w:tcW w:type="dxa" w:w="6192"/>
            <w:vAlign w:val="center"/>
            <w:shd w:fill="F0F5F6"/>
            <w:tcMar>
              <w:top w:w="65" w:type="dxa"/>
              <w:bottom w:w="65" w:type="dxa"/>
              <w:left w:w="95" w:type="dxa"/>
              <w:right w:w="95" w:type="dxa"/>
            </w:tcMar>
          </w:tcPr>
          <w:p>
            <w:pPr>
              <w:spacing w:after="0" w:before="0" w:line="245" w:lineRule="auto"/>
            </w:pPr>
            <w:r>
              <w:rPr>
                <w:b w:val="0"/>
                <w:color w:val="18394D"/>
                <w:sz w:val="18"/>
              </w:rPr>
              <w:t>Zero cost/exposure. Establishes profit above zero only.</w:t>
            </w:r>
          </w:p>
        </w:tc>
      </w:tr>
      <w:tr>
        <w:trPr>
          <w:cantSplit/>
        </w:trPr>
        <w:tc>
          <w:tcPr>
            <w:tcW w:type="dxa" w:w="3456"/>
            <w:vAlign w:val="center"/>
            <w:shd w:fill="FFFFFF"/>
            <w:tcMar>
              <w:top w:w="65" w:type="dxa"/>
              <w:bottom w:w="65" w:type="dxa"/>
              <w:left w:w="95" w:type="dxa"/>
              <w:right w:w="95" w:type="dxa"/>
            </w:tcMar>
          </w:tcPr>
          <w:p>
            <w:pPr>
              <w:spacing w:after="0" w:before="0" w:line="245" w:lineRule="auto"/>
            </w:pPr>
            <w:r>
              <w:rPr>
                <w:b w:val="0"/>
                <w:color w:val="18394D"/>
                <w:sz w:val="18"/>
              </w:rPr>
              <w:t>B  Initial basket only</w:t>
            </w:r>
          </w:p>
        </w:tc>
        <w:tc>
          <w:tcPr>
            <w:tcW w:type="dxa" w:w="6192"/>
            <w:vAlign w:val="center"/>
            <w:shd w:fill="FFFFFF"/>
            <w:tcMar>
              <w:top w:w="65" w:type="dxa"/>
              <w:bottom w:w="65" w:type="dxa"/>
              <w:left w:w="95" w:type="dxa"/>
              <w:right w:w="95" w:type="dxa"/>
            </w:tcMar>
          </w:tcPr>
          <w:p>
            <w:pPr>
              <w:spacing w:after="0" w:before="0" w:line="245" w:lineRule="auto"/>
            </w:pPr>
            <w:r>
              <w:rPr>
                <w:b w:val="0"/>
                <w:color w:val="18394D"/>
                <w:sz w:val="18"/>
              </w:rPr>
              <w:t>Actual ordinary prefix before 09:18, then freeze; no independent strike selector is recovered.</w:t>
            </w:r>
          </w:p>
        </w:tc>
      </w:tr>
      <w:tr>
        <w:trPr>
          <w:cantSplit/>
        </w:trPr>
        <w:tc>
          <w:tcPr>
            <w:tcW w:type="dxa" w:w="3456"/>
            <w:vAlign w:val="center"/>
            <w:shd w:fill="F0F5F6"/>
            <w:tcMar>
              <w:top w:w="65" w:type="dxa"/>
              <w:bottom w:w="65" w:type="dxa"/>
              <w:left w:w="95" w:type="dxa"/>
              <w:right w:w="95" w:type="dxa"/>
            </w:tcMar>
          </w:tcPr>
          <w:p>
            <w:pPr>
              <w:spacing w:after="0" w:before="0" w:line="245" w:lineRule="auto"/>
            </w:pPr>
            <w:r>
              <w:rPr>
                <w:b w:val="0"/>
                <w:color w:val="18394D"/>
                <w:sz w:val="18"/>
              </w:rPr>
              <w:t>C  Scheduled accumulation</w:t>
            </w:r>
          </w:p>
        </w:tc>
        <w:tc>
          <w:tcPr>
            <w:tcW w:type="dxa" w:w="6192"/>
            <w:vAlign w:val="center"/>
            <w:shd w:fill="F0F5F6"/>
            <w:tcMar>
              <w:top w:w="65" w:type="dxa"/>
              <w:bottom w:w="65" w:type="dxa"/>
              <w:left w:w="95" w:type="dxa"/>
              <w:right w:w="95" w:type="dxa"/>
            </w:tcMar>
          </w:tcPr>
          <w:p>
            <w:pPr>
              <w:spacing w:after="0" w:before="0" w:line="245" w:lineRule="auto"/>
            </w:pPr>
            <w:r>
              <w:rPr>
                <w:b w:val="0"/>
                <w:color w:val="18394D"/>
                <w:sz w:val="18"/>
              </w:rPr>
              <w:t>Fixed June–July modal sizes; following-minute entries, no expiry additions/stops; August–October comparison only.</w:t>
            </w:r>
          </w:p>
        </w:tc>
      </w:tr>
      <w:tr>
        <w:trPr>
          <w:cantSplit/>
        </w:trPr>
        <w:tc>
          <w:tcPr>
            <w:tcW w:type="dxa" w:w="3456"/>
            <w:vAlign w:val="center"/>
            <w:shd w:fill="FFFFFF"/>
            <w:tcMar>
              <w:top w:w="65" w:type="dxa"/>
              <w:bottom w:w="65" w:type="dxa"/>
              <w:left w:w="95" w:type="dxa"/>
              <w:right w:w="95" w:type="dxa"/>
            </w:tcMar>
          </w:tcPr>
          <w:p>
            <w:pPr>
              <w:spacing w:after="0" w:before="0" w:line="245" w:lineRule="auto"/>
            </w:pPr>
            <w:r>
              <w:rPr>
                <w:b w:val="0"/>
                <w:color w:val="18394D"/>
                <w:sz w:val="18"/>
              </w:rPr>
              <w:t>D  Observed sequence</w:t>
            </w:r>
          </w:p>
        </w:tc>
        <w:tc>
          <w:tcPr>
            <w:tcW w:type="dxa" w:w="6192"/>
            <w:vAlign w:val="center"/>
            <w:shd w:fill="FFFFFF"/>
            <w:tcMar>
              <w:top w:w="65" w:type="dxa"/>
              <w:bottom w:w="65" w:type="dxa"/>
              <w:left w:w="95" w:type="dxa"/>
              <w:right w:w="95" w:type="dxa"/>
            </w:tcMar>
          </w:tcPr>
          <w:p>
            <w:pPr>
              <w:spacing w:after="0" w:before="0" w:line="245" w:lineRule="auto"/>
            </w:pPr>
            <w:r>
              <w:rPr>
                <w:b w:val="0"/>
                <w:color w:val="18394D"/>
                <w:sz w:val="18"/>
              </w:rPr>
              <w:t>Principal endpoint keeps received trades/residuals; paired D_common_clock is a hypothetical common-deadline close.</w:t>
            </w:r>
          </w:p>
        </w:tc>
      </w:tr>
      <w:tr>
        <w:trPr>
          <w:cantSplit/>
        </w:trPr>
        <w:tc>
          <w:tcPr>
            <w:tcW w:type="dxa" w:w="3456"/>
            <w:vAlign w:val="center"/>
            <w:shd w:fill="F0F5F6"/>
            <w:tcMar>
              <w:top w:w="65" w:type="dxa"/>
              <w:bottom w:w="65" w:type="dxa"/>
              <w:left w:w="95" w:type="dxa"/>
              <w:right w:w="95" w:type="dxa"/>
            </w:tcMar>
          </w:tcPr>
          <w:p>
            <w:pPr>
              <w:spacing w:after="0" w:before="0" w:line="245" w:lineRule="auto"/>
            </w:pPr>
            <w:r>
              <w:rPr>
                <w:b w:val="0"/>
                <w:color w:val="18394D"/>
                <w:sz w:val="18"/>
              </w:rPr>
              <w:t>E  Comparable risk budget</w:t>
            </w:r>
          </w:p>
        </w:tc>
        <w:tc>
          <w:tcPr>
            <w:tcW w:type="dxa" w:w="6192"/>
            <w:vAlign w:val="center"/>
            <w:shd w:fill="F0F5F6"/>
            <w:tcMar>
              <w:top w:w="65" w:type="dxa"/>
              <w:bottom w:w="65" w:type="dxa"/>
              <w:left w:w="95" w:type="dxa"/>
              <w:right w:w="95" w:type="dxa"/>
            </w:tcMar>
          </w:tcPr>
          <w:p>
            <w:pPr>
              <w:spacing w:after="0" w:before="0" w:line="245" w:lineRule="auto"/>
            </w:pPr>
            <w:r>
              <w:rPr>
                <w:b w:val="0"/>
                <w:color w:val="18394D"/>
                <w:sz w:val="18"/>
              </w:rPr>
              <w:t>Unavailable: NAV, margin, dynamic limits and original risk ownership are unverified.</w:t>
            </w:r>
          </w:p>
        </w:tc>
      </w:tr>
    </w:tbl>
    <w:p>
      <w:pPr>
        <w:spacing w:after="0"/>
      </w:pPr>
    </w:p>
    <w:p>
      <w:r>
        <w:rPr>
          <w:b w:val="0"/>
        </w:rPr>
        <w:t xml:space="preserve">B/C exit at 15:27 before 3 August and 15:14 afterward. Missing intended prices invalidate a complete comparison, rather than create profitable skipped trades. Conservative-cost mean D_common_clock-minus-B is −₹7,973/cycle on 25 shared quoted cycles; minus-C is +₹50,264 on 20. Both intervals span zero, and each comparison has its own common cohort. </w:t>
      </w:r>
      <w:hyperlink r:id="rId21">
        <w:r>
          <w:rPr>
            <w:color w:val="107F7B"/>
          </w:rPr>
          <w:t>[S17]</w:t>
        </w:r>
      </w:hyperlink>
      <w:r>
        <w:rPr>
          <w:b w:val="0"/>
        </w:rPr>
        <w:t xml:space="preserve"> </w:t>
      </w:r>
      <w:hyperlink r:id="rId36">
        <w:r>
          <w:rPr>
            <w:color w:val="107F7B"/>
          </w:rPr>
          <w:t>[S19]</w:t>
        </w:r>
      </w:hyperlink>
      <w:r>
        <w:rPr>
          <w:b w:val="0"/>
        </w:rPr>
      </w:r>
    </w:p>
    <w:p>
      <w:r>
        <w:rPr>
          <w:b w:val="0"/>
          <w:sz w:val="19"/>
        </w:rPr>
        <w:t xml:space="preserve">Absolute marked profitability under assumptions, risk-adjusted performance and comparable-risk economic alpha are different claims. Equal clocks, shared contracts or the supplied capital reference do not equalize dynamic risk. The available results do not demonstrate a persistent comparable-risk excess return. </w:t>
      </w:r>
      <w:hyperlink r:id="rId19">
        <w:r>
          <w:rPr>
            <w:color w:val="107F7B"/>
          </w:rPr>
          <w:t>[S01]</w:t>
        </w:r>
      </w:hyperlink>
      <w:r>
        <w:rPr>
          <w:b w:val="0"/>
          <w:sz w:val="19"/>
        </w:rPr>
        <w:t xml:space="preserve"> </w:t>
      </w:r>
      <w:hyperlink r:id="rId21">
        <w:r>
          <w:rPr>
            <w:color w:val="107F7B"/>
          </w:rPr>
          <w:t>[S17]</w:t>
        </w:r>
      </w:hyperlink>
      <w:r>
        <w:rPr>
          <w:b w:val="0"/>
          <w:sz w:val="19"/>
        </w:rPr>
      </w:r>
    </w:p>
    <w:p>
      <w:bookmarkStart w:id="29" w:name="s9"/>
      <w:pPr>
        <w:pStyle w:val="Heading1"/>
        <w:pageBreakBefore/>
      </w:pPr>
      <w:r>
        <w:t>9  Final conclusions and limitations</w:t>
      </w:r>
      <w:bookmarkEnd w:id="29"/>
    </w:p>
    <w:tbl>
      <w:tblPr>
        <w:tblW w:type="auto" w:w="0"/>
        <w:tblLook w:firstColumn="1" w:firstRow="1" w:lastColumn="0" w:lastRow="0" w:noHBand="0" w:noVBand="1" w:val="04A0"/>
      </w:tblPr>
      <w:tblGrid>
        <w:gridCol w:w="9803"/>
      </w:tblGrid>
      <w:tr>
        <w:tc>
          <w:tcPr>
            <w:tcW w:type="dxa" w:w="9803"/>
            <w:shd w:fill="E8F1F3"/>
          </w:tcPr>
          <w:p>
            <w:pPr>
              <w:spacing w:after="140" w:before="140"/>
            </w:pPr>
            <w:r>
              <w:rPr>
                <w:b/>
                <w:color w:val="18394D"/>
              </w:rPr>
              <w:t>Outcome B — positive marked results under some assumptions, but no demonstrated economic alpha.</w:t>
              <w:br/>
            </w:r>
            <w:r>
              <w:t>The evidence does not establish universal unprofitability. It establishes the limits of inference from this record and these fixed assumptions.</w:t>
            </w:r>
          </w:p>
        </w:tc>
      </w:tr>
    </w:tbl>
    <w:p>
      <w:pPr>
        <w:spacing w:after="0"/>
      </w:pPr>
    </w:p>
    <w:tbl>
      <w:tblPr>
        <w:tblW w:type="auto" w:w="0"/>
        <w:jc w:val="center"/>
        <w:tblLayout w:type="fixed"/>
        <w:tblLook w:firstColumn="1" w:firstRow="1" w:lastColumn="0" w:lastRow="0" w:noHBand="0" w:noVBand="1" w:val="04A0"/>
      </w:tblPr>
      <w:tblGrid>
        <w:gridCol w:w="2016"/>
        <w:gridCol w:w="7632"/>
      </w:tblGrid>
      <w:tr>
        <w:trPr>
          <w:cantSplit/>
          <w:tblHeader/>
        </w:trPr>
        <w:tc>
          <w:tcPr>
            <w:tcW w:type="dxa" w:w="2016"/>
            <w:vAlign w:val="center"/>
            <w:shd w:fill="18394D"/>
            <w:tcMar>
              <w:top w:w="65" w:type="dxa"/>
              <w:bottom w:w="65" w:type="dxa"/>
              <w:left w:w="95" w:type="dxa"/>
              <w:right w:w="95" w:type="dxa"/>
            </w:tcMar>
          </w:tcPr>
          <w:p>
            <w:pPr>
              <w:spacing w:after="0" w:before="0" w:line="245" w:lineRule="auto"/>
            </w:pPr>
            <w:r>
              <w:rPr>
                <w:b/>
                <w:color w:val="FFFFFF"/>
                <w:sz w:val="18"/>
              </w:rPr>
              <w:t>Evidence label</w:t>
            </w:r>
          </w:p>
        </w:tc>
        <w:tc>
          <w:tcPr>
            <w:tcW w:type="dxa" w:w="7632"/>
            <w:vAlign w:val="center"/>
            <w:shd w:fill="18394D"/>
            <w:tcMar>
              <w:top w:w="65" w:type="dxa"/>
              <w:bottom w:w="65" w:type="dxa"/>
              <w:left w:w="95" w:type="dxa"/>
              <w:right w:w="95" w:type="dxa"/>
            </w:tcMar>
          </w:tcPr>
          <w:p>
            <w:pPr>
              <w:spacing w:after="0" w:before="0" w:line="245" w:lineRule="auto"/>
            </w:pPr>
            <w:r>
              <w:rPr>
                <w:b/>
                <w:color w:val="FFFFFF"/>
                <w:sz w:val="18"/>
              </w:rPr>
              <w:t>Research conclusion</w:t>
            </w:r>
          </w:p>
        </w:tc>
      </w:tr>
      <w:tr>
        <w:trPr>
          <w:cantSplit/>
        </w:trPr>
        <w:tc>
          <w:tcPr>
            <w:tcW w:type="dxa" w:w="2016"/>
            <w:vAlign w:val="center"/>
            <w:shd w:fill="F0F5F6"/>
            <w:tcMar>
              <w:top w:w="65" w:type="dxa"/>
              <w:bottom w:w="65" w:type="dxa"/>
              <w:left w:w="95" w:type="dxa"/>
              <w:right w:w="95" w:type="dxa"/>
            </w:tcMar>
          </w:tcPr>
          <w:p>
            <w:pPr>
              <w:spacing w:after="0" w:before="0" w:line="245" w:lineRule="auto"/>
            </w:pPr>
            <w:r>
              <w:rPr>
                <w:b w:val="0"/>
                <w:color w:val="18394D"/>
                <w:sz w:val="18"/>
              </w:rPr>
              <w:t>Observed</w:t>
            </w:r>
          </w:p>
        </w:tc>
        <w:tc>
          <w:tcPr>
            <w:tcW w:type="dxa" w:w="7632"/>
            <w:vAlign w:val="center"/>
            <w:shd w:fill="F0F5F6"/>
            <w:tcMar>
              <w:top w:w="65" w:type="dxa"/>
              <w:bottom w:w="65" w:type="dxa"/>
              <w:left w:w="95" w:type="dxa"/>
              <w:right w:w="95" w:type="dxa"/>
            </w:tcMar>
          </w:tcPr>
          <w:p>
            <w:pPr>
              <w:spacing w:after="0" w:before="0" w:line="245" w:lineRule="auto"/>
            </w:pPr>
            <w:r>
              <w:rPr>
                <w:b w:val="0"/>
                <w:color w:val="18394D"/>
                <w:sz w:val="18"/>
              </w:rPr>
              <w:t>Reconciled fills, inventory, cash flow, sampled quote marks and separate short/long actions.</w:t>
            </w:r>
          </w:p>
        </w:tc>
      </w:tr>
      <w:tr>
        <w:trPr>
          <w:cantSplit/>
        </w:trPr>
        <w:tc>
          <w:tcPr>
            <w:tcW w:type="dxa" w:w="2016"/>
            <w:vAlign w:val="center"/>
            <w:shd w:fill="FFFFFF"/>
            <w:tcMar>
              <w:top w:w="65" w:type="dxa"/>
              <w:bottom w:w="65" w:type="dxa"/>
              <w:left w:w="95" w:type="dxa"/>
              <w:right w:w="95" w:type="dxa"/>
            </w:tcMar>
          </w:tcPr>
          <w:p>
            <w:pPr>
              <w:spacing w:after="0" w:before="0" w:line="245" w:lineRule="auto"/>
            </w:pPr>
            <w:r>
              <w:rPr>
                <w:b w:val="0"/>
                <w:color w:val="18394D"/>
                <w:sz w:val="18"/>
              </w:rPr>
              <w:t>Strongly supported</w:t>
            </w:r>
          </w:p>
        </w:tc>
        <w:tc>
          <w:tcPr>
            <w:tcW w:type="dxa" w:w="7632"/>
            <w:vAlign w:val="center"/>
            <w:shd w:fill="FFFFFF"/>
            <w:tcMar>
              <w:top w:w="65" w:type="dxa"/>
              <w:bottom w:w="65" w:type="dxa"/>
              <w:left w:w="95" w:type="dxa"/>
              <w:right w:w="95" w:type="dxa"/>
            </w:tcMar>
          </w:tcPr>
          <w:p>
            <w:pPr>
              <w:spacing w:after="0" w:before="0" w:line="245" w:lineRule="auto"/>
            </w:pPr>
            <w:r>
              <w:rPr>
                <w:b w:val="0"/>
                <w:color w:val="18394D"/>
                <w:sz w:val="18"/>
              </w:rPr>
              <w:t>Near-opening paired exposure, recurring protected accumulation, retention of older positions and conditional liquidation timing.</w:t>
            </w:r>
          </w:p>
        </w:tc>
      </w:tr>
      <w:tr>
        <w:trPr>
          <w:cantSplit/>
        </w:trPr>
        <w:tc>
          <w:tcPr>
            <w:tcW w:type="dxa" w:w="2016"/>
            <w:vAlign w:val="center"/>
            <w:shd w:fill="F0F5F6"/>
            <w:tcMar>
              <w:top w:w="65" w:type="dxa"/>
              <w:bottom w:w="65" w:type="dxa"/>
              <w:left w:w="95" w:type="dxa"/>
              <w:right w:w="95" w:type="dxa"/>
            </w:tcMar>
          </w:tcPr>
          <w:p>
            <w:pPr>
              <w:spacing w:after="0" w:before="0" w:line="245" w:lineRule="auto"/>
            </w:pPr>
            <w:r>
              <w:rPr>
                <w:b w:val="0"/>
                <w:color w:val="18394D"/>
                <w:sz w:val="18"/>
              </w:rPr>
              <w:t>Hypothesis</w:t>
            </w:r>
          </w:p>
        </w:tc>
        <w:tc>
          <w:tcPr>
            <w:tcW w:type="dxa" w:w="7632"/>
            <w:vAlign w:val="center"/>
            <w:shd w:fill="F0F5F6"/>
            <w:tcMar>
              <w:top w:w="65" w:type="dxa"/>
              <w:bottom w:w="65" w:type="dxa"/>
              <w:left w:w="95" w:type="dxa"/>
              <w:right w:w="95" w:type="dxa"/>
            </w:tcMar>
          </w:tcPr>
          <w:p>
            <w:pPr>
              <w:spacing w:after="0" w:before="0" w:line="245" w:lineRule="auto"/>
            </w:pPr>
            <w:r>
              <w:rPr>
                <w:b w:val="0"/>
                <w:color w:val="18394D"/>
                <w:sz w:val="18"/>
              </w:rPr>
              <w:t>Approximate hedge selectors, tested stops/controllers, cost estimates and model-based time/forward/IV attribution.</w:t>
            </w:r>
          </w:p>
        </w:tc>
      </w:tr>
      <w:tr>
        <w:trPr>
          <w:cantSplit/>
        </w:trPr>
        <w:tc>
          <w:tcPr>
            <w:tcW w:type="dxa" w:w="2016"/>
            <w:vAlign w:val="center"/>
            <w:shd w:fill="FFFFFF"/>
            <w:tcMar>
              <w:top w:w="65" w:type="dxa"/>
              <w:bottom w:w="65" w:type="dxa"/>
              <w:left w:w="95" w:type="dxa"/>
              <w:right w:w="95" w:type="dxa"/>
            </w:tcMar>
          </w:tcPr>
          <w:p>
            <w:pPr>
              <w:spacing w:after="0" w:before="0" w:line="245" w:lineRule="auto"/>
            </w:pPr>
            <w:r>
              <w:rPr>
                <w:b w:val="0"/>
                <w:color w:val="18394D"/>
                <w:sz w:val="18"/>
              </w:rPr>
              <w:t>Unresolved</w:t>
            </w:r>
          </w:p>
        </w:tc>
        <w:tc>
          <w:tcPr>
            <w:tcW w:type="dxa" w:w="7632"/>
            <w:vAlign w:val="center"/>
            <w:shd w:fill="FFFFFF"/>
            <w:tcMar>
              <w:top w:w="65" w:type="dxa"/>
              <w:bottom w:w="65" w:type="dxa"/>
              <w:left w:w="95" w:type="dxa"/>
              <w:right w:w="95" w:type="dxa"/>
            </w:tcMar>
          </w:tcPr>
          <w:p>
            <w:pPr>
              <w:spacing w:after="0" w:before="0" w:line="245" w:lineRule="auto"/>
            </w:pPr>
            <w:r>
              <w:rPr>
                <w:b w:val="0"/>
                <w:color w:val="18394D"/>
                <w:sz w:val="18"/>
              </w:rPr>
              <w:t>Exact allocation sizes/limits, range eligibility, intermediate stop/reset/re-entry activation and complete order-management intent.</w:t>
            </w:r>
          </w:p>
        </w:tc>
      </w:tr>
    </w:tbl>
    <w:p>
      <w:pPr>
        <w:spacing w:after="0"/>
      </w:pPr>
    </w:p>
    <w:p>
      <w:r>
        <w:rPr>
          <w:b w:val="0"/>
        </w:rPr>
        <w:t xml:space="preserve">The reconstructed economic structure is consistent with earning short-option carry while accepting convexity, direction and volatility risk and paying for protection and execution. Strong structural match rates do not establish the original proprietary rule set; Greek signs do not establish a predictive signal. Autonomous and exit-trigger tests remain far below complete reconstruction. </w:t>
      </w:r>
      <w:hyperlink r:id="rId14">
        <w:r>
          <w:rPr>
            <w:color w:val="107F7B"/>
          </w:rPr>
          <w:t>[S02]</w:t>
        </w:r>
      </w:hyperlink>
      <w:r>
        <w:rPr>
          <w:b w:val="0"/>
        </w:rPr>
        <w:t xml:space="preserve"> </w:t>
      </w:r>
      <w:hyperlink r:id="rId16">
        <w:r>
          <w:rPr>
            <w:color w:val="107F7B"/>
          </w:rPr>
          <w:t>[S04]</w:t>
        </w:r>
      </w:hyperlink>
      <w:r>
        <w:rPr>
          <w:b w:val="0"/>
        </w:rPr>
        <w:t xml:space="preserve"> </w:t>
      </w:r>
      <w:hyperlink r:id="rId17">
        <w:r>
          <w:rPr>
            <w:color w:val="107F7B"/>
          </w:rPr>
          <w:t>[S05]</w:t>
        </w:r>
      </w:hyperlink>
      <w:r>
        <w:rPr>
          <w:b w:val="0"/>
        </w:rPr>
        <w:t xml:space="preserve"> </w:t>
      </w:r>
      <w:hyperlink r:id="rId18">
        <w:r>
          <w:rPr>
            <w:color w:val="107F7B"/>
          </w:rPr>
          <w:t>[S06]</w:t>
        </w:r>
      </w:hyperlink>
      <w:r>
        <w:rPr>
          <w:b w:val="0"/>
        </w:rPr>
      </w:r>
    </w:p>
    <w:p>
      <w:r>
        <w:rPr>
          <w:b w:val="0"/>
        </w:rPr>
        <w:t xml:space="preserve">Positive marked results survive some charges, but adverse execution assumptions reverse the sign. The largest quote-marked residual winner dominates conservative aggregate net; mean-cycle uncertainty and benchmark differences include zero. A defensible equal-risk budget is unavailable. These economic facts, rather than an 80–90% reconstruction target, determine the alpha conclusion. </w:t>
      </w:r>
      <w:hyperlink r:id="rId19">
        <w:r>
          <w:rPr>
            <w:color w:val="107F7B"/>
          </w:rPr>
          <w:t>[S01]</w:t>
        </w:r>
      </w:hyperlink>
      <w:r>
        <w:rPr>
          <w:b w:val="0"/>
        </w:rPr>
        <w:t xml:space="preserve"> </w:t>
      </w:r>
      <w:hyperlink r:id="rId20">
        <w:r>
          <w:rPr>
            <w:color w:val="107F7B"/>
          </w:rPr>
          <w:t>[S15]</w:t>
        </w:r>
      </w:hyperlink>
      <w:r>
        <w:rPr>
          <w:b w:val="0"/>
        </w:rPr>
        <w:t xml:space="preserve"> </w:t>
      </w:r>
      <w:hyperlink r:id="rId21">
        <w:r>
          <w:rPr>
            <w:color w:val="107F7B"/>
          </w:rPr>
          <w:t>[S17]</w:t>
        </w:r>
      </w:hyperlink>
      <w:r>
        <w:rPr>
          <w:b w:val="0"/>
        </w:rPr>
      </w:r>
    </w:p>
    <w:p>
      <w:r>
        <w:rPr>
          <w:b w:val="0"/>
        </w:rPr>
        <w:t xml:space="preserve">The most important missing evidence is original allocation/decision identity, submission/cancel/acknowledgement history, full-chain tick bid/ask data, verified post-export positions/settlement, authenticated charges, NAV and margin. Their absence prevents exact ownership, causal controller attribution and verified account/risk-normalized performance claims. </w:t>
      </w:r>
      <w:hyperlink r:id="rId19">
        <w:r>
          <w:rPr>
            <w:color w:val="107F7B"/>
          </w:rPr>
          <w:t>[S01]</w:t>
        </w:r>
      </w:hyperlink>
      <w:r>
        <w:rPr>
          <w:b w:val="0"/>
        </w:rPr>
        <w:t xml:space="preserve"> </w:t>
      </w:r>
      <w:hyperlink r:id="rId23">
        <w:r>
          <w:rPr>
            <w:color w:val="107F7B"/>
          </w:rPr>
          <w:t>[S03]</w:t>
        </w:r>
      </w:hyperlink>
      <w:r>
        <w:rPr>
          <w:b w:val="0"/>
        </w:rPr>
        <w:t xml:space="preserve"> </w:t>
      </w:r>
      <w:hyperlink r:id="rId22">
        <w:r>
          <w:rPr>
            <w:color w:val="107F7B"/>
          </w:rPr>
          <w:t>[S18]</w:t>
        </w:r>
      </w:hyperlink>
      <w:r>
        <w:rPr>
          <w:b w:val="0"/>
        </w:rPr>
      </w:r>
    </w:p>
    <w:p>
      <w:r>
        <w:rPr>
          <w:b/>
        </w:rPr>
        <w:t>Research is closed without claiming recovery of Algo 8’s original proprietary strategy or its alpha. This report consolidates the finite investigation; it does not reopen controller searches, indicator banks or threshold optimization.</w:t>
      </w:r>
    </w:p>
    <w:p>
      <w:bookmarkStart w:id="30" w:name="app_a"/>
      <w:pPr>
        <w:pStyle w:val="Heading1"/>
        <w:pageBreakBefore/>
      </w:pPr>
      <w:r>
        <w:t>Appendix A  Source references</w:t>
      </w:r>
      <w:bookmarkEnd w:id="30"/>
    </w:p>
    <w:p>
      <w:r>
        <w:rPr>
          <w:b w:val="0"/>
          <w:sz w:val="18"/>
        </w:rPr>
        <w:t>Source IDs in the text and figure notes link to frozen repository evidence. Detailed claim filters, artifact hashes and reproduction commands are in Rahul_Algo8_Report_Sources.md. Research and strong-findings branch identities remain separate.</w:t>
      </w:r>
    </w:p>
    <w:p>
      <w:bookmarkStart w:id="31" w:name="source_S01"/>
      <w:pPr>
        <w:spacing w:after="40"/>
      </w:pPr>
      <w:r>
        <w:rPr>
          <w:b/>
          <w:sz w:val="19"/>
        </w:rPr>
        <w:t>S01  Final economic closure  |  21ce61d</w:t>
      </w:r>
      <w:bookmarkEnd w:id="31"/>
    </w:p>
    <w:p>
      <w:pPr>
        <w:spacing w:after="40" w:line="240" w:lineRule="auto"/>
      </w:pPr>
      <w:hyperlink r:id="rId19">
        <w:r>
          <w:rPr>
            <w:color w:val="107F7B"/>
            <w:sz w:val="16"/>
          </w:rPr>
          <w:t>research/final_alpha_attribution/FINAL_ALPHA_ATTRIBUTION_AND_FALSIFICATION.md</w:t>
        </w:r>
      </w:hyperlink>
    </w:p>
    <w:p>
      <w:pPr>
        <w:spacing w:after="40" w:line="240" w:lineRule="auto"/>
      </w:pPr>
      <w:hyperlink r:id="rId43">
        <w:r>
          <w:rPr>
            <w:color w:val="107F7B"/>
            <w:sz w:val="16"/>
          </w:rPr>
          <w:t>research/final_alpha_attribution/final_verdict.json</w:t>
        </w:r>
      </w:hyperlink>
    </w:p>
    <w:p>
      <w:bookmarkStart w:id="32" w:name="source_S02"/>
      <w:pPr>
        <w:spacing w:after="40"/>
      </w:pPr>
      <w:r>
        <w:rPr>
          <w:b/>
          <w:sz w:val="19"/>
        </w:rPr>
        <w:t>S02  Cumulative Strong Findings v 7  |  15a0e5e</w:t>
      </w:r>
      <w:bookmarkEnd w:id="32"/>
    </w:p>
    <w:p>
      <w:pPr>
        <w:spacing w:after="40" w:line="240" w:lineRule="auto"/>
      </w:pPr>
      <w:hyperlink r:id="rId14">
        <w:r>
          <w:rPr>
            <w:color w:val="107F7B"/>
            <w:sz w:val="16"/>
          </w:rPr>
          <w:t>STRONG_FINDINGS.md</w:t>
        </w:r>
      </w:hyperlink>
    </w:p>
    <w:p>
      <w:bookmarkStart w:id="33" w:name="source_S03"/>
      <w:pPr>
        <w:spacing w:after="40"/>
      </w:pPr>
      <w:r>
        <w:rPr>
          <w:b/>
          <w:sz w:val="19"/>
        </w:rPr>
        <w:t>S03  Operational allocation and risk playbook  |  21ce61d</w:t>
      </w:r>
      <w:bookmarkEnd w:id="33"/>
    </w:p>
    <w:p>
      <w:pPr>
        <w:spacing w:after="40" w:line="240" w:lineRule="auto"/>
      </w:pPr>
      <w:hyperlink r:id="rId23">
        <w:r>
          <w:rPr>
            <w:color w:val="107F7B"/>
            <w:sz w:val="16"/>
          </w:rPr>
          <w:t>ALLOCATION_ENTRY_EXIT_RISK_PLAYBOOK.md</w:t>
        </w:r>
      </w:hyperlink>
    </w:p>
    <w:p>
      <w:pPr>
        <w:spacing w:after="40" w:line="240" w:lineRule="auto"/>
      </w:pPr>
      <w:hyperlink r:id="rId44">
        <w:r>
          <w:rPr>
            <w:color w:val="107F7B"/>
            <w:sz w:val="16"/>
          </w:rPr>
          <w:t>research/outputs/playbook_book_audit.json</w:t>
        </w:r>
      </w:hyperlink>
    </w:p>
    <w:p>
      <w:bookmarkStart w:id="34" w:name="source_S04"/>
      <w:pPr>
        <w:spacing w:after="40"/>
      </w:pPr>
      <w:r>
        <w:rPr>
          <w:b/>
          <w:sz w:val="19"/>
        </w:rPr>
        <w:t>S04  Constrained autonomous controller experiment  |  21ce61d</w:t>
      </w:r>
      <w:bookmarkEnd w:id="34"/>
    </w:p>
    <w:p>
      <w:pPr>
        <w:spacing w:after="40" w:line="240" w:lineRule="auto"/>
      </w:pPr>
      <w:hyperlink r:id="rId16">
        <w:r>
          <w:rPr>
            <w:color w:val="107F7B"/>
            <w:sz w:val="16"/>
          </w:rPr>
          <w:t>research/hypothesis_controller_search/HYPOTHESIS_CONTROLLER_SEARCH.md</w:t>
        </w:r>
      </w:hyperlink>
    </w:p>
    <w:p>
      <w:pPr>
        <w:spacing w:after="40" w:line="240" w:lineRule="auto"/>
      </w:pPr>
      <w:hyperlink r:id="rId45">
        <w:r>
          <w:rPr>
            <w:color w:val="107F7B"/>
            <w:sz w:val="16"/>
          </w:rPr>
          <w:t>research/hypothesis_controller_search/outputs/candidate_scores.csv</w:t>
        </w:r>
      </w:hyperlink>
    </w:p>
    <w:p>
      <w:pPr>
        <w:spacing w:after="40" w:line="240" w:lineRule="auto"/>
      </w:pPr>
      <w:hyperlink r:id="rId46">
        <w:r>
          <w:rPr>
            <w:color w:val="107F7B"/>
            <w:sz w:val="16"/>
          </w:rPr>
          <w:t>research/hypothesis_controller_search/outputs/search_manifest.json</w:t>
        </w:r>
      </w:hyperlink>
    </w:p>
    <w:p>
      <w:bookmarkStart w:id="35" w:name="source_S05"/>
      <w:pPr>
        <w:spacing w:after="40"/>
      </w:pPr>
      <w:r>
        <w:rPr>
          <w:b/>
          <w:sz w:val="19"/>
        </w:rPr>
        <w:t>S05  Policy/execution and opening reconstruction  |  21ce61d</w:t>
      </w:r>
      <w:bookmarkEnd w:id="35"/>
    </w:p>
    <w:p>
      <w:pPr>
        <w:spacing w:after="40" w:line="240" w:lineRule="auto"/>
      </w:pPr>
      <w:hyperlink r:id="rId17">
        <w:r>
          <w:rPr>
            <w:color w:val="107F7B"/>
            <w:sz w:val="16"/>
          </w:rPr>
          <w:t>research/policy_execution_separation/POLICY_EXECUTION_RECONSTRUCTION.md</w:t>
        </w:r>
      </w:hyperlink>
    </w:p>
    <w:p>
      <w:pPr>
        <w:spacing w:after="40" w:line="240" w:lineRule="auto"/>
      </w:pPr>
      <w:hyperlink r:id="rId47">
        <w:r>
          <w:rPr>
            <w:color w:val="107F7B"/>
            <w:sz w:val="16"/>
          </w:rPr>
          <w:t>research/policy_execution_separation/policy_vs_execution_comparison.csv</w:t>
        </w:r>
      </w:hyperlink>
    </w:p>
    <w:p>
      <w:pPr>
        <w:spacing w:after="40" w:line="240" w:lineRule="auto"/>
      </w:pPr>
      <w:hyperlink r:id="rId48">
        <w:r>
          <w:rPr>
            <w:color w:val="107F7B"/>
            <w:sz w:val="16"/>
          </w:rPr>
          <w:t>research/policy_execution_separation/opening_vs_prior_contradiction.csv</w:t>
        </w:r>
      </w:hyperlink>
    </w:p>
    <w:p>
      <w:bookmarkStart w:id="36" w:name="source_S06"/>
      <w:pPr>
        <w:spacing w:after="40"/>
      </w:pPr>
      <w:r>
        <w:rPr>
          <w:b/>
          <w:sz w:val="19"/>
        </w:rPr>
        <w:t>S06  Intermediate-exit event study  |  21ce61d</w:t>
      </w:r>
      <w:bookmarkEnd w:id="36"/>
    </w:p>
    <w:p>
      <w:pPr>
        <w:spacing w:after="40" w:line="240" w:lineRule="auto"/>
      </w:pPr>
      <w:hyperlink r:id="rId18">
        <w:r>
          <w:rPr>
            <w:color w:val="107F7B"/>
            <w:sz w:val="16"/>
          </w:rPr>
          <w:t>research/intermediate_exit_study/INTERMEDIATE_EXIT_CONTROLLER.md</w:t>
        </w:r>
      </w:hyperlink>
    </w:p>
    <w:p>
      <w:pPr>
        <w:spacing w:after="40" w:line="240" w:lineRule="auto"/>
      </w:pPr>
      <w:hyperlink r:id="rId49">
        <w:r>
          <w:rPr>
            <w:color w:val="107F7B"/>
            <w:sz w:val="16"/>
          </w:rPr>
          <w:t>research/intermediate_exit_study/ranked_trigger_hypotheses.csv</w:t>
        </w:r>
      </w:hyperlink>
    </w:p>
    <w:p>
      <w:pPr>
        <w:spacing w:after="40" w:line="240" w:lineRule="auto"/>
      </w:pPr>
      <w:hyperlink r:id="rId50">
        <w:r>
          <w:rPr>
            <w:color w:val="107F7B"/>
            <w:sz w:val="16"/>
          </w:rPr>
          <w:t>research/intermediate_exit_study/exit_case_ledger.csv.gz</w:t>
        </w:r>
      </w:hyperlink>
    </w:p>
    <w:p>
      <w:bookmarkStart w:id="37" w:name="source_S07"/>
      <w:pPr>
        <w:spacing w:after="40"/>
      </w:pPr>
      <w:r>
        <w:rPr>
          <w:b/>
          <w:sz w:val="19"/>
        </w:rPr>
        <w:t>S07  Canonical source fills and atomic books  |  21ce61d</w:t>
      </w:r>
      <w:bookmarkEnd w:id="37"/>
    </w:p>
    <w:p>
      <w:pPr>
        <w:spacing w:after="40" w:line="240" w:lineRule="auto"/>
      </w:pPr>
      <w:hyperlink r:id="rId11">
        <w:r>
          <w:rPr>
            <w:color w:val="107F7B"/>
            <w:sz w:val="16"/>
          </w:rPr>
          <w:t>research/outputs/playbook_fill_ledger.csv.gz</w:t>
        </w:r>
      </w:hyperlink>
    </w:p>
    <w:p>
      <w:pPr>
        <w:spacing w:after="40" w:line="240" w:lineRule="auto"/>
      </w:pPr>
      <w:hyperlink r:id="rId51">
        <w:r>
          <w:rPr>
            <w:color w:val="107F7B"/>
            <w:sz w:val="16"/>
          </w:rPr>
          <w:t>research/outputs/playbook_event_book.csv.gz</w:t>
        </w:r>
      </w:hyperlink>
    </w:p>
    <w:p>
      <w:pPr>
        <w:spacing w:after="40" w:line="240" w:lineRule="auto"/>
      </w:pPr>
      <w:hyperlink r:id="rId52">
        <w:r>
          <w:rPr>
            <w:color w:val="107F7B"/>
            <w:sz w:val="16"/>
          </w:rPr>
          <w:t>research/final_alpha_attribution/data_quality_and_coverage.csv</w:t>
        </w:r>
      </w:hyperlink>
    </w:p>
    <w:p>
      <w:bookmarkStart w:id="38" w:name="source_S08"/>
      <w:pPr>
        <w:spacing w:after="40"/>
      </w:pPr>
      <w:r>
        <w:rPr>
          <w:b/>
          <w:sz w:val="19"/>
        </w:rPr>
        <w:t>S08  Stored index/option data provenance  |  21ce61d</w:t>
      </w:r>
      <w:bookmarkEnd w:id="38"/>
    </w:p>
    <w:p>
      <w:pPr>
        <w:spacing w:after="40" w:line="240" w:lineRule="auto"/>
      </w:pPr>
      <w:hyperlink r:id="rId12">
        <w:r>
          <w:rPr>
            <w:color w:val="107F7B"/>
            <w:sz w:val="16"/>
          </w:rPr>
          <w:t>data/breeze/normalized/indices</w:t>
        </w:r>
      </w:hyperlink>
    </w:p>
    <w:p>
      <w:pPr>
        <w:spacing w:after="40" w:line="240" w:lineRule="auto"/>
      </w:pPr>
      <w:hyperlink r:id="rId53">
        <w:r>
          <w:rPr>
            <w:color w:val="107F7B"/>
            <w:sz w:val="16"/>
          </w:rPr>
          <w:t>data/breeze/metadata/options</w:t>
        </w:r>
      </w:hyperlink>
    </w:p>
    <w:p>
      <w:pPr>
        <w:spacing w:after="40" w:line="240" w:lineRule="auto"/>
      </w:pPr>
      <w:hyperlink r:id="rId54">
        <w:r>
          <w:rPr>
            <w:color w:val="107F7B"/>
            <w:sz w:val="16"/>
          </w:rPr>
          <w:t>research/final_alpha_attribution/input_audit.json</w:t>
        </w:r>
      </w:hyperlink>
    </w:p>
    <w:p>
      <w:bookmarkStart w:id="39" w:name="source_S09"/>
      <w:pPr>
        <w:spacing w:after="40"/>
      </w:pPr>
      <w:r>
        <w:rPr>
          <w:b/>
          <w:sz w:val="19"/>
        </w:rPr>
        <w:t>S09  Initial entry, seed wings and opening sizes  |  21ce61d</w:t>
      </w:r>
      <w:bookmarkEnd w:id="39"/>
    </w:p>
    <w:p>
      <w:pPr>
        <w:spacing w:after="40" w:line="240" w:lineRule="auto"/>
      </w:pPr>
      <w:hyperlink r:id="rId25">
        <w:r>
          <w:rPr>
            <w:color w:val="107F7B"/>
            <w:sz w:val="16"/>
          </w:rPr>
          <w:t>research/outputs/trigger_initial_entries.csv</w:t>
        </w:r>
      </w:hyperlink>
    </w:p>
    <w:p>
      <w:pPr>
        <w:spacing w:after="40" w:line="240" w:lineRule="auto"/>
      </w:pPr>
      <w:hyperlink r:id="rId55">
        <w:r>
          <w:rPr>
            <w:color w:val="107F7B"/>
            <w:sz w:val="16"/>
          </w:rPr>
          <w:t>research/outputs/trigger_initial_wings.csv</w:t>
        </w:r>
      </w:hyperlink>
    </w:p>
    <w:p>
      <w:pPr>
        <w:spacing w:after="40" w:line="240" w:lineRule="auto"/>
      </w:pPr>
      <w:hyperlink r:id="rId56">
        <w:r>
          <w:rPr>
            <w:color w:val="107F7B"/>
            <w:sz w:val="16"/>
          </w:rPr>
          <w:t>research/outputs/rulebook_opening_allocations.csv</w:t>
        </w:r>
      </w:hyperlink>
    </w:p>
    <w:p>
      <w:bookmarkStart w:id="40" w:name="source_S10"/>
      <w:pPr>
        <w:spacing w:after="40"/>
      </w:pPr>
      <w:r>
        <w:rPr>
          <w:b/>
          <w:sz w:val="19"/>
        </w:rPr>
        <w:t>S10  Recurring windows, retention and fixed-state risks  |  21ce61d</w:t>
      </w:r>
      <w:bookmarkEnd w:id="40"/>
    </w:p>
    <w:p>
      <w:pPr>
        <w:spacing w:after="40" w:line="240" w:lineRule="auto"/>
      </w:pPr>
      <w:hyperlink r:id="rId15">
        <w:r>
          <w:rPr>
            <w:color w:val="107F7B"/>
            <w:sz w:val="16"/>
          </w:rPr>
          <w:t>research/outputs/playbook_allocation_windows.csv</w:t>
        </w:r>
      </w:hyperlink>
    </w:p>
    <w:p>
      <w:pPr>
        <w:spacing w:after="40" w:line="240" w:lineRule="auto"/>
      </w:pPr>
      <w:hyperlink r:id="rId57">
        <w:r>
          <w:rPr>
            <w:color w:val="107F7B"/>
            <w:sz w:val="16"/>
          </w:rPr>
          <w:t>research/outputs/allocation_window_sizes.csv</w:t>
        </w:r>
      </w:hyperlink>
    </w:p>
    <w:p>
      <w:pPr>
        <w:spacing w:after="40" w:line="240" w:lineRule="auto"/>
      </w:pPr>
      <w:hyperlink r:id="rId58">
        <w:r>
          <w:rPr>
            <w:color w:val="107F7B"/>
            <w:sz w:val="16"/>
          </w:rPr>
          <w:t>research/outputs/lifecycle_scheduled_window_retention.csv</w:t>
        </w:r>
      </w:hyperlink>
    </w:p>
    <w:p>
      <w:pPr>
        <w:pStyle w:val="Sourcenote"/>
      </w:pPr>
      <w:r>
        <w:rPr>
          <w:b w:val="0"/>
        </w:rPr>
        <w:t>Additional supporting files: see source map.</w:t>
      </w:r>
    </w:p>
    <w:p>
      <w:bookmarkStart w:id="41" w:name="app_a_cont"/>
      <w:pPr>
        <w:pStyle w:val="Heading2"/>
        <w:pageBreakBefore/>
      </w:pPr>
      <w:r>
        <w:t>Appendix A  Source references (continued)</w:t>
      </w:r>
      <w:bookmarkEnd w:id="41"/>
    </w:p>
    <w:p>
      <w:r>
        <w:rPr>
          <w:b w:val="0"/>
          <w:sz w:val="18"/>
        </w:rPr>
        <w:t>Source IDs in the text and figure notes link to frozen repository evidence. Detailed claim filters, artifact hashes and reproduction commands are in Rahul_Algo8_Report_Sources.md. Research and strong-findings branch identities remain separate.</w:t>
      </w:r>
    </w:p>
    <w:p>
      <w:bookmarkStart w:id="42" w:name="source_S11"/>
      <w:pPr>
        <w:spacing w:after="40"/>
      </w:pPr>
      <w:r>
        <w:rPr>
          <w:b/>
          <w:sz w:val="19"/>
        </w:rPr>
        <w:t>S11  Approximate routine hedge selection  |  21ce61d</w:t>
      </w:r>
      <w:bookmarkEnd w:id="42"/>
    </w:p>
    <w:p>
      <w:pPr>
        <w:spacing w:after="40" w:line="240" w:lineRule="auto"/>
      </w:pPr>
      <w:hyperlink r:id="rId29">
        <w:r>
          <w:rPr>
            <w:color w:val="107F7B"/>
            <w:sz w:val="16"/>
          </w:rPr>
          <w:t>research/outputs/rule_refine_hedge_evaluation.csv</w:t>
        </w:r>
      </w:hyperlink>
    </w:p>
    <w:p>
      <w:pPr>
        <w:spacing w:after="40" w:line="240" w:lineRule="auto"/>
      </w:pPr>
      <w:hyperlink r:id="rId59">
        <w:r>
          <w:rPr>
            <w:color w:val="107F7B"/>
            <w:sz w:val="16"/>
          </w:rPr>
          <w:t>research/RULE_REFINEMENT_FINDINGS.md</w:t>
        </w:r>
      </w:hyperlink>
    </w:p>
    <w:p>
      <w:bookmarkStart w:id="43" w:name="source_S12"/>
      <w:pPr>
        <w:spacing w:after="40"/>
      </w:pPr>
      <w:r>
        <w:rPr>
          <w:b/>
          <w:sz w:val="19"/>
        </w:rPr>
        <w:t>S12  Final short-book closure observations  |  21ce61d</w:t>
      </w:r>
      <w:bookmarkEnd w:id="43"/>
    </w:p>
    <w:p>
      <w:pPr>
        <w:spacing w:after="40" w:line="240" w:lineRule="auto"/>
      </w:pPr>
      <w:hyperlink r:id="rId34">
        <w:r>
          <w:rPr>
            <w:color w:val="107F7B"/>
            <w:sz w:val="16"/>
          </w:rPr>
          <w:t>research/outputs/rule_refine_exit_target_comparison.csv</w:t>
        </w:r>
      </w:hyperlink>
    </w:p>
    <w:p>
      <w:pPr>
        <w:spacing w:after="40" w:line="240" w:lineRule="auto"/>
      </w:pPr>
      <w:hyperlink r:id="rId59">
        <w:r>
          <w:rPr>
            <w:color w:val="107F7B"/>
            <w:sz w:val="16"/>
          </w:rPr>
          <w:t>research/RULE_REFINEMENT_FINDINGS.md</w:t>
        </w:r>
      </w:hyperlink>
    </w:p>
    <w:p>
      <w:bookmarkStart w:id="44" w:name="source_S13"/>
      <w:pPr>
        <w:spacing w:after="40"/>
      </w:pPr>
      <w:r>
        <w:rPr>
          <w:b/>
          <w:sz w:val="19"/>
        </w:rPr>
        <w:t>S13  Fixed reversal motifs and strict controls  |  21ce61d</w:t>
      </w:r>
      <w:bookmarkEnd w:id="44"/>
    </w:p>
    <w:p>
      <w:pPr>
        <w:spacing w:after="40" w:line="240" w:lineRule="auto"/>
      </w:pPr>
      <w:hyperlink r:id="rId33">
        <w:r>
          <w:rPr>
            <w:color w:val="107F7B"/>
            <w:sz w:val="16"/>
          </w:rPr>
          <w:t>research/policy_execution_separation/reversal_motif_ledger.csv</w:t>
        </w:r>
      </w:hyperlink>
    </w:p>
    <w:p>
      <w:pPr>
        <w:spacing w:after="40" w:line="240" w:lineRule="auto"/>
      </w:pPr>
      <w:hyperlink r:id="rId60">
        <w:r>
          <w:rPr>
            <w:color w:val="107F7B"/>
            <w:sz w:val="16"/>
          </w:rPr>
          <w:t>research/policy_execution_separation/quantity_equality_controls.csv</w:t>
        </w:r>
      </w:hyperlink>
    </w:p>
    <w:p>
      <w:pPr>
        <w:spacing w:after="40" w:line="240" w:lineRule="auto"/>
      </w:pPr>
      <w:hyperlink r:id="rId61">
        <w:r>
          <w:rPr>
            <w:color w:val="107F7B"/>
            <w:sz w:val="16"/>
          </w:rPr>
          <w:t>research/policy_execution_separation/control_cycle_uncertainty.csv</w:t>
        </w:r>
      </w:hyperlink>
    </w:p>
    <w:p>
      <w:pPr>
        <w:pStyle w:val="Sourcenote"/>
      </w:pPr>
      <w:r>
        <w:rPr>
          <w:b w:val="0"/>
        </w:rPr>
        <w:t>Additional supporting files: see source map.</w:t>
      </w:r>
    </w:p>
    <w:p>
      <w:bookmarkStart w:id="45" w:name="source_S14"/>
      <w:pPr>
        <w:spacing w:after="40"/>
      </w:pPr>
      <w:r>
        <w:rPr>
          <w:b/>
          <w:sz w:val="19"/>
        </w:rPr>
        <w:t>S14  Direct economic and role/phase ledgers  |  21ce61d</w:t>
      </w:r>
      <w:bookmarkEnd w:id="45"/>
    </w:p>
    <w:p>
      <w:pPr>
        <w:spacing w:after="40" w:line="240" w:lineRule="auto"/>
      </w:pPr>
      <w:hyperlink r:id="rId13">
        <w:r>
          <w:rPr>
            <w:color w:val="107F7B"/>
            <w:sz w:val="16"/>
          </w:rPr>
          <w:t>research/final_alpha_attribution/cycle_economic_results.csv</w:t>
        </w:r>
      </w:hyperlink>
    </w:p>
    <w:p>
      <w:pPr>
        <w:spacing w:after="40" w:line="240" w:lineRule="auto"/>
      </w:pPr>
      <w:hyperlink r:id="rId62">
        <w:r>
          <w:rPr>
            <w:color w:val="107F7B"/>
            <w:sz w:val="16"/>
          </w:rPr>
          <w:t>research/final_alpha_attribution/role_economic_results.csv</w:t>
        </w:r>
      </w:hyperlink>
    </w:p>
    <w:p>
      <w:pPr>
        <w:spacing w:after="40" w:line="240" w:lineRule="auto"/>
      </w:pPr>
      <w:hyperlink r:id="rId63">
        <w:r>
          <w:rPr>
            <w:color w:val="107F7B"/>
            <w:sz w:val="16"/>
          </w:rPr>
          <w:t>research/final_alpha_attribution/phase_economic_results.csv</w:t>
        </w:r>
      </w:hyperlink>
    </w:p>
    <w:p>
      <w:bookmarkStart w:id="46" w:name="source_S15"/>
      <w:pPr>
        <w:spacing w:after="40"/>
      </w:pPr>
      <w:r>
        <w:rPr>
          <w:b/>
          <w:sz w:val="19"/>
        </w:rPr>
        <w:t>S15  Costs, risk, concentration and leave-one-out  |  21ce61d</w:t>
      </w:r>
      <w:bookmarkEnd w:id="46"/>
    </w:p>
    <w:p>
      <w:pPr>
        <w:spacing w:after="40" w:line="240" w:lineRule="auto"/>
      </w:pPr>
      <w:hyperlink r:id="rId20">
        <w:r>
          <w:rPr>
            <w:color w:val="107F7B"/>
            <w:sz w:val="16"/>
          </w:rPr>
          <w:t>research/final_alpha_attribution/cost_stress_results.csv</w:t>
        </w:r>
      </w:hyperlink>
    </w:p>
    <w:p>
      <w:pPr>
        <w:spacing w:after="40" w:line="240" w:lineRule="auto"/>
      </w:pPr>
      <w:hyperlink r:id="rId64">
        <w:r>
          <w:rPr>
            <w:color w:val="107F7B"/>
            <w:sz w:val="16"/>
          </w:rPr>
          <w:t>research/final_alpha_attribution/risk_and_drawdown_summary.csv</w:t>
        </w:r>
      </w:hyperlink>
    </w:p>
    <w:p>
      <w:pPr>
        <w:spacing w:after="40" w:line="240" w:lineRule="auto"/>
      </w:pPr>
      <w:hyperlink r:id="rId65">
        <w:r>
          <w:rPr>
            <w:color w:val="107F7B"/>
            <w:sz w:val="16"/>
          </w:rPr>
          <w:t>research/final_alpha_attribution/leave_one_cycle_out.csv</w:t>
        </w:r>
      </w:hyperlink>
    </w:p>
    <w:p>
      <w:bookmarkStart w:id="47" w:name="source_S16"/>
      <w:pPr>
        <w:spacing w:after="40"/>
      </w:pPr>
      <w:r>
        <w:rPr>
          <w:b/>
          <w:sz w:val="19"/>
        </w:rPr>
        <w:t>S16  Own-IV repricing decomposition  |  21ce61d</w:t>
      </w:r>
      <w:bookmarkEnd w:id="47"/>
    </w:p>
    <w:p>
      <w:pPr>
        <w:spacing w:after="40" w:line="240" w:lineRule="auto"/>
      </w:pPr>
      <w:hyperlink r:id="rId41">
        <w:r>
          <w:rPr>
            <w:color w:val="107F7B"/>
            <w:sz w:val="16"/>
          </w:rPr>
          <w:t>research/final_alpha_attribution/cycle_pnl_decomposition.csv</w:t>
        </w:r>
      </w:hyperlink>
    </w:p>
    <w:p>
      <w:pPr>
        <w:spacing w:after="40" w:line="240" w:lineRule="auto"/>
      </w:pPr>
      <w:hyperlink r:id="rId66">
        <w:r>
          <w:rPr>
            <w:color w:val="107F7B"/>
            <w:sz w:val="16"/>
          </w:rPr>
          <w:t>research/final_alpha_attribution/attribution_interval_ledger.csv.gz</w:t>
        </w:r>
      </w:hyperlink>
    </w:p>
    <w:p>
      <w:bookmarkStart w:id="48" w:name="source_S17"/>
      <w:pPr>
        <w:spacing w:after="40"/>
      </w:pPr>
      <w:r>
        <w:rPr>
          <w:b/>
          <w:sz w:val="19"/>
        </w:rPr>
        <w:t>S17  Fixed common-clock benchmark comparisons  |  21ce61d</w:t>
      </w:r>
      <w:bookmarkEnd w:id="48"/>
    </w:p>
    <w:p>
      <w:pPr>
        <w:spacing w:after="40" w:line="240" w:lineRule="auto"/>
      </w:pPr>
      <w:hyperlink r:id="rId21">
        <w:r>
          <w:rPr>
            <w:color w:val="107F7B"/>
            <w:sz w:val="16"/>
          </w:rPr>
          <w:t>research/final_alpha_attribution/benchmark_comparison.csv</w:t>
        </w:r>
      </w:hyperlink>
    </w:p>
    <w:p>
      <w:pPr>
        <w:spacing w:after="40" w:line="240" w:lineRule="auto"/>
      </w:pPr>
      <w:hyperlink r:id="rId67">
        <w:r>
          <w:rPr>
            <w:color w:val="107F7B"/>
            <w:sz w:val="16"/>
          </w:rPr>
          <w:t>research/final_alpha_attribution/paired_benchmark_differences.csv</w:t>
        </w:r>
      </w:hyperlink>
    </w:p>
    <w:p>
      <w:pPr>
        <w:spacing w:after="40" w:line="240" w:lineRule="auto"/>
      </w:pPr>
      <w:hyperlink r:id="rId68">
        <w:r>
          <w:rPr>
            <w:color w:val="107F7B"/>
            <w:sz w:val="16"/>
          </w:rPr>
          <w:t>research/final_alpha_attribution/benchmark_exposure_ratios.csv</w:t>
        </w:r>
      </w:hyperlink>
    </w:p>
    <w:p>
      <w:bookmarkStart w:id="49" w:name="source_S18"/>
      <w:pPr>
        <w:spacing w:after="40"/>
      </w:pPr>
      <w:r>
        <w:rPr>
          <w:b/>
          <w:sz w:val="19"/>
        </w:rPr>
        <w:t>S18  Final accounting and reproduction validation  |  21ce61d</w:t>
      </w:r>
      <w:bookmarkEnd w:id="49"/>
    </w:p>
    <w:p>
      <w:pPr>
        <w:spacing w:after="40" w:line="240" w:lineRule="auto"/>
      </w:pPr>
      <w:hyperlink r:id="rId22">
        <w:r>
          <w:rPr>
            <w:color w:val="107F7B"/>
            <w:sz w:val="16"/>
          </w:rPr>
          <w:t>research/final_alpha_attribution/validation_audit.json</w:t>
        </w:r>
      </w:hyperlink>
    </w:p>
    <w:p>
      <w:pPr>
        <w:spacing w:after="40" w:line="240" w:lineRule="auto"/>
      </w:pPr>
      <w:hyperlink r:id="rId69">
        <w:r>
          <w:rPr>
            <w:color w:val="107F7B"/>
            <w:sz w:val="16"/>
          </w:rPr>
          <w:t>research/final_alpha_attribution/DATA_QUALITY_AUDIT.md</w:t>
        </w:r>
      </w:hyperlink>
    </w:p>
    <w:p>
      <w:bookmarkStart w:id="50" w:name="source_S19"/>
      <w:pPr>
        <w:spacing w:after="40"/>
      </w:pPr>
      <w:r>
        <w:rPr>
          <w:b/>
          <w:sz w:val="19"/>
        </w:rPr>
        <w:t>S19  Frozen definitions and cost assumptions  |  21ce61d</w:t>
      </w:r>
      <w:bookmarkEnd w:id="50"/>
    </w:p>
    <w:p>
      <w:pPr>
        <w:spacing w:after="40" w:line="240" w:lineRule="auto"/>
      </w:pPr>
      <w:hyperlink r:id="rId36">
        <w:r>
          <w:rPr>
            <w:color w:val="107F7B"/>
            <w:sz w:val="16"/>
          </w:rPr>
          <w:t>research/final_alpha_attribution/REGISTERED_PLAN.md</w:t>
        </w:r>
      </w:hyperlink>
    </w:p>
    <w:p>
      <w:pPr>
        <w:spacing w:after="40" w:line="240" w:lineRule="auto"/>
      </w:pPr>
      <w:hyperlink r:id="rId70">
        <w:r>
          <w:rPr>
            <w:color w:val="107F7B"/>
            <w:sz w:val="16"/>
          </w:rPr>
          <w:t>research/final_alpha_attribution/BENCHMARK_AND_MODEL_CLARIFICATIONS.md</w:t>
        </w:r>
      </w:hyperlink>
    </w:p>
    <w:p>
      <w:pPr>
        <w:spacing w:after="40" w:line="240" w:lineRule="auto"/>
      </w:pPr>
      <w:hyperlink r:id="rId71">
        <w:r>
          <w:rPr>
            <w:color w:val="107F7B"/>
            <w:sz w:val="16"/>
          </w:rPr>
          <w:t>research/intermediate_exit_study/REGISTERED_PLAN.md</w:t>
        </w:r>
      </w:hyperlink>
    </w:p>
    <w:p>
      <w:bookmarkStart w:id="51" w:name="source_S20"/>
      <w:pPr>
        <w:spacing w:after="40"/>
      </w:pPr>
      <w:r>
        <w:rPr>
          <w:b/>
          <w:sz w:val="19"/>
        </w:rPr>
        <w:t>S20  Management and holding-time sensitivities  |  21ce61d</w:t>
      </w:r>
      <w:bookmarkEnd w:id="51"/>
    </w:p>
    <w:p>
      <w:pPr>
        <w:spacing w:after="40" w:line="240" w:lineRule="auto"/>
      </w:pPr>
      <w:hyperlink r:id="rId39">
        <w:r>
          <w:rPr>
            <w:color w:val="107F7B"/>
            <w:sz w:val="16"/>
          </w:rPr>
          <w:t>research/final_alpha_attribution/management_markout_summary.csv</w:t>
        </w:r>
      </w:hyperlink>
    </w:p>
    <w:p>
      <w:pPr>
        <w:spacing w:after="40" w:line="240" w:lineRule="auto"/>
      </w:pPr>
      <w:hyperlink r:id="rId72">
        <w:r>
          <w:rPr>
            <w:color w:val="107F7B"/>
            <w:sz w:val="16"/>
          </w:rPr>
          <w:t>research/final_alpha_attribution/flow_and_holding_attribution.csv</w:t>
        </w:r>
      </w:hyperlink>
    </w:p>
    <w:p>
      <w:pPr>
        <w:spacing w:after="40" w:line="240" w:lineRule="auto"/>
      </w:pPr>
      <w:hyperlink r:id="rId73">
        <w:r>
          <w:rPr>
            <w:color w:val="107F7B"/>
            <w:sz w:val="16"/>
          </w:rPr>
          <w:t>research/final_alpha_attribution/attribution_counterexamples.csv</w:t>
        </w:r>
      </w:hyperlink>
    </w:p>
    <w:p>
      <w:bookmarkStart w:id="52" w:name="app_b"/>
      <w:pPr>
        <w:pStyle w:val="Heading1"/>
        <w:pageBreakBefore/>
      </w:pPr>
      <w:r>
        <w:t>Appendix B  Definitions and cohort boundaries</w:t>
      </w:r>
      <w:bookmarkEnd w:id="52"/>
    </w:p>
    <w:tbl>
      <w:tblPr>
        <w:tblW w:type="auto" w:w="0"/>
        <w:jc w:val="center"/>
        <w:tblLayout w:type="fixed"/>
        <w:tblLook w:firstColumn="1" w:firstRow="1" w:lastColumn="0" w:lastRow="0" w:noHBand="0" w:noVBand="1" w:val="04A0"/>
      </w:tblPr>
      <w:tblGrid>
        <w:gridCol w:w="2880"/>
        <w:gridCol w:w="6768"/>
      </w:tblGrid>
      <w:tr>
        <w:trPr>
          <w:cantSplit/>
          <w:tblHeader/>
        </w:trPr>
        <w:tc>
          <w:tcPr>
            <w:tcW w:type="dxa" w:w="2880"/>
            <w:vAlign w:val="center"/>
            <w:shd w:fill="18394D"/>
            <w:tcMar>
              <w:top w:w="65" w:type="dxa"/>
              <w:bottom w:w="65" w:type="dxa"/>
              <w:left w:w="95" w:type="dxa"/>
              <w:right w:w="95" w:type="dxa"/>
            </w:tcMar>
          </w:tcPr>
          <w:p>
            <w:pPr>
              <w:spacing w:after="0" w:before="0" w:line="245" w:lineRule="auto"/>
            </w:pPr>
            <w:r>
              <w:rPr>
                <w:b/>
                <w:color w:val="FFFFFF"/>
                <w:sz w:val="18"/>
              </w:rPr>
              <w:t>Term / metric</w:t>
            </w:r>
          </w:p>
        </w:tc>
        <w:tc>
          <w:tcPr>
            <w:tcW w:type="dxa" w:w="6768"/>
            <w:vAlign w:val="center"/>
            <w:shd w:fill="18394D"/>
            <w:tcMar>
              <w:top w:w="65" w:type="dxa"/>
              <w:bottom w:w="65" w:type="dxa"/>
              <w:left w:w="95" w:type="dxa"/>
              <w:right w:w="95" w:type="dxa"/>
            </w:tcMar>
          </w:tcPr>
          <w:p>
            <w:pPr>
              <w:spacing w:after="0" w:before="0" w:line="245" w:lineRule="auto"/>
            </w:pPr>
            <w:r>
              <w:rPr>
                <w:b/>
                <w:color w:val="FFFFFF"/>
                <w:sz w:val="18"/>
              </w:rPr>
              <w:t>Definition and boundary</w:t>
            </w:r>
          </w:p>
        </w:tc>
      </w:tr>
      <w:tr>
        <w:trPr>
          <w:cantSplit/>
        </w:trPr>
        <w:tc>
          <w:tcPr>
            <w:tcW w:type="dxa" w:w="2880"/>
            <w:vAlign w:val="center"/>
            <w:shd w:fill="F0F5F6"/>
            <w:tcMar>
              <w:top w:w="65" w:type="dxa"/>
              <w:bottom w:w="65" w:type="dxa"/>
              <w:left w:w="95" w:type="dxa"/>
              <w:right w:w="95" w:type="dxa"/>
            </w:tcMar>
          </w:tcPr>
          <w:p>
            <w:pPr>
              <w:spacing w:after="0" w:before="0" w:line="245" w:lineRule="auto"/>
            </w:pPr>
            <w:r>
              <w:rPr>
                <w:b w:val="0"/>
                <w:color w:val="18394D"/>
                <w:sz w:val="18"/>
              </w:rPr>
              <w:t>Cycle / initialized cohort</w:t>
            </w:r>
          </w:p>
        </w:tc>
        <w:tc>
          <w:tcPr>
            <w:tcW w:type="dxa" w:w="6768"/>
            <w:vAlign w:val="center"/>
            <w:shd w:fill="F0F5F6"/>
            <w:tcMar>
              <w:top w:w="65" w:type="dxa"/>
              <w:bottom w:w="65" w:type="dxa"/>
              <w:left w:w="95" w:type="dxa"/>
              <w:right w:w="95" w:type="dxa"/>
            </w:tcMar>
          </w:tcPr>
          <w:p>
            <w:pPr>
              <w:spacing w:after="0" w:before="0" w:line="245" w:lineRule="auto"/>
            </w:pPr>
            <w:r>
              <w:rPr>
                <w:b w:val="0"/>
                <w:color w:val="18394D"/>
                <w:sz w:val="18"/>
              </w:rPr>
              <w:t>One underlying/expiry pair. Primary economics use 32 pre-expiry starts; three expiry-only starts remain sensitivity-only. Zero prior quantity is assumed, not broker-verified.</w:t>
            </w:r>
          </w:p>
        </w:tc>
      </w:tr>
      <w:tr>
        <w:trPr>
          <w:cantSplit/>
        </w:trPr>
        <w:tc>
          <w:tcPr>
            <w:tcW w:type="dxa" w:w="2880"/>
            <w:vAlign w:val="center"/>
            <w:shd w:fill="FFFFFF"/>
            <w:tcMar>
              <w:top w:w="65" w:type="dxa"/>
              <w:bottom w:w="65" w:type="dxa"/>
              <w:left w:w="95" w:type="dxa"/>
              <w:right w:w="95" w:type="dxa"/>
            </w:tcMar>
          </w:tcPr>
          <w:p>
            <w:pPr>
              <w:spacing w:after="0" w:before="0" w:line="245" w:lineRule="auto"/>
            </w:pPr>
            <w:r>
              <w:rPr>
                <w:b w:val="0"/>
                <w:color w:val="18394D"/>
                <w:sz w:val="18"/>
              </w:rPr>
              <w:t>Ordinary opening vs model match</w:t>
            </w:r>
          </w:p>
        </w:tc>
        <w:tc>
          <w:tcPr>
            <w:tcW w:type="dxa" w:w="6768"/>
            <w:vAlign w:val="center"/>
            <w:shd w:fill="FFFFFF"/>
            <w:tcMar>
              <w:top w:w="65" w:type="dxa"/>
              <w:bottom w:w="65" w:type="dxa"/>
              <w:left w:w="95" w:type="dxa"/>
              <w:right w:w="95" w:type="dxa"/>
            </w:tcMar>
          </w:tcPr>
          <w:p>
            <w:pPr>
              <w:spacing w:after="0" w:before="0" w:line="245" w:lineRule="auto"/>
            </w:pPr>
            <w:r>
              <w:rPr>
                <w:b w:val="0"/>
                <w:color w:val="18394D"/>
                <w:sz w:val="18"/>
              </w:rPr>
              <w:t>31 ordinary paired starts support structural timing. Model 28’s 32-start exact-match tests include the documented delayed exception; gross short, first-wing and net-role targets differ.</w:t>
            </w:r>
          </w:p>
        </w:tc>
      </w:tr>
      <w:tr>
        <w:trPr>
          <w:cantSplit/>
        </w:trPr>
        <w:tc>
          <w:tcPr>
            <w:tcW w:type="dxa" w:w="2880"/>
            <w:vAlign w:val="center"/>
            <w:shd w:fill="F0F5F6"/>
            <w:tcMar>
              <w:top w:w="65" w:type="dxa"/>
              <w:bottom w:w="65" w:type="dxa"/>
              <w:left w:w="95" w:type="dxa"/>
              <w:right w:w="95" w:type="dxa"/>
            </w:tcMar>
          </w:tcPr>
          <w:p>
            <w:pPr>
              <w:spacing w:after="0" w:before="0" w:line="245" w:lineRule="auto"/>
            </w:pPr>
            <w:r>
              <w:rPr>
                <w:b w:val="0"/>
                <w:color w:val="18394D"/>
                <w:sz w:val="18"/>
              </w:rPr>
              <w:t>Recurring-window conjunction</w:t>
            </w:r>
          </w:p>
        </w:tc>
        <w:tc>
          <w:tcPr>
            <w:tcW w:type="dxa" w:w="6768"/>
            <w:vAlign w:val="center"/>
            <w:shd w:fill="F0F5F6"/>
            <w:tcMar>
              <w:top w:w="65" w:type="dxa"/>
              <w:bottom w:w="65" w:type="dxa"/>
              <w:left w:w="95" w:type="dxa"/>
              <w:right w:w="95" w:type="dxa"/>
            </w:tcMar>
          </w:tcPr>
          <w:p>
            <w:pPr>
              <w:spacing w:after="0" w:before="0" w:line="245" w:lineRule="auto"/>
            </w:pPr>
            <w:r>
              <w:rPr>
                <w:b w:val="0"/>
                <w:color w:val="18394D"/>
                <w:sz w:val="18"/>
              </w:rPr>
              <w:t>17 windows×32 sessions. Joint 529/544 requires all conditions on one joined window; 543 have full Greek fits. These rates are descriptive and correlated.</w:t>
            </w:r>
          </w:p>
        </w:tc>
      </w:tr>
      <w:tr>
        <w:trPr>
          <w:cantSplit/>
        </w:trPr>
        <w:tc>
          <w:tcPr>
            <w:tcW w:type="dxa" w:w="2880"/>
            <w:vAlign w:val="center"/>
            <w:shd w:fill="FFFFFF"/>
            <w:tcMar>
              <w:top w:w="65" w:type="dxa"/>
              <w:bottom w:w="65" w:type="dxa"/>
              <w:left w:w="95" w:type="dxa"/>
              <w:right w:w="95" w:type="dxa"/>
            </w:tcMar>
          </w:tcPr>
          <w:p>
            <w:pPr>
              <w:spacing w:after="0" w:before="0" w:line="245" w:lineRule="auto"/>
            </w:pPr>
            <w:r>
              <w:rPr>
                <w:b w:val="0"/>
                <w:color w:val="18394D"/>
                <w:sz w:val="18"/>
              </w:rPr>
              <w:t>Event macro F1</w:t>
            </w:r>
          </w:p>
        </w:tc>
        <w:tc>
          <w:tcPr>
            <w:tcW w:type="dxa" w:w="6768"/>
            <w:vAlign w:val="center"/>
            <w:shd w:fill="FFFFFF"/>
            <w:tcMar>
              <w:top w:w="65" w:type="dxa"/>
              <w:bottom w:w="65" w:type="dxa"/>
              <w:left w:w="95" w:type="dxa"/>
              <w:right w:w="95" w:type="dxa"/>
            </w:tcMar>
          </w:tcPr>
          <w:p>
            <w:pPr>
              <w:spacing w:after="0" w:before="0" w:line="245" w:lineRule="auto"/>
            </w:pPr>
            <w:r>
              <w:rPr>
                <w:b w:val="0"/>
                <w:color w:val="18394D"/>
                <w:sz w:val="18"/>
              </w:rPr>
              <w:t>Mean F1 over four action classes, with exact contract/action within ±2 min. Normalized quantity/path overlaps do not mean exact order/book accuracy.</w:t>
            </w:r>
          </w:p>
        </w:tc>
      </w:tr>
      <w:tr>
        <w:trPr>
          <w:cantSplit/>
        </w:trPr>
        <w:tc>
          <w:tcPr>
            <w:tcW w:type="dxa" w:w="2880"/>
            <w:vAlign w:val="center"/>
            <w:shd w:fill="F0F5F6"/>
            <w:tcMar>
              <w:top w:w="65" w:type="dxa"/>
              <w:bottom w:w="65" w:type="dxa"/>
              <w:left w:w="95" w:type="dxa"/>
              <w:right w:w="95" w:type="dxa"/>
            </w:tcMar>
          </w:tcPr>
          <w:p>
            <w:pPr>
              <w:spacing w:after="0" w:before="0" w:line="245" w:lineRule="auto"/>
            </w:pPr>
            <w:r>
              <w:rPr>
                <w:b w:val="0"/>
                <w:color w:val="18394D"/>
                <w:sz w:val="18"/>
              </w:rPr>
              <w:t>Intermediate reduction episode</w:t>
            </w:r>
          </w:p>
        </w:tc>
        <w:tc>
          <w:tcPr>
            <w:tcW w:type="dxa" w:w="6768"/>
            <w:vAlign w:val="center"/>
            <w:shd w:fill="F0F5F6"/>
            <w:tcMar>
              <w:top w:w="65" w:type="dxa"/>
              <w:bottom w:w="65" w:type="dxa"/>
              <w:left w:w="95" w:type="dxa"/>
              <w:right w:w="95" w:type="dxa"/>
            </w:tcMar>
          </w:tcPr>
          <w:p>
            <w:pPr>
              <w:spacing w:after="0" w:before="0" w:line="245" w:lineRule="auto"/>
            </w:pPr>
            <w:r>
              <w:rPr>
                <w:b w:val="0"/>
                <w:color w:val="18394D"/>
                <w:sz w:val="18"/>
              </w:rPr>
              <w:t>Adjacent same-contract covers within 120 s unless a new opening/date/stratum breaks them. Primary study 3512; chronological test 2200. Features precede event seconds.</w:t>
            </w:r>
          </w:p>
        </w:tc>
      </w:tr>
      <w:tr>
        <w:trPr>
          <w:cantSplit/>
        </w:trPr>
        <w:tc>
          <w:tcPr>
            <w:tcW w:type="dxa" w:w="2880"/>
            <w:vAlign w:val="center"/>
            <w:shd w:fill="FFFFFF"/>
            <w:tcMar>
              <w:top w:w="65" w:type="dxa"/>
              <w:bottom w:w="65" w:type="dxa"/>
              <w:left w:w="95" w:type="dxa"/>
              <w:right w:w="95" w:type="dxa"/>
            </w:tcMar>
          </w:tcPr>
          <w:p>
            <w:pPr>
              <w:spacing w:after="0" w:before="0" w:line="245" w:lineRule="auto"/>
            </w:pPr>
            <w:r>
              <w:rPr>
                <w:b w:val="0"/>
                <w:color w:val="18394D"/>
                <w:sz w:val="18"/>
              </w:rPr>
              <w:t>Final liquidation label</w:t>
            </w:r>
          </w:p>
        </w:tc>
        <w:tc>
          <w:tcPr>
            <w:tcW w:type="dxa" w:w="6768"/>
            <w:vAlign w:val="center"/>
            <w:shd w:fill="FFFFFF"/>
            <w:tcMar>
              <w:top w:w="65" w:type="dxa"/>
              <w:bottom w:w="65" w:type="dxa"/>
              <w:left w:w="95" w:type="dxa"/>
              <w:right w:w="95" w:type="dxa"/>
            </w:tcMar>
          </w:tcPr>
          <w:p>
            <w:pPr>
              <w:spacing w:after="0" w:before="0" w:line="245" w:lineRule="auto"/>
            </w:pPr>
            <w:r>
              <w:rPr>
                <w:b w:val="0"/>
                <w:color w:val="18394D"/>
                <w:sz w:val="18"/>
              </w:rPr>
              <w:t>Expiry, at/after 15:00, after the right’s last received new short, with no shorts at received end. Future data define the outcome only, never trigger features.</w:t>
            </w:r>
          </w:p>
        </w:tc>
      </w:tr>
      <w:tr>
        <w:trPr>
          <w:cantSplit/>
        </w:trPr>
        <w:tc>
          <w:tcPr>
            <w:tcW w:type="dxa" w:w="2880"/>
            <w:vAlign w:val="center"/>
            <w:shd w:fill="F0F5F6"/>
            <w:tcMar>
              <w:top w:w="65" w:type="dxa"/>
              <w:bottom w:w="65" w:type="dxa"/>
              <w:left w:w="95" w:type="dxa"/>
              <w:right w:w="95" w:type="dxa"/>
            </w:tcMar>
          </w:tcPr>
          <w:p>
            <w:pPr>
              <w:spacing w:after="0" w:before="0" w:line="245" w:lineRule="auto"/>
            </w:pPr>
            <w:r>
              <w:rPr>
                <w:b w:val="0"/>
                <w:color w:val="18394D"/>
                <w:sz w:val="18"/>
              </w:rPr>
              <w:t>Reversal/control comparison</w:t>
            </w:r>
          </w:p>
        </w:tc>
        <w:tc>
          <w:tcPr>
            <w:tcW w:type="dxa" w:w="6768"/>
            <w:vAlign w:val="center"/>
            <w:shd w:fill="F0F5F6"/>
            <w:tcMar>
              <w:top w:w="65" w:type="dxa"/>
              <w:bottom w:w="65" w:type="dxa"/>
              <w:left w:w="95" w:type="dxa"/>
              <w:right w:w="95" w:type="dxa"/>
            </w:tcMar>
          </w:tcPr>
          <w:p>
            <w:pPr>
              <w:spacing w:after="0" w:before="0" w:line="245" w:lineRule="auto"/>
            </w:pPr>
            <w:r>
              <w:rPr>
                <w:b w:val="0"/>
                <w:color w:val="18394D"/>
                <w:sz w:val="18"/>
              </w:rPr>
              <w:t>Immutable 59 bounded conservative motifs vs 14 strict same-direction reopen controls. Equality can be forced at one base; weak common support prevents causal inference.</w:t>
            </w:r>
          </w:p>
        </w:tc>
      </w:tr>
      <w:tr>
        <w:trPr>
          <w:cantSplit/>
        </w:trPr>
        <w:tc>
          <w:tcPr>
            <w:tcW w:type="dxa" w:w="2880"/>
            <w:vAlign w:val="center"/>
            <w:shd w:fill="FFFFFF"/>
            <w:tcMar>
              <w:top w:w="65" w:type="dxa"/>
              <w:bottom w:w="65" w:type="dxa"/>
              <w:left w:w="95" w:type="dxa"/>
              <w:right w:w="95" w:type="dxa"/>
            </w:tcMar>
          </w:tcPr>
          <w:p>
            <w:pPr>
              <w:spacing w:after="0" w:before="0" w:line="245" w:lineRule="auto"/>
            </w:pPr>
            <w:r>
              <w:rPr>
                <w:b w:val="0"/>
                <w:color w:val="18394D"/>
                <w:sz w:val="18"/>
              </w:rPr>
              <w:t>Economic identity</w:t>
            </w:r>
          </w:p>
        </w:tc>
        <w:tc>
          <w:tcPr>
            <w:tcW w:type="dxa" w:w="6768"/>
            <w:vAlign w:val="center"/>
            <w:shd w:fill="FFFFFF"/>
            <w:tcMar>
              <w:top w:w="65" w:type="dxa"/>
              <w:bottom w:w="65" w:type="dxa"/>
              <w:left w:w="95" w:type="dxa"/>
              <w:right w:w="95" w:type="dxa"/>
            </w:tcMar>
          </w:tcPr>
          <w:p>
            <w:pPr>
              <w:spacing w:after="0" w:before="0" w:line="245" w:lineRule="auto"/>
            </w:pPr>
            <w:r>
              <w:rPr>
                <w:b w:val="0"/>
                <w:color w:val="18394D"/>
                <w:sz w:val="18"/>
              </w:rPr>
              <w:t>Realized + unrealized = cash + residual quote value. Role, phase and model cuts are alternatives. Missing quotes are not filled with modeled settlement.</w:t>
            </w:r>
          </w:p>
        </w:tc>
      </w:tr>
      <w:tr>
        <w:trPr>
          <w:cantSplit/>
        </w:trPr>
        <w:tc>
          <w:tcPr>
            <w:tcW w:type="dxa" w:w="2880"/>
            <w:vAlign w:val="center"/>
            <w:shd w:fill="F0F5F6"/>
            <w:tcMar>
              <w:top w:w="65" w:type="dxa"/>
              <w:bottom w:w="65" w:type="dxa"/>
              <w:left w:w="95" w:type="dxa"/>
              <w:right w:w="95" w:type="dxa"/>
            </w:tcMar>
          </w:tcPr>
          <w:p>
            <w:pPr>
              <w:spacing w:after="0" w:before="0" w:line="245" w:lineRule="auto"/>
            </w:pPr>
            <w:r>
              <w:rPr>
                <w:b w:val="0"/>
                <w:color w:val="18394D"/>
                <w:sz w:val="18"/>
              </w:rPr>
              <w:t>Fixed cost formula</w:t>
            </w:r>
          </w:p>
        </w:tc>
        <w:tc>
          <w:tcPr>
            <w:tcW w:type="dxa" w:w="6768"/>
            <w:vAlign w:val="center"/>
            <w:shd w:fill="F0F5F6"/>
            <w:tcMar>
              <w:top w:w="65" w:type="dxa"/>
              <w:bottom w:w="65" w:type="dxa"/>
              <w:left w:w="95" w:type="dxa"/>
              <w:right w:w="95" w:type="dxa"/>
            </w:tcMar>
          </w:tcPr>
          <w:p>
            <w:pPr>
              <w:spacing w:after="0" w:before="0" w:line="245" w:lineRule="auto"/>
            </w:pPr>
            <w:r>
              <w:rPr>
                <w:b w:val="0"/>
                <w:color w:val="18394D"/>
                <w:sz w:val="18"/>
              </w:rPr>
              <w:t>Net = quoted gross − a × premium turnover − b × parents − c × executed units. Rates/fees are declared sensitivities, not verified historical charges.</w:t>
            </w:r>
          </w:p>
        </w:tc>
      </w:tr>
      <w:tr>
        <w:trPr>
          <w:cantSplit/>
        </w:trPr>
        <w:tc>
          <w:tcPr>
            <w:tcW w:type="dxa" w:w="2880"/>
            <w:vAlign w:val="center"/>
            <w:shd w:fill="FFFFFF"/>
            <w:tcMar>
              <w:top w:w="65" w:type="dxa"/>
              <w:bottom w:w="65" w:type="dxa"/>
              <w:left w:w="95" w:type="dxa"/>
              <w:right w:w="95" w:type="dxa"/>
            </w:tcMar>
          </w:tcPr>
          <w:p>
            <w:pPr>
              <w:spacing w:after="0" w:before="0" w:line="245" w:lineRule="auto"/>
            </w:pPr>
            <w:r>
              <w:rPr>
                <w:b w:val="0"/>
                <w:color w:val="18394D"/>
                <w:sz w:val="18"/>
              </w:rPr>
              <w:t>Uncertainty and risk</w:t>
            </w:r>
          </w:p>
        </w:tc>
        <w:tc>
          <w:tcPr>
            <w:tcW w:type="dxa" w:w="6768"/>
            <w:vAlign w:val="center"/>
            <w:shd w:fill="FFFFFF"/>
            <w:tcMar>
              <w:top w:w="65" w:type="dxa"/>
              <w:bottom w:w="65" w:type="dxa"/>
              <w:left w:w="95" w:type="dxa"/>
              <w:right w:w="95" w:type="dxa"/>
            </w:tcMar>
          </w:tcPr>
          <w:p>
            <w:pPr>
              <w:spacing w:after="0" w:before="0" w:line="245" w:lineRule="auto"/>
            </w:pPr>
            <w:r>
              <w:rPr>
                <w:b w:val="0"/>
                <w:color w:val="18394D"/>
                <w:sz w:val="18"/>
              </w:rPr>
              <w:t>Whole-cycle bootstrap; no random fill split. Minute drawdown is sampled; expiry-ordered cumulative P&amp;L is not account NAV. Earlier dates were already inspected.</w:t>
            </w:r>
          </w:p>
        </w:tc>
      </w:tr>
    </w:tbl>
    <w:p>
      <w:pPr>
        <w:spacing w:after="0"/>
      </w:pPr>
    </w:p>
    <w:p>
      <w:r>
        <w:rPr>
          <w:b w:val="0"/>
          <w:sz w:val="18"/>
        </w:rPr>
        <w:t xml:space="preserve">Earlier source discrepancies are retained, not overwritten. For example, an older index acquisition audit reports 154 sessions at its earlier timestamp; this report verifies 170 stored files and 63,678 bars directly. The screenshot covers a different period and has not been reproduced. </w:t>
      </w:r>
      <w:hyperlink r:id="rId12">
        <w:r>
          <w:rPr>
            <w:color w:val="107F7B"/>
          </w:rPr>
          <w:t>[S08]</w:t>
        </w:r>
      </w:hyperlink>
      <w:r>
        <w:rPr>
          <w:b w:val="0"/>
          <w:sz w:val="18"/>
        </w:rPr>
        <w:t xml:space="preserve"> </w:t>
      </w:r>
      <w:hyperlink r:id="rId22">
        <w:r>
          <w:rPr>
            <w:color w:val="107F7B"/>
          </w:rPr>
          <w:t>[S18]</w:t>
        </w:r>
      </w:hyperlink>
      <w:r>
        <w:rPr>
          <w:b w:val="0"/>
          <w:sz w:val="18"/>
        </w:rPr>
      </w:r>
    </w:p>
    <w:p>
      <w:bookmarkStart w:id="53" w:name="app_c"/>
      <w:pPr>
        <w:pStyle w:val="Heading1"/>
        <w:pageBreakBefore/>
      </w:pPr>
      <w:r>
        <w:t>Appendix C  Reproduction and validation</w:t>
      </w:r>
      <w:bookmarkEnd w:id="53"/>
    </w:p>
    <w:p>
      <w:r>
        <w:rPr>
          <w:b w:val="0"/>
        </w:rPr>
        <w:t xml:space="preserve">Verified research audit: 252 tests passed and 26 numeric artifacts reproduced exactly. During this synthesis, current code/artifact hashes and 6,674 frozen input hashes were checked against that saved audit. The economic/controller studies were not rerun to choose new rules or change results. These checks validate software/accounting, not trading alpha. </w:t>
      </w:r>
      <w:hyperlink r:id="rId22">
        <w:r>
          <w:rPr>
            <w:color w:val="107F7B"/>
          </w:rPr>
          <w:t>[S18]</w:t>
        </w:r>
      </w:hyperlink>
      <w:r>
        <w:rPr>
          <w:b w:val="0"/>
        </w:rPr>
      </w:r>
    </w:p>
    <w:p>
      <w:pPr>
        <w:pStyle w:val="Heading3"/>
      </w:pPr>
      <w:r>
        <w:rPr>
          <w:b w:val="0"/>
        </w:rPr>
        <w:t>Rebuild this document and its native figures</w:t>
      </w:r>
    </w:p>
    <w:p>
      <w:pPr>
        <w:pStyle w:val="Sourcenote"/>
      </w:pPr>
      <w:r>
        <w:rPr>
          <w:b w:val="0"/>
        </w:rPr>
        <w:t>OPENBLAS_NUM_THREADS=1 python rahul_report_figures/build_report.py</w:t>
        <w:br/>
        <w:t>python rahul_report_figures/validate_report.py</w:t>
      </w:r>
    </w:p>
    <w:p>
      <w:r>
        <w:rPr>
          <w:b w:val="0"/>
          <w:sz w:val="19"/>
        </w:rPr>
        <w:t>The builder reads frozen CSV/JSON evidence, renders 12 PNG/SVG figures, writes DOCX and the source map, then converts DOCX to PDF with LibreOffice. The validator checks page structure, source/figure consistency, internal links and headline values, and renders all pages for inspection. Full ledger/formula inventories remain in the source map and original reports.</w:t>
      </w:r>
    </w:p>
    <w:tbl>
      <w:tblPr>
        <w:tblW w:type="auto" w:w="0"/>
        <w:jc w:val="center"/>
        <w:tblLayout w:type="fixed"/>
        <w:tblLook w:firstColumn="1" w:firstRow="1" w:lastColumn="0" w:lastRow="0" w:noHBand="0" w:noVBand="1" w:val="04A0"/>
      </w:tblPr>
      <w:tblGrid>
        <w:gridCol w:w="864"/>
        <w:gridCol w:w="3960"/>
        <w:gridCol w:w="864"/>
        <w:gridCol w:w="3960"/>
      </w:tblGrid>
      <w:tr>
        <w:trPr>
          <w:cantSplit/>
          <w:tblHeader/>
        </w:trPr>
        <w:tc>
          <w:tcPr>
            <w:tcW w:type="dxa" w:w="864"/>
            <w:vAlign w:val="center"/>
            <w:shd w:fill="18394D"/>
            <w:tcMar>
              <w:top w:w="65" w:type="dxa"/>
              <w:bottom w:w="65" w:type="dxa"/>
              <w:left w:w="95" w:type="dxa"/>
              <w:right w:w="95" w:type="dxa"/>
            </w:tcMar>
          </w:tcPr>
          <w:p>
            <w:pPr>
              <w:spacing w:after="0" w:before="0" w:line="245" w:lineRule="auto"/>
            </w:pPr>
            <w:r>
              <w:rPr>
                <w:b/>
                <w:color w:val="FFFFFF"/>
                <w:sz w:val="18"/>
              </w:rPr>
              <w:t>Figure</w:t>
            </w:r>
          </w:p>
        </w:tc>
        <w:tc>
          <w:tcPr>
            <w:tcW w:type="dxa" w:w="3960"/>
            <w:vAlign w:val="center"/>
            <w:shd w:fill="18394D"/>
            <w:tcMar>
              <w:top w:w="65" w:type="dxa"/>
              <w:bottom w:w="65" w:type="dxa"/>
              <w:left w:w="95" w:type="dxa"/>
              <w:right w:w="95" w:type="dxa"/>
            </w:tcMar>
          </w:tcPr>
          <w:p>
            <w:pPr>
              <w:spacing w:after="0" w:before="0" w:line="245" w:lineRule="auto"/>
            </w:pPr>
            <w:r>
              <w:rPr>
                <w:b/>
                <w:color w:val="FFFFFF"/>
                <w:sz w:val="18"/>
              </w:rPr>
              <w:t>Subject</w:t>
            </w:r>
          </w:p>
        </w:tc>
        <w:tc>
          <w:tcPr>
            <w:tcW w:type="dxa" w:w="864"/>
            <w:vAlign w:val="center"/>
            <w:shd w:fill="18394D"/>
            <w:tcMar>
              <w:top w:w="65" w:type="dxa"/>
              <w:bottom w:w="65" w:type="dxa"/>
              <w:left w:w="95" w:type="dxa"/>
              <w:right w:w="95" w:type="dxa"/>
            </w:tcMar>
          </w:tcPr>
          <w:p>
            <w:pPr>
              <w:spacing w:after="0" w:before="0" w:line="245" w:lineRule="auto"/>
            </w:pPr>
            <w:r>
              <w:rPr>
                <w:b/>
                <w:color w:val="FFFFFF"/>
                <w:sz w:val="18"/>
              </w:rPr>
              <w:t>Figure</w:t>
            </w:r>
          </w:p>
        </w:tc>
        <w:tc>
          <w:tcPr>
            <w:tcW w:type="dxa" w:w="3960"/>
            <w:vAlign w:val="center"/>
            <w:shd w:fill="18394D"/>
            <w:tcMar>
              <w:top w:w="65" w:type="dxa"/>
              <w:bottom w:w="65" w:type="dxa"/>
              <w:left w:w="95" w:type="dxa"/>
              <w:right w:w="95" w:type="dxa"/>
            </w:tcMar>
          </w:tcPr>
          <w:p>
            <w:pPr>
              <w:spacing w:after="0" w:before="0" w:line="245" w:lineRule="auto"/>
            </w:pPr>
            <w:r>
              <w:rPr>
                <w:b/>
                <w:color w:val="FFFFFF"/>
                <w:sz w:val="18"/>
              </w:rPr>
              <w:t>Subject</w:t>
            </w:r>
          </w:p>
        </w:tc>
      </w:tr>
      <w:tr>
        <w:trPr>
          <w:cantSplit/>
        </w:trPr>
        <w:tc>
          <w:tcPr>
            <w:tcW w:type="dxa" w:w="864"/>
            <w:vAlign w:val="center"/>
            <w:shd w:fill="F0F5F6"/>
            <w:tcMar>
              <w:top w:w="65" w:type="dxa"/>
              <w:bottom w:w="65" w:type="dxa"/>
              <w:left w:w="95" w:type="dxa"/>
              <w:right w:w="95" w:type="dxa"/>
            </w:tcMar>
          </w:tcPr>
          <w:p>
            <w:pPr>
              <w:spacing w:after="0" w:before="0" w:line="245" w:lineRule="auto"/>
            </w:pPr>
            <w:r>
              <w:rPr>
                <w:b w:val="0"/>
                <w:color w:val="18394D"/>
                <w:sz w:val="18"/>
              </w:rPr>
              <w:t>1</w:t>
            </w:r>
          </w:p>
        </w:tc>
        <w:tc>
          <w:tcPr>
            <w:tcW w:type="dxa" w:w="3960"/>
            <w:vAlign w:val="center"/>
            <w:shd w:fill="F0F5F6"/>
            <w:tcMar>
              <w:top w:w="65" w:type="dxa"/>
              <w:bottom w:w="65" w:type="dxa"/>
              <w:left w:w="95" w:type="dxa"/>
              <w:right w:w="95" w:type="dxa"/>
            </w:tcMar>
          </w:tcPr>
          <w:p>
            <w:pPr>
              <w:spacing w:after="0" w:before="0" w:line="245" w:lineRule="auto"/>
            </w:pPr>
            <w:r>
              <w:rPr>
                <w:b w:val="0"/>
                <w:color w:val="18394D"/>
                <w:sz w:val="18"/>
              </w:rPr>
              <w:t>Lifecycle / unknown activation</w:t>
            </w:r>
          </w:p>
        </w:tc>
        <w:tc>
          <w:tcPr>
            <w:tcW w:type="dxa" w:w="864"/>
            <w:vAlign w:val="center"/>
            <w:shd w:fill="F0F5F6"/>
            <w:tcMar>
              <w:top w:w="65" w:type="dxa"/>
              <w:bottom w:w="65" w:type="dxa"/>
              <w:left w:w="95" w:type="dxa"/>
              <w:right w:w="95" w:type="dxa"/>
            </w:tcMar>
          </w:tcPr>
          <w:p>
            <w:pPr>
              <w:spacing w:after="0" w:before="0" w:line="245" w:lineRule="auto"/>
            </w:pPr>
            <w:r>
              <w:rPr>
                <w:b w:val="0"/>
                <w:color w:val="18394D"/>
                <w:sz w:val="18"/>
              </w:rPr>
              <w:t>7</w:t>
            </w:r>
          </w:p>
        </w:tc>
        <w:tc>
          <w:tcPr>
            <w:tcW w:type="dxa" w:w="3960"/>
            <w:vAlign w:val="center"/>
            <w:shd w:fill="F0F5F6"/>
            <w:tcMar>
              <w:top w:w="65" w:type="dxa"/>
              <w:bottom w:w="65" w:type="dxa"/>
              <w:left w:w="95" w:type="dxa"/>
              <w:right w:w="95" w:type="dxa"/>
            </w:tcMar>
          </w:tcPr>
          <w:p>
            <w:pPr>
              <w:spacing w:after="0" w:before="0" w:line="245" w:lineRule="auto"/>
            </w:pPr>
            <w:r>
              <w:rPr>
                <w:b w:val="0"/>
                <w:color w:val="18394D"/>
                <w:sz w:val="18"/>
              </w:rPr>
              <w:t>Reversal equality and weak controls</w:t>
            </w:r>
          </w:p>
        </w:tc>
      </w:tr>
      <w:tr>
        <w:trPr>
          <w:cantSplit/>
        </w:trPr>
        <w:tc>
          <w:tcPr>
            <w:tcW w:type="dxa" w:w="864"/>
            <w:vAlign w:val="center"/>
            <w:shd w:fill="FFFFFF"/>
            <w:tcMar>
              <w:top w:w="65" w:type="dxa"/>
              <w:bottom w:w="65" w:type="dxa"/>
              <w:left w:w="95" w:type="dxa"/>
              <w:right w:w="95" w:type="dxa"/>
            </w:tcMar>
          </w:tcPr>
          <w:p>
            <w:pPr>
              <w:spacing w:after="0" w:before="0" w:line="245" w:lineRule="auto"/>
            </w:pPr>
            <w:r>
              <w:rPr>
                <w:b w:val="0"/>
                <w:color w:val="18394D"/>
                <w:sz w:val="18"/>
              </w:rPr>
              <w:t>2</w:t>
            </w:r>
          </w:p>
        </w:tc>
        <w:tc>
          <w:tcPr>
            <w:tcW w:type="dxa" w:w="3960"/>
            <w:vAlign w:val="center"/>
            <w:shd w:fill="FFFFFF"/>
            <w:tcMar>
              <w:top w:w="65" w:type="dxa"/>
              <w:bottom w:w="65" w:type="dxa"/>
              <w:left w:w="95" w:type="dxa"/>
              <w:right w:w="95" w:type="dxa"/>
            </w:tcMar>
          </w:tcPr>
          <w:p>
            <w:pPr>
              <w:spacing w:after="0" w:before="0" w:line="245" w:lineRule="auto"/>
            </w:pPr>
            <w:r>
              <w:rPr>
                <w:b w:val="0"/>
                <w:color w:val="18394D"/>
                <w:sz w:val="18"/>
              </w:rPr>
              <w:t>Observed allocation distributions</w:t>
            </w:r>
          </w:p>
        </w:tc>
        <w:tc>
          <w:tcPr>
            <w:tcW w:type="dxa" w:w="864"/>
            <w:vAlign w:val="center"/>
            <w:shd w:fill="FFFFFF"/>
            <w:tcMar>
              <w:top w:w="65" w:type="dxa"/>
              <w:bottom w:w="65" w:type="dxa"/>
              <w:left w:w="95" w:type="dxa"/>
              <w:right w:w="95" w:type="dxa"/>
            </w:tcMar>
          </w:tcPr>
          <w:p>
            <w:pPr>
              <w:spacing w:after="0" w:before="0" w:line="245" w:lineRule="auto"/>
            </w:pPr>
            <w:r>
              <w:rPr>
                <w:b w:val="0"/>
                <w:color w:val="18394D"/>
                <w:sz w:val="18"/>
              </w:rPr>
              <w:t>8</w:t>
            </w:r>
          </w:p>
        </w:tc>
        <w:tc>
          <w:tcPr>
            <w:tcW w:type="dxa" w:w="3960"/>
            <w:vAlign w:val="center"/>
            <w:shd w:fill="FFFFFF"/>
            <w:tcMar>
              <w:top w:w="65" w:type="dxa"/>
              <w:bottom w:w="65" w:type="dxa"/>
              <w:left w:w="95" w:type="dxa"/>
              <w:right w:w="95" w:type="dxa"/>
            </w:tcMar>
          </w:tcPr>
          <w:p>
            <w:pPr>
              <w:spacing w:after="0" w:before="0" w:line="245" w:lineRule="auto"/>
            </w:pPr>
            <w:r>
              <w:rPr>
                <w:b w:val="0"/>
                <w:color w:val="18394D"/>
                <w:sz w:val="18"/>
              </w:rPr>
              <w:t>Cost-scenario economics</w:t>
            </w:r>
          </w:p>
        </w:tc>
      </w:tr>
      <w:tr>
        <w:trPr>
          <w:cantSplit/>
        </w:trPr>
        <w:tc>
          <w:tcPr>
            <w:tcW w:type="dxa" w:w="864"/>
            <w:vAlign w:val="center"/>
            <w:shd w:fill="F0F5F6"/>
            <w:tcMar>
              <w:top w:w="65" w:type="dxa"/>
              <w:bottom w:w="65" w:type="dxa"/>
              <w:left w:w="95" w:type="dxa"/>
              <w:right w:w="95" w:type="dxa"/>
            </w:tcMar>
          </w:tcPr>
          <w:p>
            <w:pPr>
              <w:spacing w:after="0" w:before="0" w:line="245" w:lineRule="auto"/>
            </w:pPr>
            <w:r>
              <w:rPr>
                <w:b w:val="0"/>
                <w:color w:val="18394D"/>
                <w:sz w:val="18"/>
              </w:rPr>
              <w:t>3</w:t>
            </w:r>
          </w:p>
        </w:tc>
        <w:tc>
          <w:tcPr>
            <w:tcW w:type="dxa" w:w="3960"/>
            <w:vAlign w:val="center"/>
            <w:shd w:fill="F0F5F6"/>
            <w:tcMar>
              <w:top w:w="65" w:type="dxa"/>
              <w:bottom w:w="65" w:type="dxa"/>
              <w:left w:w="95" w:type="dxa"/>
              <w:right w:w="95" w:type="dxa"/>
            </w:tcMar>
          </w:tcPr>
          <w:p>
            <w:pPr>
              <w:spacing w:after="0" w:before="0" w:line="245" w:lineRule="auto"/>
            </w:pPr>
            <w:r>
              <w:rPr>
                <w:b w:val="0"/>
                <w:color w:val="18394D"/>
                <w:sz w:val="18"/>
              </w:rPr>
              <w:t>Joint recurring-window evidence</w:t>
            </w:r>
          </w:p>
        </w:tc>
        <w:tc>
          <w:tcPr>
            <w:tcW w:type="dxa" w:w="864"/>
            <w:vAlign w:val="center"/>
            <w:shd w:fill="F0F5F6"/>
            <w:tcMar>
              <w:top w:w="65" w:type="dxa"/>
              <w:bottom w:w="65" w:type="dxa"/>
              <w:left w:w="95" w:type="dxa"/>
              <w:right w:w="95" w:type="dxa"/>
            </w:tcMar>
          </w:tcPr>
          <w:p>
            <w:pPr>
              <w:spacing w:after="0" w:before="0" w:line="245" w:lineRule="auto"/>
            </w:pPr>
            <w:r>
              <w:rPr>
                <w:b w:val="0"/>
                <w:color w:val="18394D"/>
                <w:sz w:val="18"/>
              </w:rPr>
              <w:t>9</w:t>
            </w:r>
          </w:p>
        </w:tc>
        <w:tc>
          <w:tcPr>
            <w:tcW w:type="dxa" w:w="3960"/>
            <w:vAlign w:val="center"/>
            <w:shd w:fill="F0F5F6"/>
            <w:tcMar>
              <w:top w:w="65" w:type="dxa"/>
              <w:bottom w:w="65" w:type="dxa"/>
              <w:left w:w="95" w:type="dxa"/>
              <w:right w:w="95" w:type="dxa"/>
            </w:tcMar>
          </w:tcPr>
          <w:p>
            <w:pPr>
              <w:spacing w:after="0" w:before="0" w:line="245" w:lineRule="auto"/>
            </w:pPr>
            <w:r>
              <w:rPr>
                <w:b w:val="0"/>
                <w:color w:val="18394D"/>
                <w:sz w:val="18"/>
              </w:rPr>
              <w:t>Profit concentration</w:t>
            </w:r>
          </w:p>
        </w:tc>
      </w:tr>
      <w:tr>
        <w:trPr>
          <w:cantSplit/>
        </w:trPr>
        <w:tc>
          <w:tcPr>
            <w:tcW w:type="dxa" w:w="864"/>
            <w:vAlign w:val="center"/>
            <w:shd w:fill="FFFFFF"/>
            <w:tcMar>
              <w:top w:w="65" w:type="dxa"/>
              <w:bottom w:w="65" w:type="dxa"/>
              <w:left w:w="95" w:type="dxa"/>
              <w:right w:w="95" w:type="dxa"/>
            </w:tcMar>
          </w:tcPr>
          <w:p>
            <w:pPr>
              <w:spacing w:after="0" w:before="0" w:line="245" w:lineRule="auto"/>
            </w:pPr>
            <w:r>
              <w:rPr>
                <w:b w:val="0"/>
                <w:color w:val="18394D"/>
                <w:sz w:val="18"/>
              </w:rPr>
              <w:t>4</w:t>
            </w:r>
          </w:p>
        </w:tc>
        <w:tc>
          <w:tcPr>
            <w:tcW w:type="dxa" w:w="3960"/>
            <w:vAlign w:val="center"/>
            <w:shd w:fill="FFFFFF"/>
            <w:tcMar>
              <w:top w:w="65" w:type="dxa"/>
              <w:bottom w:w="65" w:type="dxa"/>
              <w:left w:w="95" w:type="dxa"/>
              <w:right w:w="95" w:type="dxa"/>
            </w:tcMar>
          </w:tcPr>
          <w:p>
            <w:pPr>
              <w:spacing w:after="0" w:before="0" w:line="245" w:lineRule="auto"/>
            </w:pPr>
            <w:r>
              <w:rPr>
                <w:b w:val="0"/>
                <w:color w:val="18394D"/>
                <w:sz w:val="18"/>
              </w:rPr>
              <w:t>Opening reconstruction</w:t>
            </w:r>
          </w:p>
        </w:tc>
        <w:tc>
          <w:tcPr>
            <w:tcW w:type="dxa" w:w="864"/>
            <w:vAlign w:val="center"/>
            <w:shd w:fill="FFFFFF"/>
            <w:tcMar>
              <w:top w:w="65" w:type="dxa"/>
              <w:bottom w:w="65" w:type="dxa"/>
              <w:left w:w="95" w:type="dxa"/>
              <w:right w:w="95" w:type="dxa"/>
            </w:tcMar>
          </w:tcPr>
          <w:p>
            <w:pPr>
              <w:spacing w:after="0" w:before="0" w:line="245" w:lineRule="auto"/>
            </w:pPr>
            <w:r>
              <w:rPr>
                <w:b w:val="0"/>
                <w:color w:val="18394D"/>
                <w:sz w:val="18"/>
              </w:rPr>
              <w:t>10</w:t>
            </w:r>
          </w:p>
        </w:tc>
        <w:tc>
          <w:tcPr>
            <w:tcW w:type="dxa" w:w="3960"/>
            <w:vAlign w:val="center"/>
            <w:shd w:fill="FFFFFF"/>
            <w:tcMar>
              <w:top w:w="65" w:type="dxa"/>
              <w:bottom w:w="65" w:type="dxa"/>
              <w:left w:w="95" w:type="dxa"/>
              <w:right w:w="95" w:type="dxa"/>
            </w:tcMar>
          </w:tcPr>
          <w:p>
            <w:pPr>
              <w:spacing w:after="0" w:before="0" w:line="245" w:lineRule="auto"/>
            </w:pPr>
            <w:r>
              <w:rPr>
                <w:b w:val="0"/>
                <w:color w:val="18394D"/>
                <w:sz w:val="18"/>
              </w:rPr>
              <w:t>Gross role contributions</w:t>
            </w:r>
          </w:p>
        </w:tc>
      </w:tr>
      <w:tr>
        <w:trPr>
          <w:cantSplit/>
        </w:trPr>
        <w:tc>
          <w:tcPr>
            <w:tcW w:type="dxa" w:w="864"/>
            <w:vAlign w:val="center"/>
            <w:shd w:fill="F0F5F6"/>
            <w:tcMar>
              <w:top w:w="65" w:type="dxa"/>
              <w:bottom w:w="65" w:type="dxa"/>
              <w:left w:w="95" w:type="dxa"/>
              <w:right w:w="95" w:type="dxa"/>
            </w:tcMar>
          </w:tcPr>
          <w:p>
            <w:pPr>
              <w:spacing w:after="0" w:before="0" w:line="245" w:lineRule="auto"/>
            </w:pPr>
            <w:r>
              <w:rPr>
                <w:b w:val="0"/>
                <w:color w:val="18394D"/>
                <w:sz w:val="18"/>
              </w:rPr>
              <w:t>5</w:t>
            </w:r>
          </w:p>
        </w:tc>
        <w:tc>
          <w:tcPr>
            <w:tcW w:type="dxa" w:w="3960"/>
            <w:vAlign w:val="center"/>
            <w:shd w:fill="F0F5F6"/>
            <w:tcMar>
              <w:top w:w="65" w:type="dxa"/>
              <w:bottom w:w="65" w:type="dxa"/>
              <w:left w:w="95" w:type="dxa"/>
              <w:right w:w="95" w:type="dxa"/>
            </w:tcMar>
          </w:tcPr>
          <w:p>
            <w:pPr>
              <w:spacing w:after="0" w:before="0" w:line="245" w:lineRule="auto"/>
            </w:pPr>
            <w:r>
              <w:rPr>
                <w:b w:val="0"/>
                <w:color w:val="18394D"/>
                <w:sz w:val="18"/>
              </w:rPr>
              <w:t>Controller event matching</w:t>
            </w:r>
          </w:p>
        </w:tc>
        <w:tc>
          <w:tcPr>
            <w:tcW w:type="dxa" w:w="864"/>
            <w:vAlign w:val="center"/>
            <w:shd w:fill="F0F5F6"/>
            <w:tcMar>
              <w:top w:w="65" w:type="dxa"/>
              <w:bottom w:w="65" w:type="dxa"/>
              <w:left w:w="95" w:type="dxa"/>
              <w:right w:w="95" w:type="dxa"/>
            </w:tcMar>
          </w:tcPr>
          <w:p>
            <w:pPr>
              <w:spacing w:after="0" w:before="0" w:line="245" w:lineRule="auto"/>
            </w:pPr>
            <w:r>
              <w:rPr>
                <w:b w:val="0"/>
                <w:color w:val="18394D"/>
                <w:sz w:val="18"/>
              </w:rPr>
              <w:t>11</w:t>
            </w:r>
          </w:p>
        </w:tc>
        <w:tc>
          <w:tcPr>
            <w:tcW w:type="dxa" w:w="3960"/>
            <w:vAlign w:val="center"/>
            <w:shd w:fill="F0F5F6"/>
            <w:tcMar>
              <w:top w:w="65" w:type="dxa"/>
              <w:bottom w:w="65" w:type="dxa"/>
              <w:left w:w="95" w:type="dxa"/>
              <w:right w:w="95" w:type="dxa"/>
            </w:tcMar>
          </w:tcPr>
          <w:p>
            <w:pPr>
              <w:spacing w:after="0" w:before="0" w:line="245" w:lineRule="auto"/>
            </w:pPr>
            <w:r>
              <w:rPr>
                <w:b w:val="0"/>
                <w:color w:val="18394D"/>
                <w:sz w:val="18"/>
              </w:rPr>
              <w:t>Modeled repricing and residual</w:t>
            </w:r>
          </w:p>
        </w:tc>
      </w:tr>
      <w:tr>
        <w:trPr>
          <w:cantSplit/>
        </w:trPr>
        <w:tc>
          <w:tcPr>
            <w:tcW w:type="dxa" w:w="864"/>
            <w:vAlign w:val="center"/>
            <w:shd w:fill="FFFFFF"/>
            <w:tcMar>
              <w:top w:w="65" w:type="dxa"/>
              <w:bottom w:w="65" w:type="dxa"/>
              <w:left w:w="95" w:type="dxa"/>
              <w:right w:w="95" w:type="dxa"/>
            </w:tcMar>
          </w:tcPr>
          <w:p>
            <w:pPr>
              <w:spacing w:after="0" w:before="0" w:line="245" w:lineRule="auto"/>
            </w:pPr>
            <w:r>
              <w:rPr>
                <w:b w:val="0"/>
                <w:color w:val="18394D"/>
                <w:sz w:val="18"/>
              </w:rPr>
              <w:t>6</w:t>
            </w:r>
          </w:p>
        </w:tc>
        <w:tc>
          <w:tcPr>
            <w:tcW w:type="dxa" w:w="3960"/>
            <w:vAlign w:val="center"/>
            <w:shd w:fill="FFFFFF"/>
            <w:tcMar>
              <w:top w:w="65" w:type="dxa"/>
              <w:bottom w:w="65" w:type="dxa"/>
              <w:left w:w="95" w:type="dxa"/>
              <w:right w:w="95" w:type="dxa"/>
            </w:tcMar>
          </w:tcPr>
          <w:p>
            <w:pPr>
              <w:spacing w:after="0" w:before="0" w:line="245" w:lineRule="auto"/>
            </w:pPr>
            <w:r>
              <w:rPr>
                <w:b w:val="0"/>
                <w:color w:val="18394D"/>
                <w:sz w:val="18"/>
              </w:rPr>
              <w:t>Exit precision / recall</w:t>
            </w:r>
          </w:p>
        </w:tc>
        <w:tc>
          <w:tcPr>
            <w:tcW w:type="dxa" w:w="864"/>
            <w:vAlign w:val="center"/>
            <w:shd w:fill="FFFFFF"/>
            <w:tcMar>
              <w:top w:w="65" w:type="dxa"/>
              <w:bottom w:w="65" w:type="dxa"/>
              <w:left w:w="95" w:type="dxa"/>
              <w:right w:w="95" w:type="dxa"/>
            </w:tcMar>
          </w:tcPr>
          <w:p>
            <w:pPr>
              <w:spacing w:after="0" w:before="0" w:line="245" w:lineRule="auto"/>
            </w:pPr>
            <w:r>
              <w:rPr>
                <w:b w:val="0"/>
                <w:color w:val="18394D"/>
                <w:sz w:val="18"/>
              </w:rPr>
              <w:t>12</w:t>
            </w:r>
          </w:p>
        </w:tc>
        <w:tc>
          <w:tcPr>
            <w:tcW w:type="dxa" w:w="3960"/>
            <w:vAlign w:val="center"/>
            <w:shd w:fill="FFFFFF"/>
            <w:tcMar>
              <w:top w:w="65" w:type="dxa"/>
              <w:bottom w:w="65" w:type="dxa"/>
              <w:left w:w="95" w:type="dxa"/>
              <w:right w:w="95" w:type="dxa"/>
            </w:tcMar>
          </w:tcPr>
          <w:p>
            <w:pPr>
              <w:spacing w:after="0" w:before="0" w:line="245" w:lineRule="auto"/>
            </w:pPr>
            <w:r>
              <w:rPr>
                <w:b w:val="0"/>
                <w:color w:val="18394D"/>
                <w:sz w:val="18"/>
              </w:rPr>
              <w:t>Paired benchmark uncertainty</w:t>
            </w:r>
          </w:p>
        </w:tc>
      </w:tr>
    </w:tbl>
    <w:p>
      <w:pPr>
        <w:spacing w:after="0"/>
      </w:pPr>
    </w:p>
    <w:p>
      <w:pPr>
        <w:pStyle w:val="Heading3"/>
      </w:pPr>
      <w:r>
        <w:rPr>
          <w:b w:val="0"/>
        </w:rPr>
        <w:t>Preservation and deliverables</w:t>
      </w:r>
    </w:p>
    <w:p>
      <w:r>
        <w:rPr>
          <w:b w:val="0"/>
          <w:sz w:val="19"/>
        </w:rPr>
        <w:t>Editable report: Rahul_Algo8_Reverse_Engineering_Report.docx</w:t>
        <w:br/>
        <w:t>Fixed-layout report: Rahul_Algo8_Reverse_Engineering_Report.pdf</w:t>
        <w:br/>
        <w:t>Native figures/data: rahul_report_figures/</w:t>
        <w:br/>
        <w:t>Provenance: Rahul_Algo8_Report_Sources.md</w:t>
      </w:r>
    </w:p>
    <w:p>
      <w:r>
        <w:rPr>
          <w:b w:val="0"/>
          <w:sz w:val="19"/>
        </w:rPr>
        <w:t>Research artifacts and original selected configurations remain unchanged. The report validation record identifies the generated document/figure hashes, exact verified counts and page inspections. Native figures use repository values, not illustrative data or table screenshots.</w:t>
      </w:r>
    </w:p>
    <w:p>
      <w:r>
        <w:rPr>
          <w:b/>
        </w:rPr>
        <w:t>Research is closed. No proprietary controller or demonstrated economic alpha is claimed.</w:t>
      </w:r>
    </w:p>
    <w:sectPr w:rsidR="00FC693F" w:rsidRPr="0006063C" w:rsidSect="00034616">
      <w:headerReference w:type="default" r:id="rId9"/>
      <w:footerReference w:type="default" r:id="rId10"/>
      <w:pgSz w:w="11905" w:h="16838"/>
      <w:pgMar w:top="1066" w:right="1051" w:bottom="1037" w:left="1051" w:header="446" w:footer="44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color w:val="697885"/>
        <w:sz w:val="16"/>
      </w:rPr>
      <w:t>Prepared for Rahul  •  27 October 2026</w:t>
      <w:tab/>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5"/>
        <w:sz w:val="16"/>
      </w:rPr>
      <w:t>ALGO 8  /  FINAL QUANTITATIVE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40"/>
    </w:pPr>
    <w:rPr>
      <w:rFonts w:ascii="Liberation Sans" w:hAnsi="Liberation Sans"/>
      <w:color w:val="1839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80"/>
      <w:outlineLvl w:val="0"/>
    </w:pPr>
    <w:rPr>
      <w:rFonts w:asciiTheme="majorHAnsi" w:eastAsiaTheme="majorEastAsia" w:hAnsiTheme="majorHAnsi" w:cstheme="majorBidi" w:ascii="Liberation Sans" w:hAnsi="Liberation Sans"/>
      <w:b/>
      <w:bCs/>
      <w:color w:val="18394D"/>
      <w:sz w:val="36"/>
      <w:szCs w:val="28"/>
    </w:rPr>
  </w:style>
  <w:style w:type="paragraph" w:styleId="Heading2">
    <w:name w:val="heading 2"/>
    <w:basedOn w:val="Normal"/>
    <w:next w:val="Normal"/>
    <w:link w:val="Heading2Char"/>
    <w:uiPriority w:val="9"/>
    <w:unhideWhenUsed/>
    <w:qFormat/>
    <w:rsid w:val="00FC693F"/>
    <w:pPr>
      <w:keepNext/>
      <w:keepLines/>
      <w:spacing w:before="60" w:after="180"/>
      <w:outlineLvl w:val="1"/>
    </w:pPr>
    <w:rPr>
      <w:rFonts w:asciiTheme="majorHAnsi" w:eastAsiaTheme="majorEastAsia" w:hAnsiTheme="majorHAnsi" w:cstheme="majorBidi" w:ascii="Liberation Sans" w:hAnsi="Liberation Sans"/>
      <w:b/>
      <w:bCs/>
      <w:color w:val="18394D"/>
      <w:sz w:val="28"/>
      <w:szCs w:val="26"/>
    </w:rPr>
  </w:style>
  <w:style w:type="paragraph" w:styleId="Heading3">
    <w:name w:val="heading 3"/>
    <w:basedOn w:val="Normal"/>
    <w:next w:val="Normal"/>
    <w:link w:val="Heading3Char"/>
    <w:uiPriority w:val="9"/>
    <w:unhideWhenUsed/>
    <w:qFormat/>
    <w:rsid w:val="00FC693F"/>
    <w:pPr>
      <w:keepNext/>
      <w:keepLines/>
      <w:spacing w:before="60" w:after="180"/>
      <w:outlineLvl w:val="2"/>
    </w:pPr>
    <w:rPr>
      <w:rFonts w:asciiTheme="majorHAnsi" w:eastAsiaTheme="majorEastAsia" w:hAnsiTheme="majorHAnsi" w:cstheme="majorBidi" w:ascii="Liberation Sans" w:hAnsi="Liberation Sans"/>
      <w:b/>
      <w:bCs/>
      <w:color w:val="1839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839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18394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color w:val="18394D"/>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Liberation Sans" w:hAnsi="Liberation Sans"/>
      <w:b/>
      <w:bCs/>
      <w:color w:val="18394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line="245" w:lineRule="auto" w:after="180"/>
    </w:pPr>
    <w:rPr>
      <w:rFonts w:ascii="Liberation Sans" w:hAnsi="Liberation Sans"/>
      <w:color w:val="6978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adamAnjaneyulu/Algo-8-Reverse-Engineer/blob/21ce61d/research/outputs/playbook_fill_ledger.csv.gz" TargetMode="External"/><Relationship Id="rId12" Type="http://schemas.openxmlformats.org/officeDocument/2006/relationships/hyperlink" Target="https://github.com/SadamAnjaneyulu/Algo-8-Reverse-Engineer/tree/21ce61d/data/breeze/normalized/indices" TargetMode="External"/><Relationship Id="rId13" Type="http://schemas.openxmlformats.org/officeDocument/2006/relationships/hyperlink" Target="https://github.com/SadamAnjaneyulu/Algo-8-Reverse-Engineer/blob/21ce61d/research/final_alpha_attribution/cycle_economic_results.csv" TargetMode="External"/><Relationship Id="rId14" Type="http://schemas.openxmlformats.org/officeDocument/2006/relationships/hyperlink" Target="https://github.com/SadamAnjaneyulu/Algo-8-Reverse-Engineer/blob/15a0e5e/STRONG_FINDINGS.md" TargetMode="External"/><Relationship Id="rId15" Type="http://schemas.openxmlformats.org/officeDocument/2006/relationships/hyperlink" Target="https://github.com/SadamAnjaneyulu/Algo-8-Reverse-Engineer/blob/21ce61d/research/outputs/playbook_allocation_windows.csv" TargetMode="External"/><Relationship Id="rId16" Type="http://schemas.openxmlformats.org/officeDocument/2006/relationships/hyperlink" Target="https://github.com/SadamAnjaneyulu/Algo-8-Reverse-Engineer/blob/21ce61d/research/hypothesis_controller_search/HYPOTHESIS_CONTROLLER_SEARCH.md" TargetMode="External"/><Relationship Id="rId17" Type="http://schemas.openxmlformats.org/officeDocument/2006/relationships/hyperlink" Target="https://github.com/SadamAnjaneyulu/Algo-8-Reverse-Engineer/blob/21ce61d/research/policy_execution_separation/POLICY_EXECUTION_RECONSTRUCTION.md" TargetMode="External"/><Relationship Id="rId18" Type="http://schemas.openxmlformats.org/officeDocument/2006/relationships/hyperlink" Target="https://github.com/SadamAnjaneyulu/Algo-8-Reverse-Engineer/blob/21ce61d/research/intermediate_exit_study/INTERMEDIATE_EXIT_CONTROLLER.md" TargetMode="External"/><Relationship Id="rId19" Type="http://schemas.openxmlformats.org/officeDocument/2006/relationships/hyperlink" Target="https://github.com/SadamAnjaneyulu/Algo-8-Reverse-Engineer/blob/21ce61d/research/final_alpha_attribution/FINAL_ALPHA_ATTRIBUTION_AND_FALSIFICATION.md" TargetMode="External"/><Relationship Id="rId20" Type="http://schemas.openxmlformats.org/officeDocument/2006/relationships/hyperlink" Target="https://github.com/SadamAnjaneyulu/Algo-8-Reverse-Engineer/blob/21ce61d/research/final_alpha_attribution/cost_stress_results.csv" TargetMode="External"/><Relationship Id="rId21" Type="http://schemas.openxmlformats.org/officeDocument/2006/relationships/hyperlink" Target="https://github.com/SadamAnjaneyulu/Algo-8-Reverse-Engineer/blob/21ce61d/research/final_alpha_attribution/benchmark_comparison.csv" TargetMode="External"/><Relationship Id="rId22" Type="http://schemas.openxmlformats.org/officeDocument/2006/relationships/hyperlink" Target="https://github.com/SadamAnjaneyulu/Algo-8-Reverse-Engineer/blob/21ce61d/research/final_alpha_attribution/validation_audit.json" TargetMode="External"/><Relationship Id="rId23" Type="http://schemas.openxmlformats.org/officeDocument/2006/relationships/hyperlink" Target="https://github.com/SadamAnjaneyulu/Algo-8-Reverse-Engineer/blob/21ce61d/ALLOCATION_ENTRY_EXIT_RISK_PLAYBOOK.md" TargetMode="External"/><Relationship Id="rId24" Type="http://schemas.openxmlformats.org/officeDocument/2006/relationships/image" Target="media/image1.png"/><Relationship Id="rId25" Type="http://schemas.openxmlformats.org/officeDocument/2006/relationships/hyperlink" Target="https://github.com/SadamAnjaneyulu/Algo-8-Reverse-Engineer/blob/21ce61d/research/outputs/trigger_initial_entries.csv" TargetMode="External"/><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hyperlink" Target="https://github.com/SadamAnjaneyulu/Algo-8-Reverse-Engineer/blob/21ce61d/research/outputs/rule_refine_hedge_evaluation.csv" TargetMode="External"/><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hyperlink" Target="https://github.com/SadamAnjaneyulu/Algo-8-Reverse-Engineer/blob/21ce61d/research/policy_execution_separation/reversal_motif_ledger.csv" TargetMode="External"/><Relationship Id="rId34" Type="http://schemas.openxmlformats.org/officeDocument/2006/relationships/hyperlink" Target="https://github.com/SadamAnjaneyulu/Algo-8-Reverse-Engineer/blob/21ce61d/research/outputs/rule_refine_exit_target_comparison.csv" TargetMode="External"/><Relationship Id="rId35" Type="http://schemas.openxmlformats.org/officeDocument/2006/relationships/image" Target="media/image8.png"/><Relationship Id="rId36" Type="http://schemas.openxmlformats.org/officeDocument/2006/relationships/hyperlink" Target="https://github.com/SadamAnjaneyulu/Algo-8-Reverse-Engineer/blob/21ce61d/research/final_alpha_attribution/REGISTERED_PLAN.md" TargetMode="External"/><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hyperlink" Target="https://github.com/SadamAnjaneyulu/Algo-8-Reverse-Engineer/blob/21ce61d/research/final_alpha_attribution/management_markout_summary.csv" TargetMode="External"/><Relationship Id="rId40" Type="http://schemas.openxmlformats.org/officeDocument/2006/relationships/image" Target="media/image11.png"/><Relationship Id="rId41" Type="http://schemas.openxmlformats.org/officeDocument/2006/relationships/hyperlink" Target="https://github.com/SadamAnjaneyulu/Algo-8-Reverse-Engineer/blob/21ce61d/research/final_alpha_attribution/cycle_pnl_decomposition.csv" TargetMode="External"/><Relationship Id="rId42" Type="http://schemas.openxmlformats.org/officeDocument/2006/relationships/image" Target="media/image12.png"/><Relationship Id="rId43" Type="http://schemas.openxmlformats.org/officeDocument/2006/relationships/hyperlink" Target="https://github.com/SadamAnjaneyulu/Algo-8-Reverse-Engineer/blob/21ce61d/research/final_alpha_attribution/final_verdict.json" TargetMode="External"/><Relationship Id="rId44" Type="http://schemas.openxmlformats.org/officeDocument/2006/relationships/hyperlink" Target="https://github.com/SadamAnjaneyulu/Algo-8-Reverse-Engineer/blob/21ce61d/research/outputs/playbook_book_audit.json" TargetMode="External"/><Relationship Id="rId45" Type="http://schemas.openxmlformats.org/officeDocument/2006/relationships/hyperlink" Target="https://github.com/SadamAnjaneyulu/Algo-8-Reverse-Engineer/blob/21ce61d/research/hypothesis_controller_search/outputs/candidate_scores.csv" TargetMode="External"/><Relationship Id="rId46" Type="http://schemas.openxmlformats.org/officeDocument/2006/relationships/hyperlink" Target="https://github.com/SadamAnjaneyulu/Algo-8-Reverse-Engineer/blob/21ce61d/research/hypothesis_controller_search/outputs/search_manifest.json" TargetMode="External"/><Relationship Id="rId47" Type="http://schemas.openxmlformats.org/officeDocument/2006/relationships/hyperlink" Target="https://github.com/SadamAnjaneyulu/Algo-8-Reverse-Engineer/blob/21ce61d/research/policy_execution_separation/policy_vs_execution_comparison.csv" TargetMode="External"/><Relationship Id="rId48" Type="http://schemas.openxmlformats.org/officeDocument/2006/relationships/hyperlink" Target="https://github.com/SadamAnjaneyulu/Algo-8-Reverse-Engineer/blob/21ce61d/research/policy_execution_separation/opening_vs_prior_contradiction.csv" TargetMode="External"/><Relationship Id="rId49" Type="http://schemas.openxmlformats.org/officeDocument/2006/relationships/hyperlink" Target="https://github.com/SadamAnjaneyulu/Algo-8-Reverse-Engineer/blob/21ce61d/research/intermediate_exit_study/ranked_trigger_hypotheses.csv" TargetMode="External"/><Relationship Id="rId50" Type="http://schemas.openxmlformats.org/officeDocument/2006/relationships/hyperlink" Target="https://github.com/SadamAnjaneyulu/Algo-8-Reverse-Engineer/blob/21ce61d/research/intermediate_exit_study/exit_case_ledger.csv.gz" TargetMode="External"/><Relationship Id="rId51" Type="http://schemas.openxmlformats.org/officeDocument/2006/relationships/hyperlink" Target="https://github.com/SadamAnjaneyulu/Algo-8-Reverse-Engineer/blob/21ce61d/research/outputs/playbook_event_book.csv.gz" TargetMode="External"/><Relationship Id="rId52" Type="http://schemas.openxmlformats.org/officeDocument/2006/relationships/hyperlink" Target="https://github.com/SadamAnjaneyulu/Algo-8-Reverse-Engineer/blob/21ce61d/research/final_alpha_attribution/data_quality_and_coverage.csv" TargetMode="External"/><Relationship Id="rId53" Type="http://schemas.openxmlformats.org/officeDocument/2006/relationships/hyperlink" Target="https://github.com/SadamAnjaneyulu/Algo-8-Reverse-Engineer/tree/21ce61d/data/breeze/metadata/options" TargetMode="External"/><Relationship Id="rId54" Type="http://schemas.openxmlformats.org/officeDocument/2006/relationships/hyperlink" Target="https://github.com/SadamAnjaneyulu/Algo-8-Reverse-Engineer/blob/21ce61d/research/final_alpha_attribution/input_audit.json" TargetMode="External"/><Relationship Id="rId55" Type="http://schemas.openxmlformats.org/officeDocument/2006/relationships/hyperlink" Target="https://github.com/SadamAnjaneyulu/Algo-8-Reverse-Engineer/blob/21ce61d/research/outputs/trigger_initial_wings.csv" TargetMode="External"/><Relationship Id="rId56" Type="http://schemas.openxmlformats.org/officeDocument/2006/relationships/hyperlink" Target="https://github.com/SadamAnjaneyulu/Algo-8-Reverse-Engineer/blob/21ce61d/research/outputs/rulebook_opening_allocations.csv" TargetMode="External"/><Relationship Id="rId57" Type="http://schemas.openxmlformats.org/officeDocument/2006/relationships/hyperlink" Target="https://github.com/SadamAnjaneyulu/Algo-8-Reverse-Engineer/blob/21ce61d/research/outputs/allocation_window_sizes.csv" TargetMode="External"/><Relationship Id="rId58" Type="http://schemas.openxmlformats.org/officeDocument/2006/relationships/hyperlink" Target="https://github.com/SadamAnjaneyulu/Algo-8-Reverse-Engineer/blob/21ce61d/research/outputs/lifecycle_scheduled_window_retention.csv" TargetMode="External"/><Relationship Id="rId59" Type="http://schemas.openxmlformats.org/officeDocument/2006/relationships/hyperlink" Target="https://github.com/SadamAnjaneyulu/Algo-8-Reverse-Engineer/blob/21ce61d/research/RULE_REFINEMENT_FINDINGS.md" TargetMode="External"/><Relationship Id="rId60" Type="http://schemas.openxmlformats.org/officeDocument/2006/relationships/hyperlink" Target="https://github.com/SadamAnjaneyulu/Algo-8-Reverse-Engineer/blob/21ce61d/research/policy_execution_separation/quantity_equality_controls.csv" TargetMode="External"/><Relationship Id="rId61" Type="http://schemas.openxmlformats.org/officeDocument/2006/relationships/hyperlink" Target="https://github.com/SadamAnjaneyulu/Algo-8-Reverse-Engineer/blob/21ce61d/research/policy_execution_separation/control_cycle_uncertainty.csv" TargetMode="External"/><Relationship Id="rId62" Type="http://schemas.openxmlformats.org/officeDocument/2006/relationships/hyperlink" Target="https://github.com/SadamAnjaneyulu/Algo-8-Reverse-Engineer/blob/21ce61d/research/final_alpha_attribution/role_economic_results.csv" TargetMode="External"/><Relationship Id="rId63" Type="http://schemas.openxmlformats.org/officeDocument/2006/relationships/hyperlink" Target="https://github.com/SadamAnjaneyulu/Algo-8-Reverse-Engineer/blob/21ce61d/research/final_alpha_attribution/phase_economic_results.csv" TargetMode="External"/><Relationship Id="rId64" Type="http://schemas.openxmlformats.org/officeDocument/2006/relationships/hyperlink" Target="https://github.com/SadamAnjaneyulu/Algo-8-Reverse-Engineer/blob/21ce61d/research/final_alpha_attribution/risk_and_drawdown_summary.csv" TargetMode="External"/><Relationship Id="rId65" Type="http://schemas.openxmlformats.org/officeDocument/2006/relationships/hyperlink" Target="https://github.com/SadamAnjaneyulu/Algo-8-Reverse-Engineer/blob/21ce61d/research/final_alpha_attribution/leave_one_cycle_out.csv" TargetMode="External"/><Relationship Id="rId66" Type="http://schemas.openxmlformats.org/officeDocument/2006/relationships/hyperlink" Target="https://github.com/SadamAnjaneyulu/Algo-8-Reverse-Engineer/blob/21ce61d/research/final_alpha_attribution/attribution_interval_ledger.csv.gz" TargetMode="External"/><Relationship Id="rId67" Type="http://schemas.openxmlformats.org/officeDocument/2006/relationships/hyperlink" Target="https://github.com/SadamAnjaneyulu/Algo-8-Reverse-Engineer/blob/21ce61d/research/final_alpha_attribution/paired_benchmark_differences.csv" TargetMode="External"/><Relationship Id="rId68" Type="http://schemas.openxmlformats.org/officeDocument/2006/relationships/hyperlink" Target="https://github.com/SadamAnjaneyulu/Algo-8-Reverse-Engineer/blob/21ce61d/research/final_alpha_attribution/benchmark_exposure_ratios.csv" TargetMode="External"/><Relationship Id="rId69" Type="http://schemas.openxmlformats.org/officeDocument/2006/relationships/hyperlink" Target="https://github.com/SadamAnjaneyulu/Algo-8-Reverse-Engineer/blob/21ce61d/research/final_alpha_attribution/DATA_QUALITY_AUDIT.md" TargetMode="External"/><Relationship Id="rId70" Type="http://schemas.openxmlformats.org/officeDocument/2006/relationships/hyperlink" Target="https://github.com/SadamAnjaneyulu/Algo-8-Reverse-Engineer/blob/21ce61d/research/final_alpha_attribution/BENCHMARK_AND_MODEL_CLARIFICATIONS.md" TargetMode="External"/><Relationship Id="rId71" Type="http://schemas.openxmlformats.org/officeDocument/2006/relationships/hyperlink" Target="https://github.com/SadamAnjaneyulu/Algo-8-Reverse-Engineer/blob/21ce61d/research/intermediate_exit_study/REGISTERED_PLAN.md" TargetMode="External"/><Relationship Id="rId72" Type="http://schemas.openxmlformats.org/officeDocument/2006/relationships/hyperlink" Target="https://github.com/SadamAnjaneyulu/Algo-8-Reverse-Engineer/blob/21ce61d/research/final_alpha_attribution/flow_and_holding_attribution.csv" TargetMode="External"/><Relationship Id="rId73" Type="http://schemas.openxmlformats.org/officeDocument/2006/relationships/hyperlink" Target="https://github.com/SadamAnjaneyulu/Algo-8-Reverse-Engineer/blob/21ce61d/research/final_alpha_attribution/attribution_counterexample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8 Reverse Engineering: Trading Structure, Execution Evidence and Economic Attribution</dc:title>
  <dc:subject>Final Quantitative Research Report for Rahul</dc:subject>
  <dc:creator>Research synthesis for Rahul</dc:creator>
  <cp:keywords>Algo 8; evidence; options; economic attribution; Outcome B</cp:keywords>
  <dc:description>generated by python-docx</dc:description>
  <cp:lastModifiedBy/>
  <cp:revision>1</cp:revision>
  <dcterms:created xsi:type="dcterms:W3CDTF">2013-12-23T23:15:00Z</dcterms:created>
  <dcterms:modified xsi:type="dcterms:W3CDTF">2013-12-23T23:15:00Z</dcterms:modified>
  <cp:category/>
</cp:coreProperties>
</file>