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6pz7709ozc" w:id="0"/>
      <w:bookmarkEnd w:id="0"/>
      <w:r w:rsidDel="00000000" w:rsidR="00000000" w:rsidRPr="00000000">
        <w:rPr>
          <w:rtl w:val="0"/>
        </w:rPr>
        <w:t xml:space="preserve">Tutorial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3 real world applications of logic gates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 the boolean expression for the following combinational logic gates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36245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 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162550" cy="2047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https://www.nagwa.com/en/videos/536159093041/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gwa.com/en/videos/536159093041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