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Fira Sans" w:cs="Fira Sans" w:eastAsia="Fira Sans" w:hAnsi="Fira Sans"/>
          <w:sz w:val="24"/>
          <w:szCs w:val="24"/>
          <w:u w:val="none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An industrial machine has sensors placed at 4 different locations. If one of the following conditions arises the machine has to be stopped and should fire an alarm.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2 are activated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4 are activated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2, 3, and 4 are activated</w:t>
        <w:tab/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Draw a truth table for the above machine and derive a boolean expression.</w:t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Alarm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result of adding the following two numbers?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0 + 0 = …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0 + 1 = …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+ 0 = …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+ 1 = … and to ... 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200275" cy="143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the following table</w:t>
        <w:tab/>
      </w:r>
    </w:p>
    <w:tbl>
      <w:tblPr>
        <w:tblStyle w:val="Table2"/>
        <w:tblW w:w="3592.0" w:type="dxa"/>
        <w:jc w:val="left"/>
        <w:tblInd w:w="2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898"/>
        <w:gridCol w:w="898"/>
        <w:gridCol w:w="898"/>
        <w:tblGridChange w:id="0">
          <w:tblGrid>
            <w:gridCol w:w="898"/>
            <w:gridCol w:w="898"/>
            <w:gridCol w:w="898"/>
            <w:gridCol w:w="898"/>
          </w:tblGrid>
        </w:tblGridChange>
      </w:tblGrid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SUM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CARY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 the sum and the carry-out put using two input logic gates in the following block diagram. 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19438" cy="20145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1066800</wp:posOffset>
            </wp:positionV>
            <wp:extent cx="895350" cy="744448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44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219075</wp:posOffset>
            </wp:positionV>
            <wp:extent cx="890588" cy="68319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68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logic gates, design a Half Adder logic circuit. 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76650" cy="1819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Half Adder circuit design the full adder logic circuit in the following block diagram. 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38750" cy="3333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