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C1C1C"/>
  <w:body>
    <w:p w:rsidR="00BD1942" w:rsidRDefault="00FA0FA1" w:rsidP="001E34C7">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Gravity Optimizer</w:t>
      </w:r>
    </w:p>
    <w:p w:rsidR="001E34C7" w:rsidRPr="004314C1" w:rsidRDefault="001E34C7" w:rsidP="001E34C7">
      <w:pPr>
        <w:jc w:val="center"/>
        <w:rPr>
          <w:rFonts w:ascii="Times New Roman" w:eastAsia="Times New Roman" w:hAnsi="Times New Roman" w:cs="Times New Roman"/>
          <w:b/>
          <w:sz w:val="28"/>
          <w:szCs w:val="28"/>
        </w:rPr>
      </w:pPr>
    </w:p>
    <w:p w:rsidR="00BD1942" w:rsidRPr="004314C1" w:rsidRDefault="00BD1942" w:rsidP="00706261">
      <w:pPr>
        <w:jc w:val="center"/>
        <w:rPr>
          <w:rFonts w:ascii="Times New Roman" w:eastAsia="Times New Roman" w:hAnsi="Times New Roman" w:cs="Times New Roman"/>
          <w:b/>
          <w:sz w:val="24"/>
          <w:szCs w:val="24"/>
          <w:vertAlign w:val="superscript"/>
        </w:rPr>
      </w:pPr>
      <w:r w:rsidRPr="004314C1">
        <w:rPr>
          <w:rFonts w:ascii="Times New Roman" w:eastAsia="Times New Roman" w:hAnsi="Times New Roman" w:cs="Times New Roman"/>
          <w:b/>
          <w:sz w:val="24"/>
          <w:szCs w:val="24"/>
        </w:rPr>
        <w:t>Dariush Bahrami</w:t>
      </w:r>
      <w:r w:rsidR="00FA0FA1" w:rsidRPr="004314C1">
        <w:rPr>
          <w:rFonts w:ascii="Times New Roman" w:eastAsia="Times New Roman" w:hAnsi="Times New Roman" w:cs="Times New Roman"/>
          <w:b/>
          <w:sz w:val="24"/>
          <w:szCs w:val="24"/>
        </w:rPr>
        <w:t xml:space="preserve"> </w:t>
      </w:r>
      <w:r w:rsidR="00907647" w:rsidRPr="004314C1">
        <w:rPr>
          <w:rFonts w:ascii="Times New Roman" w:eastAsia="Times New Roman" w:hAnsi="Times New Roman" w:cs="Times New Roman"/>
          <w:b/>
          <w:sz w:val="24"/>
          <w:szCs w:val="24"/>
          <w:vertAlign w:val="superscript"/>
        </w:rPr>
        <w:t>1</w:t>
      </w:r>
      <w:r w:rsidR="00907647" w:rsidRPr="004314C1">
        <w:rPr>
          <w:rFonts w:ascii="Times New Roman" w:eastAsia="Times New Roman" w:hAnsi="Times New Roman" w:cs="Times New Roman"/>
          <w:b/>
          <w:sz w:val="24"/>
          <w:szCs w:val="24"/>
        </w:rPr>
        <w:t>;</w:t>
      </w:r>
      <w:r w:rsidR="00FA0FA1" w:rsidRPr="004314C1">
        <w:rPr>
          <w:rFonts w:ascii="Times New Roman" w:eastAsia="Times New Roman" w:hAnsi="Times New Roman" w:cs="Times New Roman"/>
          <w:b/>
          <w:sz w:val="24"/>
          <w:szCs w:val="24"/>
        </w:rPr>
        <w:t xml:space="preserve"> Sadegh Pouriyan Zadeh </w:t>
      </w:r>
      <w:r w:rsidR="00FA0FA1" w:rsidRPr="004314C1">
        <w:rPr>
          <w:rFonts w:ascii="Times New Roman" w:eastAsia="Times New Roman" w:hAnsi="Times New Roman" w:cs="Times New Roman"/>
          <w:b/>
          <w:sz w:val="24"/>
          <w:szCs w:val="24"/>
          <w:vertAlign w:val="superscript"/>
        </w:rPr>
        <w:t>2</w:t>
      </w:r>
    </w:p>
    <w:p w:rsidR="00FA0FA1" w:rsidRPr="004314C1" w:rsidRDefault="00FA0FA1" w:rsidP="00706261">
      <w:pPr>
        <w:jc w:val="center"/>
        <w:rPr>
          <w:rFonts w:ascii="Times New Roman" w:eastAsia="Times New Roman" w:hAnsi="Times New Roman" w:cs="Times New Roman"/>
          <w:b/>
          <w:sz w:val="28"/>
          <w:szCs w:val="28"/>
        </w:rPr>
      </w:pPr>
    </w:p>
    <w:p w:rsidR="001B3B0F"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1 </w:t>
      </w:r>
      <w:r w:rsidRPr="004314C1">
        <w:rPr>
          <w:rFonts w:ascii="Times New Roman" w:eastAsia="Times New Roman" w:hAnsi="Times New Roman" w:cs="Times New Roman"/>
          <w:bCs/>
          <w:sz w:val="24"/>
          <w:szCs w:val="24"/>
        </w:rPr>
        <w:t>Faculty of New Sciences &amp; Technologies, University of Tehran, Tehran, Iran</w:t>
      </w:r>
    </w:p>
    <w:p w:rsidR="00FA0FA1" w:rsidRPr="004314C1" w:rsidRDefault="009E2875" w:rsidP="009E287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sidR="001B3B0F">
        <w:rPr>
          <w:rFonts w:ascii="Times New Roman" w:eastAsia="Times New Roman" w:hAnsi="Times New Roman" w:cs="Times New Roman"/>
          <w:bCs/>
          <w:sz w:val="24"/>
          <w:szCs w:val="24"/>
        </w:rPr>
        <w:t>mail:</w:t>
      </w:r>
      <w:r w:rsidRPr="009E2875">
        <w:t xml:space="preserve"> </w:t>
      </w:r>
      <w:r w:rsidRPr="009E2875">
        <w:rPr>
          <w:rFonts w:ascii="Times New Roman" w:eastAsia="Times New Roman" w:hAnsi="Times New Roman" w:cs="Times New Roman"/>
          <w:bCs/>
          <w:sz w:val="24"/>
          <w:szCs w:val="24"/>
        </w:rPr>
        <w:t>dariush.bahrami@ut.ac.ir</w:t>
      </w:r>
    </w:p>
    <w:p w:rsidR="00FA0FA1" w:rsidRPr="004314C1" w:rsidRDefault="00FA0FA1" w:rsidP="00706261">
      <w:pPr>
        <w:jc w:val="center"/>
        <w:rPr>
          <w:rFonts w:ascii="Times New Roman" w:eastAsia="Times New Roman" w:hAnsi="Times New Roman" w:cs="Times New Roman"/>
          <w:bCs/>
          <w:sz w:val="24"/>
          <w:szCs w:val="24"/>
        </w:rPr>
      </w:pPr>
    </w:p>
    <w:p w:rsidR="00FA0FA1"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2 </w:t>
      </w:r>
      <w:r w:rsidRPr="004314C1">
        <w:rPr>
          <w:rFonts w:ascii="Times New Roman" w:eastAsia="Times New Roman" w:hAnsi="Times New Roman" w:cs="Times New Roman"/>
          <w:bCs/>
          <w:sz w:val="24"/>
          <w:szCs w:val="24"/>
        </w:rPr>
        <w:t>Faculty of New Sciences &amp; Technologies, University of Tehran, Tehran, Iran</w:t>
      </w:r>
    </w:p>
    <w:p w:rsidR="00B667B6" w:rsidRPr="004314C1" w:rsidRDefault="00B667B6" w:rsidP="007062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spouriyanz@ut.ac.ir</w:t>
      </w:r>
    </w:p>
    <w:p w:rsidR="00BD1942" w:rsidRPr="004314C1" w:rsidRDefault="00BD1942" w:rsidP="00706261">
      <w:pPr>
        <w:jc w:val="both"/>
        <w:rPr>
          <w:rFonts w:ascii="Times New Roman" w:eastAsia="Times New Roman" w:hAnsi="Times New Roman" w:cs="Times New Roman"/>
          <w:b/>
          <w:sz w:val="28"/>
          <w:szCs w:val="28"/>
        </w:rPr>
      </w:pPr>
    </w:p>
    <w:p w:rsidR="00BD1942" w:rsidRPr="004314C1" w:rsidRDefault="00BD1942" w:rsidP="00706261">
      <w:pPr>
        <w:jc w:val="both"/>
        <w:rPr>
          <w:rFonts w:ascii="Times New Roman" w:eastAsia="Times New Roman" w:hAnsi="Times New Roman" w:cs="Times New Roman"/>
          <w:b/>
          <w:sz w:val="28"/>
          <w:szCs w:val="28"/>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Abstract</w:t>
      </w:r>
    </w:p>
    <w:p w:rsidR="00072C59" w:rsidRPr="004314C1" w:rsidRDefault="00040758"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نوشتن خلاصه</w:t>
      </w:r>
      <w:r w:rsidR="00FA0FA1" w:rsidRPr="004314C1">
        <w:rPr>
          <w:rFonts w:ascii="Times New Roman" w:eastAsia="Times New Roman" w:hAnsi="Times New Roman" w:cs="Times New Roman" w:hint="cs"/>
          <w:b/>
          <w:sz w:val="28"/>
          <w:szCs w:val="28"/>
          <w:highlight w:val="magenta"/>
          <w:rtl/>
          <w:lang w:bidi="fa-IR"/>
        </w:rPr>
        <w:t xml:space="preserve"> و کلمات کلیدی</w:t>
      </w:r>
      <w:r w:rsidRPr="004314C1">
        <w:rPr>
          <w:rFonts w:ascii="Times New Roman" w:eastAsia="Times New Roman" w:hAnsi="Times New Roman" w:cs="Times New Roman"/>
          <w:b/>
          <w:sz w:val="28"/>
          <w:szCs w:val="28"/>
          <w:highlight w:val="magenta"/>
          <w:rtl/>
        </w:rPr>
        <w:t xml:space="preserve"> </w:t>
      </w:r>
      <w:r w:rsidR="00FA0FA1"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072C59" w:rsidRPr="004314C1" w:rsidRDefault="00FA0FA1" w:rsidP="00706261">
      <w:pPr>
        <w:jc w:val="both"/>
        <w:rPr>
          <w:rFonts w:ascii="Times New Roman" w:eastAsia="Times New Roman" w:hAnsi="Times New Roman" w:cs="Times New Roman"/>
          <w:bCs/>
          <w:sz w:val="28"/>
          <w:szCs w:val="28"/>
          <w:lang w:val="en-US"/>
        </w:rPr>
      </w:pPr>
      <w:r w:rsidRPr="004314C1">
        <w:rPr>
          <w:rFonts w:ascii="Times New Roman" w:eastAsia="Times New Roman" w:hAnsi="Times New Roman" w:cs="Times New Roman"/>
          <w:bCs/>
          <w:sz w:val="28"/>
          <w:szCs w:val="28"/>
          <w:lang w:val="en-US"/>
        </w:rPr>
        <w:t>Keywords:</w:t>
      </w:r>
    </w:p>
    <w:p w:rsidR="00FA0FA1" w:rsidRPr="004314C1" w:rsidRDefault="00FA0FA1" w:rsidP="00706261">
      <w:pPr>
        <w:jc w:val="both"/>
        <w:rPr>
          <w:rFonts w:ascii="Times New Roman" w:eastAsia="Times New Roman" w:hAnsi="Times New Roman" w:cs="Times New Roman"/>
          <w:b/>
          <w:sz w:val="32"/>
          <w:szCs w:val="32"/>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1</w:t>
      </w:r>
      <w:r w:rsidR="00FA0FA1" w:rsidRPr="004314C1">
        <w:rPr>
          <w:rFonts w:ascii="Times New Roman" w:eastAsia="Times New Roman" w:hAnsi="Times New Roman" w:cs="Times New Roman"/>
          <w:b/>
          <w:sz w:val="28"/>
          <w:szCs w:val="28"/>
        </w:rPr>
        <w:t xml:space="preserve">. </w:t>
      </w:r>
      <w:r w:rsidRPr="004314C1">
        <w:rPr>
          <w:rFonts w:ascii="Times New Roman" w:eastAsia="Times New Roman" w:hAnsi="Times New Roman" w:cs="Times New Roman"/>
          <w:b/>
          <w:sz w:val="28"/>
          <w:szCs w:val="28"/>
        </w:rPr>
        <w:t>Introduction</w:t>
      </w:r>
    </w:p>
    <w:p w:rsidR="00397922"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 xml:space="preserve">The question of choosing an adequate optimizer for a deep learning problem is not answered yet. Instead, there are ways like empirical comparing </w:t>
      </w:r>
      <w:r w:rsidRPr="004314C1">
        <w:rPr>
          <w:rFonts w:ascii="Times New Roman" w:eastAsia="Times New Roman" w:hAnsi="Times New Roman" w:cs="Times New Roman"/>
          <w:sz w:val="28"/>
          <w:szCs w:val="28"/>
        </w:rPr>
        <w:fldChar w:fldCharType="begin" w:fldLock="1"/>
      </w:r>
      <w:r w:rsidR="00595701">
        <w:rPr>
          <w:rFonts w:ascii="Times New Roman" w:eastAsia="Times New Roman" w:hAnsi="Times New Roman" w:cs="Times New Roman"/>
          <w:sz w:val="28"/>
          <w:szCs w:val="28"/>
        </w:rPr>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001B3B0F" w:rsidRPr="001B3B0F">
        <w:rPr>
          <w:rFonts w:ascii="Times New Roman" w:eastAsia="Times New Roman" w:hAnsi="Times New Roman" w:cs="Times New Roman"/>
          <w:noProof/>
          <w:sz w:val="28"/>
          <w:szCs w:val="28"/>
        </w:rPr>
        <w:t>[1–3]</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or benchmarking </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[4]</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which help to find better configurations for optimization.</w:t>
      </w:r>
    </w:p>
    <w:p w:rsidR="00706261"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The most common optimization techniques in deep learning are SGD (Stochastic Gradient Descent)</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[5]</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RMS Prop</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[6]</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and Adam</w:t>
      </w:r>
      <w:r w:rsidRPr="004314C1">
        <w:rPr>
          <w:rFonts w:ascii="Times New Roman" w:eastAsia="Times New Roman" w:hAnsi="Times New Roman" w:cs="Times New Roman"/>
          <w:sz w:val="28"/>
          <w:szCs w:val="28"/>
        </w:rPr>
        <w:fldChar w:fldCharType="begin" w:fldLock="1"/>
      </w:r>
      <w:r w:rsidR="00706261" w:rsidRPr="004314C1">
        <w:rPr>
          <w:rFonts w:ascii="Times New Roman" w:eastAsia="Times New Roman" w:hAnsi="Times New Roman" w:cs="Times New Roman"/>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[7]</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Table 1 shows the most common standard optimization techniques or optimizers in chronicle order. Table</w:t>
      </w:r>
      <w:r w:rsidR="00040758" w:rsidRPr="004314C1">
        <w:rPr>
          <w:rFonts w:ascii="Times New Roman" w:eastAsia="Times New Roman" w:hAnsi="Times New Roman" w:cs="Times New Roman"/>
          <w:sz w:val="28"/>
          <w:szCs w:val="28"/>
        </w:rPr>
        <w:t xml:space="preserve"> 1. the most common standard optimizers in deep learning</w:t>
      </w:r>
      <w:r w:rsidRPr="004314C1">
        <w:rPr>
          <w:rFonts w:ascii="Times New Roman" w:eastAsia="Times New Roman" w:hAnsi="Times New Roman" w:cs="Times New Roman"/>
          <w:sz w:val="28"/>
          <w:szCs w:val="28"/>
        </w:rPr>
        <w:t>.</w:t>
      </w:r>
    </w:p>
    <w:p w:rsidR="00706261" w:rsidRPr="00383183" w:rsidRDefault="00706261" w:rsidP="00706261">
      <w:pPr>
        <w:jc w:val="center"/>
        <w:rPr>
          <w:rFonts w:asciiTheme="majorBidi" w:hAnsiTheme="majorBidi" w:cstheme="majorBidi"/>
          <w:sz w:val="24"/>
          <w:szCs w:val="24"/>
        </w:rPr>
      </w:pPr>
      <w:r w:rsidRPr="00383183">
        <w:rPr>
          <w:rFonts w:asciiTheme="majorBidi" w:hAnsiTheme="majorBidi" w:cstheme="majorBidi"/>
          <w:sz w:val="24"/>
          <w:szCs w:val="24"/>
        </w:rPr>
        <w:t>Table 1. 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190"/>
        <w:gridCol w:w="6170"/>
      </w:tblGrid>
      <w:tr w:rsidR="004314C1" w:rsidRPr="00383183" w:rsidTr="00706261">
        <w:tc>
          <w:tcPr>
            <w:tcW w:w="1704" w:type="pct"/>
            <w:tcBorders>
              <w:top w:val="doub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Year Published</w:t>
            </w:r>
          </w:p>
        </w:tc>
        <w:tc>
          <w:tcPr>
            <w:tcW w:w="3296" w:type="pct"/>
            <w:tcBorders>
              <w:top w:val="doub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Optimization technique</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1951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[5]</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1964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[8]</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momentum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[9]</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AdaGrad</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[10]</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AdaDelta</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[6]</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RMSProp</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2013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[11]</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Nesterov momentum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Adamax</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2016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[12]</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Nadam</w:t>
            </w:r>
          </w:p>
        </w:tc>
      </w:tr>
      <w:tr w:rsidR="00706261" w:rsidRPr="00383183" w:rsidTr="00706261">
        <w:tc>
          <w:tcPr>
            <w:tcW w:w="1704" w:type="pct"/>
            <w:tcBorders>
              <w:top w:val="single" w:sz="4" w:space="0" w:color="auto"/>
              <w:left w:val="nil"/>
              <w:bottom w:val="doub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2018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[13]</w:t>
            </w:r>
            <w:r w:rsidRPr="00383183">
              <w:rPr>
                <w:rFonts w:asciiTheme="majorBidi" w:hAnsiTheme="majorBidi" w:cstheme="majorBidi"/>
                <w:sz w:val="24"/>
                <w:szCs w:val="24"/>
              </w:rPr>
              <w:fldChar w:fldCharType="end"/>
            </w:r>
          </w:p>
        </w:tc>
        <w:tc>
          <w:tcPr>
            <w:tcW w:w="3296" w:type="pct"/>
            <w:tcBorders>
              <w:top w:val="single" w:sz="4" w:space="0" w:color="auto"/>
              <w:bottom w:val="doub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AMSGrad</w:t>
            </w:r>
          </w:p>
        </w:tc>
      </w:tr>
    </w:tbl>
    <w:p w:rsidR="00706261" w:rsidRPr="004314C1" w:rsidRDefault="00706261" w:rsidP="00706261">
      <w:pPr>
        <w:jc w:val="both"/>
        <w:rPr>
          <w:rFonts w:asciiTheme="majorBidi" w:hAnsiTheme="majorBidi" w:cstheme="majorBidi"/>
          <w:sz w:val="28"/>
          <w:szCs w:val="28"/>
        </w:rPr>
      </w:pPr>
    </w:p>
    <w:p w:rsidR="00072C59" w:rsidRPr="004314C1" w:rsidRDefault="00040758" w:rsidP="00706261">
      <w:pPr>
        <w:spacing w:before="240" w:after="240"/>
        <w:jc w:val="center"/>
        <w:rPr>
          <w:rFonts w:ascii="Times New Roman" w:eastAsia="Times New Roman" w:hAnsi="Times New Roman" w:cs="Times New Roman"/>
          <w:sz w:val="28"/>
          <w:szCs w:val="28"/>
          <w:highlight w:val="magenta"/>
        </w:rPr>
      </w:pPr>
      <w:r w:rsidRPr="004314C1">
        <w:rPr>
          <w:rFonts w:ascii="Times New Roman" w:eastAsia="Times New Roman" w:hAnsi="Times New Roman" w:cs="Times New Roman"/>
          <w:sz w:val="28"/>
          <w:szCs w:val="28"/>
          <w:highlight w:val="magenta"/>
        </w:rPr>
        <w:t xml:space="preserve"># TODO: </w:t>
      </w:r>
      <w:r w:rsidRPr="004314C1">
        <w:rPr>
          <w:rFonts w:ascii="Times New Roman" w:eastAsia="Times New Roman" w:hAnsi="Times New Roman" w:cs="Times New Roman"/>
          <w:sz w:val="28"/>
          <w:szCs w:val="28"/>
          <w:highlight w:val="magenta"/>
          <w:rtl/>
        </w:rPr>
        <w:t>اینو تا 2 پاراگراف دیگه باید ادامه بدی</w:t>
      </w:r>
    </w:p>
    <w:p w:rsidR="00383183" w:rsidRDefault="00383183" w:rsidP="00383183">
      <w:pPr>
        <w:spacing w:before="240" w:after="240"/>
        <w:jc w:val="both"/>
        <w:rPr>
          <w:rFonts w:ascii="Times New Roman" w:eastAsia="Times New Roman" w:hAnsi="Times New Roman" w:cs="Times New Roman"/>
          <w:sz w:val="28"/>
          <w:szCs w:val="28"/>
          <w:rtl/>
          <w:lang w:val="en-US"/>
        </w:rPr>
      </w:pPr>
      <w:r w:rsidRPr="00383183">
        <w:rPr>
          <w:rFonts w:ascii="Times New Roman" w:eastAsia="Times New Roman" w:hAnsi="Times New Roman" w:cs="Times New Roman"/>
          <w:sz w:val="28"/>
          <w:szCs w:val="28"/>
          <w:lang w:val="en-US"/>
        </w:rPr>
        <w:t>The rest of this article consists of the following sections. Section 2 describes the theory and mathematics of gravity optimizer. In the following, the behavior and effect of each hyperparameter are explained and at the end of this section, the best hyperparameters obtained are suggested. Section 3 presents the tools used for the benchmark (including hardware, framework, and data set) and the architecture chosen. Then the settings used in the optimizers (including hyperparameters and overfitting techniques) are reported in detail. In Section 4, the results obtained from the training of each dataset on the selected architecture are reported in its own subsection. At the end of each subsection, the performance of the gravity optimizer is analyzed relative to the other two standard optimizers used. The final section provides a brief summary of the results obtained and what needs to be done in the future on the gravity optimizer.</w:t>
      </w:r>
    </w:p>
    <w:p w:rsidR="00072C59" w:rsidRPr="00383183" w:rsidRDefault="00040758" w:rsidP="00706261">
      <w:pPr>
        <w:spacing w:before="240" w:after="240"/>
        <w:jc w:val="both"/>
        <w:rPr>
          <w:rFonts w:ascii="Times New Roman" w:eastAsia="Times New Roman" w:hAnsi="Times New Roman" w:cs="Times New Roman"/>
          <w:b/>
          <w:sz w:val="28"/>
          <w:szCs w:val="28"/>
        </w:rPr>
      </w:pPr>
      <w:r w:rsidRPr="00383183">
        <w:rPr>
          <w:rFonts w:ascii="Times New Roman" w:eastAsia="Times New Roman" w:hAnsi="Times New Roman" w:cs="Times New Roman"/>
          <w:b/>
          <w:sz w:val="28"/>
          <w:szCs w:val="28"/>
        </w:rPr>
        <w:t>2 Algorithm</w:t>
      </w:r>
    </w:p>
    <w:p w:rsidR="00706261" w:rsidRDefault="00B667B6" w:rsidP="00706261">
      <w:pPr>
        <w:spacing w:before="240" w:after="240"/>
        <w:jc w:val="both"/>
        <w:rPr>
          <w:rFonts w:ascii="Times New Roman" w:eastAsia="Times New Roman" w:hAnsi="Times New Roman" w:cs="Times New Roman"/>
          <w:bCs/>
          <w:sz w:val="28"/>
          <w:szCs w:val="28"/>
        </w:rPr>
      </w:pPr>
      <w:r w:rsidRPr="00B667B6">
        <w:rPr>
          <w:rFonts w:ascii="Times New Roman" w:eastAsia="Times New Roman" w:hAnsi="Times New Roman" w:cs="Times New Roman"/>
          <w:bCs/>
          <w:sz w:val="28"/>
          <w:szCs w:val="28"/>
        </w:rPr>
        <w:t>2.1</w:t>
      </w:r>
      <w:r>
        <w:rPr>
          <w:rFonts w:ascii="Times New Roman" w:eastAsia="Times New Roman" w:hAnsi="Times New Roman" w:cs="Times New Roman"/>
          <w:bCs/>
          <w:sz w:val="28"/>
          <w:szCs w:val="28"/>
        </w:rPr>
        <w:t xml:space="preserve"> physical idea</w:t>
      </w:r>
    </w:p>
    <w:p w:rsidR="00B667B6" w:rsidRDefault="00B667B6"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 new look at optimizer</w:t>
      </w:r>
    </w:p>
    <w:p w:rsidR="00B667B6" w:rsidRDefault="00B667B6" w:rsidP="00B667B6">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algorithm pseudo code</w:t>
      </w:r>
    </w:p>
    <w:p w:rsidR="00B667B6" w:rsidRPr="00B667B6" w:rsidRDefault="00B667B6" w:rsidP="00B667B6">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hyperparameters</w:t>
      </w:r>
    </w:p>
    <w:p w:rsidR="00706261" w:rsidRPr="00B667B6" w:rsidRDefault="00706261" w:rsidP="00B667B6">
      <w:pPr>
        <w:spacing w:before="240" w:after="240"/>
        <w:rPr>
          <w:rFonts w:asciiTheme="majorBidi" w:hAnsiTheme="majorBidi" w:cstheme="majorBidi"/>
          <w:b/>
          <w:bCs/>
          <w:sz w:val="28"/>
          <w:szCs w:val="28"/>
        </w:rPr>
      </w:pPr>
      <w:r w:rsidRPr="00B667B6">
        <w:rPr>
          <w:rFonts w:asciiTheme="majorBidi" w:hAnsiTheme="majorBidi" w:cstheme="majorBidi"/>
          <w:b/>
          <w:bCs/>
          <w:sz w:val="28"/>
          <w:szCs w:val="28"/>
        </w:rPr>
        <w:t>3. Benchmark Configuration</w:t>
      </w:r>
    </w:p>
    <w:p w:rsidR="00706261" w:rsidRPr="00B667B6" w:rsidRDefault="00706261" w:rsidP="00B667B6">
      <w:pPr>
        <w:rPr>
          <w:rFonts w:asciiTheme="majorBidi" w:hAnsiTheme="majorBidi" w:cstheme="majorBidi"/>
          <w:sz w:val="28"/>
          <w:szCs w:val="28"/>
        </w:rPr>
      </w:pPr>
      <w:r w:rsidRPr="00B667B6">
        <w:rPr>
          <w:rFonts w:asciiTheme="majorBidi" w:hAnsiTheme="majorBidi" w:cstheme="majorBidi"/>
          <w:sz w:val="28"/>
          <w:szCs w:val="28"/>
          <w:highlight w:val="red"/>
        </w:rPr>
        <w:t xml:space="preserve">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train the </w:t>
      </w:r>
      <w:r w:rsidRPr="00B667B6">
        <w:rPr>
          <w:rFonts w:asciiTheme="majorBidi" w:hAnsiTheme="majorBidi" w:cstheme="majorBidi"/>
          <w:sz w:val="28"/>
          <w:szCs w:val="28"/>
          <w:highlight w:val="red"/>
        </w:rPr>
        <w:lastRenderedPageBreak/>
        <w:t>same datasets we used. If results are not reported by other papers, the tests have been performed by us.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3.1 Hardware</w:t>
      </w:r>
    </w:p>
    <w:p w:rsidR="00706261" w:rsidRPr="004314C1" w:rsidRDefault="00706261" w:rsidP="00907647">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w:t>
      </w:r>
      <w:hyperlink r:id="rId7" w:history="1">
        <w:r w:rsidRPr="004314C1">
          <w:rPr>
            <w:rStyle w:val="Hyperlink"/>
            <w:rFonts w:asciiTheme="majorBidi" w:hAnsiTheme="majorBidi" w:cstheme="majorBidi"/>
            <w:color w:val="auto"/>
            <w:sz w:val="28"/>
            <w:szCs w:val="28"/>
          </w:rPr>
          <w:t>Google Colab</w:t>
        </w:r>
      </w:hyperlink>
      <w:r w:rsidRPr="004314C1">
        <w:rPr>
          <w:rFonts w:asciiTheme="majorBidi" w:hAnsiTheme="majorBidi" w:cstheme="majorBidi"/>
          <w:sz w:val="28"/>
          <w:szCs w:val="28"/>
        </w:rPr>
        <w:t xml:space="preserve">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{"citationItems":[{"id":"ITEM-1","itemData":{"author":[{"dropping-particle":"","family":"Bisong","given":"Ekaba","non-dropping-particle":"","parse-names":false,"suffix":""}],"container-title":"Building Machine Learning and Deep Learning Models on Google Cloud Platform","id":"ITEM-1","issued":{"date-parts":[["2019"]]},"page":"59-64","publisher":"Springer","title":"Google Colaboratory","type":"chapter"},"uris":["http://www.mendeley.com/documents/?uuid=2ebe6dc3-2792-4061-a5b1-e80975c263d9"]}],"mendeley":{"formattedCitation":"[14]","plainTextFormattedCitation":"[14]","previouslyFormattedCitation":"[14]"},"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[14]</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as hardware because we couldn’t afford GPU for training deep neural network models and testing our ideas. We used </w:t>
      </w:r>
      <w:r w:rsidRPr="00907647">
        <w:rPr>
          <w:rFonts w:asciiTheme="majorBidi" w:hAnsiTheme="majorBidi" w:cstheme="majorBidi"/>
          <w:sz w:val="28"/>
          <w:szCs w:val="28"/>
          <w:lang w:val="en-US" w:bidi="fa-IR"/>
        </w:rPr>
        <w:t>Tensor</w:t>
      </w:r>
      <w:r w:rsidR="00907647" w:rsidRPr="00907647">
        <w:rPr>
          <w:rFonts w:asciiTheme="majorBidi" w:hAnsiTheme="majorBidi" w:cstheme="majorBidi"/>
          <w:sz w:val="28"/>
          <w:szCs w:val="28"/>
          <w:lang w:val="en-US" w:bidi="fa-IR"/>
        </w:rPr>
        <w:t>F</w:t>
      </w:r>
      <w:r w:rsidRPr="00907647">
        <w:rPr>
          <w:rFonts w:asciiTheme="majorBidi" w:hAnsiTheme="majorBidi" w:cstheme="majorBidi"/>
          <w:sz w:val="28"/>
          <w:szCs w:val="28"/>
          <w:lang w:val="en-US" w:bidi="fa-IR"/>
        </w:rPr>
        <w:t>low’s</w:t>
      </w:r>
      <w:r w:rsidRPr="004314C1">
        <w:rPr>
          <w:rFonts w:asciiTheme="majorBidi" w:hAnsiTheme="majorBidi" w:cstheme="majorBidi"/>
          <w:sz w:val="28"/>
          <w:szCs w:val="28"/>
        </w:rPr>
        <w:t xml:space="preserve"> high-level API, Keras, as a framework to build the model in the Python language. The python implementation code can be found in </w:t>
      </w:r>
      <w:hyperlink r:id="rId8"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Also, we were given the chance to use TPUs (Tensor Processing Unit: Google’s custom-developed technology to accelerate machine learning workloads) by using Google Colab and TensorFlow together.</w:t>
      </w:r>
    </w:p>
    <w:p w:rsidR="00706261" w:rsidRPr="004314C1" w:rsidRDefault="00706261" w:rsidP="00706261">
      <w:pPr>
        <w:spacing w:before="240" w:after="240"/>
        <w:jc w:val="both"/>
        <w:rPr>
          <w:rFonts w:asciiTheme="majorBidi" w:hAnsiTheme="majorBidi" w:cstheme="majorBidi"/>
          <w:sz w:val="28"/>
          <w:szCs w:val="28"/>
        </w:rPr>
      </w:pPr>
      <w:bookmarkStart w:id="0" w:name="_3.2_Datasets"/>
      <w:bookmarkEnd w:id="0"/>
      <w:r w:rsidRPr="004314C1">
        <w:rPr>
          <w:rFonts w:asciiTheme="majorBidi" w:hAnsiTheme="majorBidi" w:cstheme="majorBidi"/>
          <w:sz w:val="28"/>
          <w:szCs w:val="28"/>
        </w:rPr>
        <w:t>3.2 Datasets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the following standard datasets to evaluate the performance of Gravity optimizer: MNIST, Fashion-MNIST, CIFAR-10, CIFAR-100 (Coarse), and CIFAR-100 (Fine). The MNIST database of handwritten digits is a subset of a larger set available from NIST. The images of digits have been size-normalized and centered in a fixed-size image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[15]</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The Fashion-MNIST is a dataset containing images of 10 classes. The 10 different classes are T-shirt, Trouser, Pullover, Dress, Coat, Sandal, Shirt, Sneaker, Bag, and Ankle boot</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[16]</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 is a subset of the 80 million tiny images dataset in 10 classes. The 10 different classes represent airplanes, cars, birds, cats, deer, dogs, frogs, horses, ships, and trucks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CIFAR-100 is just like the CIFAR-10, except it has 100 classes containing 600 images each. The 100 classes in the CIFAR-100 are grouped into 20 </w:t>
      </w:r>
      <w:r w:rsidR="0050572C" w:rsidRPr="004314C1">
        <w:rPr>
          <w:rFonts w:asciiTheme="majorBidi" w:hAnsiTheme="majorBidi" w:cstheme="majorBidi"/>
          <w:sz w:val="28"/>
          <w:szCs w:val="28"/>
        </w:rPr>
        <w:t>super classes</w:t>
      </w:r>
      <w:r w:rsidRPr="004314C1">
        <w:rPr>
          <w:rFonts w:asciiTheme="majorBidi" w:hAnsiTheme="majorBidi" w:cstheme="majorBidi"/>
          <w:sz w:val="28"/>
          <w:szCs w:val="28"/>
        </w:rPr>
        <w:t>.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Table 2 summarizes the detailed information of the datasets used.</w:t>
      </w:r>
    </w:p>
    <w:p w:rsidR="00706261" w:rsidRPr="004314C1" w:rsidRDefault="00706261" w:rsidP="00D15830">
      <w:pPr>
        <w:spacing w:before="240" w:after="240"/>
        <w:jc w:val="center"/>
        <w:rPr>
          <w:rFonts w:asciiTheme="majorBidi" w:hAnsiTheme="majorBidi" w:cstheme="majorBidi"/>
          <w:sz w:val="24"/>
          <w:szCs w:val="24"/>
        </w:rPr>
      </w:pPr>
      <w:r w:rsidRPr="004314C1">
        <w:rPr>
          <w:rFonts w:asciiTheme="majorBidi" w:hAnsiTheme="majorBidi" w:cstheme="majorBidi"/>
          <w:sz w:val="24"/>
          <w:szCs w:val="24"/>
        </w:rPr>
        <w:t>Table 2. 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003"/>
        <w:gridCol w:w="1112"/>
        <w:gridCol w:w="945"/>
        <w:gridCol w:w="1067"/>
        <w:gridCol w:w="1194"/>
        <w:gridCol w:w="2039"/>
      </w:tblGrid>
      <w:tr w:rsidR="00595701" w:rsidRPr="004314C1" w:rsidTr="00595701">
        <w:trPr>
          <w:trHeight w:val="20"/>
        </w:trPr>
        <w:tc>
          <w:tcPr>
            <w:tcW w:w="1604" w:type="pct"/>
            <w:tcBorders>
              <w:top w:val="doub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Dataset</w:t>
            </w:r>
          </w:p>
        </w:tc>
        <w:tc>
          <w:tcPr>
            <w:tcW w:w="594"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Train #</w:t>
            </w:r>
          </w:p>
        </w:tc>
        <w:tc>
          <w:tcPr>
            <w:tcW w:w="505"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Test #</w:t>
            </w:r>
          </w:p>
        </w:tc>
        <w:tc>
          <w:tcPr>
            <w:tcW w:w="570"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Class #</w:t>
            </w:r>
          </w:p>
        </w:tc>
        <w:tc>
          <w:tcPr>
            <w:tcW w:w="638"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Shape</w:t>
            </w:r>
          </w:p>
        </w:tc>
        <w:tc>
          <w:tcPr>
            <w:tcW w:w="1089" w:type="pct"/>
            <w:tcBorders>
              <w:top w:val="doub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Image per class</w:t>
            </w:r>
          </w:p>
        </w:tc>
      </w:tr>
      <w:tr w:rsidR="00595701" w:rsidRPr="004314C1" w:rsidTr="00595701">
        <w:trPr>
          <w:trHeight w:val="20"/>
        </w:trPr>
        <w:tc>
          <w:tcPr>
            <w:tcW w:w="1604" w:type="pct"/>
            <w:tcBorders>
              <w:top w:val="doub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[15]</w:t>
            </w:r>
            <w:r w:rsidR="00595701">
              <w:rPr>
                <w:rFonts w:asciiTheme="majorBidi" w:hAnsiTheme="majorBidi" w:cstheme="majorBidi"/>
                <w:sz w:val="24"/>
                <w:szCs w:val="24"/>
              </w:rPr>
              <w:fldChar w:fldCharType="end"/>
            </w:r>
          </w:p>
        </w:tc>
        <w:tc>
          <w:tcPr>
            <w:tcW w:w="594"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doub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Fashion-MNIST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[16]</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lastRenderedPageBreak/>
              <w:t>CIFAR-10</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(coarse)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2.5 K</w:t>
            </w:r>
          </w:p>
        </w:tc>
      </w:tr>
      <w:tr w:rsidR="00595701" w:rsidRPr="004314C1" w:rsidTr="00595701">
        <w:trPr>
          <w:trHeight w:val="20"/>
        </w:trPr>
        <w:tc>
          <w:tcPr>
            <w:tcW w:w="1604" w:type="pct"/>
            <w:tcBorders>
              <w:top w:val="sing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(fine)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100</w:t>
            </w:r>
          </w:p>
        </w:tc>
        <w:tc>
          <w:tcPr>
            <w:tcW w:w="638"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500</w:t>
            </w:r>
          </w:p>
        </w:tc>
      </w:tr>
    </w:tbl>
    <w:p w:rsidR="00706261" w:rsidRPr="004314C1" w:rsidRDefault="00706261" w:rsidP="00706261">
      <w:pPr>
        <w:spacing w:before="240" w:after="240"/>
        <w:jc w:val="both"/>
        <w:rPr>
          <w:rFonts w:asciiTheme="majorBidi" w:hAnsiTheme="majorBidi" w:cstheme="majorBidi"/>
          <w:sz w:val="28"/>
          <w:szCs w:val="28"/>
        </w:rPr>
      </w:pP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3.3 Architecture (models and hyperparameters)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VGG16 and VGG19 with the exact specifications reported in their paper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Simonyan","given":"Karen","non-dropping-particle":"","parse-names":false,"suffix":""},{"dropping-particle":"","family":"Zisserman","given":"Andrew","non-dropping-particle":"","parse-names":false,"suffix":""}],"container-title":"arXiv preprint arXiv:1409.1556","id":"ITEM-1","issued":{"date-parts":[["2014"]]},"title":"Very deep convolutional networks for large-scale image recognition","type":"article-journal"},"uris":["http://www.mendeley.com/documents/?uuid=9fb11ada-b28a-4497-b66c-e4c5ec9252ad"]}],"mendeley":{"formattedCitation":"[18]","plainTextFormattedCitation":"[18]","previouslyFormattedCitation":"[18]"},"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[18]</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VGG16 has about 34M and VGG19 has about 39M parameters (detailed number of parameters for input shape of 32x32x3 and 10 classes is shown in Table 3). Although architectures such as ResNet50</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6bb3573c-daaa-4256-9403-dcfe3bf8d282"]}],"mendeley":{"formattedCitation":"[19]","plainTextFormattedCitation":"[19]","previouslyFormattedCitation":"[19]"},"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[19]</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and EfficientNet</w:t>
      </w:r>
      <w:r w:rsidRPr="004314C1">
        <w:rPr>
          <w:rFonts w:asciiTheme="majorBidi" w:hAnsiTheme="majorBidi" w:cstheme="majorBidi"/>
          <w:sz w:val="28"/>
          <w:szCs w:val="28"/>
        </w:rPr>
        <w:fldChar w:fldCharType="begin" w:fldLock="1"/>
      </w:r>
      <w:r w:rsidR="00E450F1" w:rsidRPr="004314C1">
        <w:rPr>
          <w:rFonts w:asciiTheme="majorBidi" w:hAnsiTheme="majorBidi" w:cstheme="majorBidi"/>
          <w:sz w:val="28"/>
          <w:szCs w:val="28"/>
        </w:rPr>
        <w:instrText>ADDIN CSL_CITATION {"citationItems":[{"id":"ITEM-1","itemData":{"author":[{"dropping-particle":"","family":"Tan","given":"Mingxing","non-dropping-particle":"","parse-names":false,"suffix":""},{"dropping-particle":"V","family":"Le","given":"Quoc","non-dropping-particle":"","parse-names":false,"suffix":""}],"container-title":"arXiv preprint arXiv:1905.11946","id":"ITEM-1","issued":{"date-parts":[["2019"]]},"title":"Efficientnet: Rethinking model scaling for convolutional neural networks","type":"article-journal"},"uris":["http://www.mendeley.com/documents/?uuid=626ec883-bc9d-4cf8-9e26-332ae42ba389"]}],"mendeley":{"formattedCitation":"[20]","plainTextFormattedCitation":"[20]","previouslyFormattedCitation":"[20]"},"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[20]</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have 23M and 4M parameters respectively (for input shape of 32x32x3 and 10 classes; their model summary is available in </w:t>
      </w:r>
      <w:hyperlink r:id="rId9"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xml:space="preserve">) and they are as easy to implement as VGGNet in Keras, they showed so much slower training speed than </w:t>
      </w:r>
      <w:r w:rsidR="00907647" w:rsidRPr="004314C1">
        <w:rPr>
          <w:rFonts w:asciiTheme="majorBidi" w:hAnsiTheme="majorBidi" w:cstheme="majorBidi"/>
          <w:sz w:val="28"/>
          <w:szCs w:val="28"/>
        </w:rPr>
        <w:t>VGGNet</w:t>
      </w:r>
      <w:r w:rsidRPr="004314C1">
        <w:rPr>
          <w:rFonts w:asciiTheme="majorBidi" w:hAnsiTheme="majorBidi" w:cstheme="majorBidi"/>
          <w:sz w:val="28"/>
          <w:szCs w:val="28"/>
        </w:rPr>
        <w:t xml:space="preserve"> in Google Colab. </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Optimization, regardless of its application in deep learning, is utilized to minimize a function. This action of minimization is the parameter that should be used for comparing the performance of optimizers. The function that is tried to be minimized in deep learning is cost function. The parameter that should be used to compare optimizers in deep learning is the loss value in the training dataset. Therefore, to investigate the direct impact of the optimizer itself, we have using to use overfitting prevention techniques. Important examples of these techniques are learning rate </w:t>
      </w:r>
      <w:r w:rsidRPr="0054299D">
        <w:rPr>
          <w:rFonts w:asciiTheme="majorBidi" w:hAnsiTheme="majorBidi" w:cstheme="majorBidi"/>
          <w:sz w:val="28"/>
          <w:szCs w:val="28"/>
          <w:highlight w:val="yellow"/>
        </w:rPr>
        <w:t>decay</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dropout</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early stopping</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batch normalization</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and regularization</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w:t>
      </w:r>
      <w:r w:rsidRPr="004314C1">
        <w:rPr>
          <w:rFonts w:asciiTheme="majorBidi" w:hAnsiTheme="majorBidi" w:cstheme="majorBidi"/>
          <w:sz w:val="28"/>
          <w:szCs w:val="28"/>
        </w:rPr>
        <w:t xml:space="preserve"> So another reason why we have chosen VGG architecture over other architectures is that it doesn’t use any overfitting prevention techniques.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Finally, we </w:t>
      </w:r>
      <w:r w:rsidRPr="00907647">
        <w:rPr>
          <w:rFonts w:asciiTheme="majorBidi" w:hAnsiTheme="majorBidi" w:cstheme="majorBidi"/>
          <w:sz w:val="28"/>
          <w:szCs w:val="28"/>
          <w:lang w:val="en-US"/>
        </w:rPr>
        <w:t>monitor</w:t>
      </w:r>
      <w:r w:rsidRPr="004314C1">
        <w:rPr>
          <w:rFonts w:asciiTheme="majorBidi" w:hAnsiTheme="majorBidi" w:cstheme="majorBidi"/>
          <w:sz w:val="28"/>
          <w:szCs w:val="28"/>
        </w:rPr>
        <w:t xml:space="preserve"> loss and accuracy changes for training and validation datasets for a constant number of epochs (100 epochs) to compare the performance of Gravity optimizer with common standard optimizers listed in Table 1 (Where the same dataset and architecture is used without using overfitting prevention techniques. Table 3 summarizes the models used in this paper.</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The remarkable thing about Gravity optimizer is that there was no need to tune hyperparameters to get better results. The same values were considered in all benchmarks. In Section 2, we talked about why we designed them in that way and </w:t>
      </w:r>
      <w:r w:rsidRPr="004314C1">
        <w:rPr>
          <w:rFonts w:asciiTheme="majorBidi" w:hAnsiTheme="majorBidi" w:cstheme="majorBidi"/>
          <w:sz w:val="28"/>
          <w:szCs w:val="28"/>
        </w:rPr>
        <w:lastRenderedPageBreak/>
        <w:t>how to find the best values for them. Our recommended value for Gravity optimizer hyperparameters was:</w:t>
      </w:r>
    </w:p>
    <w:p w:rsidR="00706261" w:rsidRPr="004314C1" w:rsidRDefault="00706261" w:rsidP="0050572C">
      <w:pPr>
        <w:spacing w:before="240" w:after="240"/>
        <w:jc w:val="center"/>
        <w:rPr>
          <w:rFonts w:asciiTheme="majorBidi" w:hAnsiTheme="majorBidi" w:cstheme="majorBidi"/>
          <w:sz w:val="28"/>
          <w:szCs w:val="28"/>
        </w:rPr>
      </w:pPr>
      <w:r w:rsidRPr="004314C1">
        <w:rPr>
          <w:rFonts w:asciiTheme="majorBidi" w:hAnsiTheme="majorBidi" w:cstheme="majorBidi"/>
          <w:sz w:val="28"/>
          <w:szCs w:val="28"/>
        </w:rPr>
        <w:t>learning rate = 0.1 , Alpha = 0.01 , Beta = 0.9.</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also set these values as default for Gravity optimizer in python implementation. In this section, we use these suggested values for the benchmark. </w:t>
      </w:r>
    </w:p>
    <w:p w:rsidR="00706261" w:rsidRDefault="00706261" w:rsidP="00706261">
      <w:pPr>
        <w:spacing w:before="240" w:after="240"/>
        <w:jc w:val="both"/>
        <w:rPr>
          <w:rFonts w:asciiTheme="majorBidi" w:hAnsiTheme="majorBidi" w:cstheme="majorBidi"/>
          <w:sz w:val="28"/>
          <w:szCs w:val="28"/>
          <w:lang w:val="en-US"/>
        </w:rPr>
      </w:pPr>
      <w:r w:rsidRPr="004314C1">
        <w:rPr>
          <w:rFonts w:asciiTheme="majorBidi" w:hAnsiTheme="majorBidi" w:cstheme="majorBidi"/>
          <w:sz w:val="28"/>
          <w:szCs w:val="28"/>
        </w:rPr>
        <w:t xml:space="preserve">To summarize, the results obtained from the training of five standard datasets mentioned in </w:t>
      </w:r>
      <w:hyperlink w:anchor="_3.2_Datasets" w:history="1">
        <w:r w:rsidRPr="004314C1">
          <w:rPr>
            <w:rStyle w:val="Hyperlink"/>
            <w:rFonts w:asciiTheme="majorBidi" w:hAnsiTheme="majorBidi" w:cstheme="majorBidi"/>
            <w:color w:val="auto"/>
            <w:sz w:val="28"/>
            <w:szCs w:val="28"/>
          </w:rPr>
          <w:t>section 3.2</w:t>
        </w:r>
      </w:hyperlink>
      <w:r w:rsidRPr="004314C1">
        <w:rPr>
          <w:rFonts w:asciiTheme="majorBidi" w:hAnsiTheme="majorBidi" w:cstheme="majorBidi"/>
          <w:sz w:val="28"/>
          <w:szCs w:val="28"/>
        </w:rPr>
        <w:t xml:space="preserve"> on VGGNet architectures (VGG16 and VGG19) using Gravity optimizers and two other standard and widely used optimizers (RMSProp and Adam) are compared in each subsection of datasets. As mentioned, all the trainings here are done with a batch size of 128 and for 100 epochs.</w:t>
      </w:r>
      <w:r w:rsidR="0054299D">
        <w:rPr>
          <w:rFonts w:asciiTheme="majorBidi" w:hAnsiTheme="majorBidi" w:cstheme="majorBidi"/>
          <w:sz w:val="28"/>
          <w:szCs w:val="28"/>
        </w:rPr>
        <w:t xml:space="preserve"> </w:t>
      </w:r>
    </w:p>
    <w:p w:rsidR="003B3764" w:rsidRPr="003B3764" w:rsidRDefault="003B3764" w:rsidP="00706261">
      <w:pPr>
        <w:spacing w:before="240" w:after="240"/>
        <w:jc w:val="both"/>
        <w:rPr>
          <w:rFonts w:asciiTheme="majorBidi" w:hAnsiTheme="majorBidi" w:cstheme="majorBidi"/>
          <w:sz w:val="28"/>
          <w:szCs w:val="28"/>
          <w:lang w:val="en-US"/>
        </w:rPr>
      </w:pPr>
    </w:p>
    <w:p w:rsidR="00706261" w:rsidRPr="004314C1" w:rsidRDefault="00706261" w:rsidP="0050572C">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In the following subsections, the results (last epoch and best epoch) were obtained from training our target datasets on VGG16 and VGG19 using Adam, RMSProp, and Gravity optimizers without using any overfitting prevention techniques are compared together. Also, the results are compared with the results reported from the other papers which used the same datasets and architectures we used here. More details of the results can be found in </w:t>
      </w:r>
      <w:hyperlink r:id="rId10" w:history="1">
        <w:r w:rsidR="0050572C" w:rsidRPr="004314C1">
          <w:rPr>
            <w:rStyle w:val="Hyperlink"/>
            <w:rFonts w:asciiTheme="majorBidi" w:hAnsiTheme="majorBidi" w:cstheme="majorBidi"/>
            <w:color w:val="auto"/>
            <w:sz w:val="28"/>
            <w:szCs w:val="28"/>
          </w:rPr>
          <w:t>Gravity optimizer G</w:t>
        </w:r>
        <w:r w:rsidRPr="004314C1">
          <w:rPr>
            <w:rStyle w:val="Hyperlink"/>
            <w:rFonts w:asciiTheme="majorBidi" w:hAnsiTheme="majorBidi" w:cstheme="majorBidi"/>
            <w:color w:val="auto"/>
            <w:sz w:val="28"/>
            <w:szCs w:val="28"/>
          </w:rPr>
          <w:t>it</w:t>
        </w:r>
        <w:r w:rsidR="0050572C" w:rsidRPr="004314C1">
          <w:rPr>
            <w:rStyle w:val="Hyperlink"/>
            <w:rFonts w:asciiTheme="majorBidi" w:hAnsiTheme="majorBidi" w:cstheme="majorBidi"/>
            <w:color w:val="auto"/>
            <w:sz w:val="28"/>
            <w:szCs w:val="28"/>
          </w:rPr>
          <w:t>H</w:t>
        </w:r>
        <w:r w:rsidRPr="004314C1">
          <w:rPr>
            <w:rStyle w:val="Hyperlink"/>
            <w:rFonts w:asciiTheme="majorBidi" w:hAnsiTheme="majorBidi" w:cstheme="majorBidi"/>
            <w:color w:val="auto"/>
            <w:sz w:val="28"/>
            <w:szCs w:val="28"/>
          </w:rPr>
          <w:t>ub repository</w:t>
        </w:r>
      </w:hyperlink>
      <w:r w:rsidRPr="004314C1">
        <w:rPr>
          <w:rFonts w:asciiTheme="majorBidi" w:hAnsiTheme="majorBidi" w:cstheme="majorBidi"/>
          <w:sz w:val="28"/>
          <w:szCs w:val="28"/>
        </w:rPr>
        <w:t xml:space="preserve"> or materials section.</w:t>
      </w:r>
    </w:p>
    <w:p w:rsidR="0050572C" w:rsidRPr="004314C1" w:rsidRDefault="0050572C"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3. VGG16 and VGG19 model summary used in the paper</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697"/>
        <w:gridCol w:w="1461"/>
        <w:gridCol w:w="1522"/>
        <w:gridCol w:w="1697"/>
        <w:gridCol w:w="1461"/>
        <w:gridCol w:w="1522"/>
      </w:tblGrid>
      <w:tr w:rsidR="004314C1" w:rsidRPr="004314C1" w:rsidTr="007C0AA8">
        <w:tc>
          <w:tcPr>
            <w:tcW w:w="2500" w:type="pct"/>
            <w:gridSpan w:val="3"/>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2500" w:type="pct"/>
            <w:gridSpan w:val="3"/>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908" w:type="pct"/>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w:t>
            </w:r>
            <w:r w:rsidR="007C0AA8" w:rsidRPr="004314C1">
              <w:rPr>
                <w:rFonts w:asciiTheme="majorBidi" w:hAnsiTheme="majorBidi" w:cstheme="majorBidi"/>
                <w:b/>
                <w:bCs/>
                <w:sz w:val="24"/>
                <w:szCs w:val="24"/>
              </w:rPr>
              <w:t>arameters</w:t>
            </w:r>
            <w:r w:rsidRPr="004314C1">
              <w:rPr>
                <w:rFonts w:asciiTheme="majorBidi" w:hAnsiTheme="majorBidi" w:cstheme="majorBidi"/>
                <w:b/>
                <w:bCs/>
                <w:sz w:val="24"/>
                <w:szCs w:val="24"/>
              </w:rPr>
              <w:t>#</w:t>
            </w:r>
          </w:p>
        </w:tc>
        <w:tc>
          <w:tcPr>
            <w:tcW w:w="907"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Para</w:t>
            </w:r>
            <w:r w:rsidR="007C0AA8" w:rsidRPr="004314C1">
              <w:rPr>
                <w:rFonts w:asciiTheme="majorBidi" w:hAnsiTheme="majorBidi" w:cstheme="majorBidi"/>
                <w:b/>
                <w:bCs/>
                <w:sz w:val="24"/>
                <w:szCs w:val="24"/>
              </w:rPr>
              <w:t>meters</w:t>
            </w:r>
            <w:r w:rsidRPr="004314C1">
              <w:rPr>
                <w:rFonts w:asciiTheme="majorBidi" w:hAnsiTheme="majorBidi" w:cstheme="majorBidi"/>
                <w:b/>
                <w:bCs/>
                <w:sz w:val="24"/>
                <w:szCs w:val="24"/>
              </w:rPr>
              <w:t>#</w:t>
            </w:r>
          </w:p>
        </w:tc>
      </w:tr>
      <w:tr w:rsidR="004314C1" w:rsidRPr="004314C1" w:rsidTr="00E450F1">
        <w:tc>
          <w:tcPr>
            <w:tcW w:w="2500" w:type="pct"/>
            <w:gridSpan w:val="3"/>
            <w:tcBorders>
              <w:top w:val="double" w:sz="4" w:space="0" w:color="auto"/>
              <w:left w:val="nil"/>
              <w:bottom w:val="sing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c>
          <w:tcPr>
            <w:tcW w:w="2500" w:type="pct"/>
            <w:gridSpan w:val="3"/>
            <w:tcBorders>
              <w:top w:val="double" w:sz="4" w:space="0" w:color="auto"/>
              <w:bottom w:val="sing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r>
      <w:tr w:rsidR="004314C1" w:rsidRPr="004314C1" w:rsidTr="00E450F1">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lastRenderedPageBreak/>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2500" w:type="pct"/>
            <w:gridSpan w:val="3"/>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c>
          <w:tcPr>
            <w:tcW w:w="2500" w:type="pct"/>
            <w:gridSpan w:val="3"/>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r>
      <w:tr w:rsidR="004314C1" w:rsidRPr="004314C1" w:rsidTr="007C0AA8">
        <w:tc>
          <w:tcPr>
            <w:tcW w:w="908" w:type="pct"/>
            <w:tcBorders>
              <w:top w:val="sing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r>
      <w:tr w:rsidR="004314C1" w:rsidRPr="004314C1" w:rsidTr="007C0AA8">
        <w:tc>
          <w:tcPr>
            <w:tcW w:w="2500" w:type="pct"/>
            <w:gridSpan w:val="3"/>
            <w:tcBorders>
              <w:top w:val="doub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33,638,218</w:t>
            </w:r>
          </w:p>
        </w:tc>
        <w:tc>
          <w:tcPr>
            <w:tcW w:w="2500" w:type="pct"/>
            <w:gridSpan w:val="3"/>
            <w:tcBorders>
              <w:top w:val="doub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38,947,914</w:t>
            </w:r>
          </w:p>
        </w:tc>
      </w:tr>
    </w:tbl>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Table 4 shows a detailed summary of learning rate values used in runs.  For Adam optimizer we turned off learning decay (decay = 0) and set beta 1 = 0.9, beta 2 = 0.999, and epsilon = 1.0 e-07. For RMSProp we turned learning rate decay, momentum, and centered off (decay = momentum = centered = 0) and set rho = 9.0 e-01, and epsilon = 1.0 e-07. </w:t>
      </w:r>
    </w:p>
    <w:p w:rsidR="00D15830" w:rsidRPr="004314C1" w:rsidRDefault="00D15830" w:rsidP="00D15830">
      <w:pPr>
        <w:rPr>
          <w:rFonts w:asciiTheme="majorBidi" w:hAnsiTheme="majorBidi" w:cstheme="majorBidi"/>
          <w:sz w:val="24"/>
          <w:szCs w:val="24"/>
        </w:rPr>
      </w:pPr>
    </w:p>
    <w:p w:rsidR="00D15830" w:rsidRPr="004314C1" w:rsidRDefault="00D15830"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4. summary of learning rates used for benchmark</w:t>
      </w:r>
    </w:p>
    <w:tbl>
      <w:tblPr>
        <w:tblStyle w:val="TableGrid"/>
        <w:tblW w:w="5003" w:type="pct"/>
        <w:tblBorders>
          <w:insideH w:val="none" w:sz="0" w:space="0" w:color="auto"/>
          <w:insideV w:val="none" w:sz="0" w:space="0" w:color="auto"/>
        </w:tblBorders>
        <w:tblLook w:val="04A0" w:firstRow="1" w:lastRow="0" w:firstColumn="1" w:lastColumn="0" w:noHBand="0" w:noVBand="1"/>
      </w:tblPr>
      <w:tblGrid>
        <w:gridCol w:w="3140"/>
        <w:gridCol w:w="1517"/>
        <w:gridCol w:w="1517"/>
        <w:gridCol w:w="1517"/>
        <w:gridCol w:w="1675"/>
      </w:tblGrid>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1620" w:type="pct"/>
            <w:gridSpan w:val="2"/>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1704" w:type="pct"/>
            <w:gridSpan w:val="2"/>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r w:rsidRPr="004314C1">
              <w:rPr>
                <w:rFonts w:asciiTheme="majorBidi" w:hAnsiTheme="majorBidi" w:cstheme="majorBidi"/>
                <w:sz w:val="24"/>
                <w:szCs w:val="24"/>
              </w:rPr>
              <w:t>Adam</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Adam</w:t>
            </w:r>
          </w:p>
        </w:tc>
        <w:tc>
          <w:tcPr>
            <w:tcW w:w="894" w:type="pct"/>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r>
      <w:tr w:rsidR="004314C1" w:rsidRPr="004314C1" w:rsidTr="00E450F1">
        <w:tc>
          <w:tcPr>
            <w:tcW w:w="1676" w:type="pct"/>
            <w:tcBorders>
              <w:top w:val="doub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MNIST</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94" w:type="pct"/>
            <w:tcBorders>
              <w:top w:val="doub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Fashion-MNIST</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(coarse)</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7.50e-05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r w:rsidR="004314C1" w:rsidRPr="004314C1" w:rsidTr="00E450F1">
        <w:tc>
          <w:tcPr>
            <w:tcW w:w="1676" w:type="pct"/>
            <w:tcBorders>
              <w:top w:val="single" w:sz="4" w:space="0" w:color="auto"/>
              <w:left w:val="nil"/>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(fine)</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94" w:type="pct"/>
            <w:tcBorders>
              <w:top w:val="single" w:sz="4" w:space="0" w:color="auto"/>
              <w:bottom w:val="doub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bl>
    <w:p w:rsidR="00D15830" w:rsidRPr="004314C1" w:rsidRDefault="00D15830" w:rsidP="00D15830">
      <w:pPr>
        <w:rPr>
          <w:rFonts w:asciiTheme="majorBidi" w:hAnsiTheme="majorBidi" w:cstheme="majorBidi"/>
          <w:sz w:val="24"/>
          <w:szCs w:val="24"/>
        </w:rPr>
      </w:pPr>
    </w:p>
    <w:p w:rsidR="00706261" w:rsidRPr="004314C1" w:rsidRDefault="00706261" w:rsidP="00D15830">
      <w:pPr>
        <w:rPr>
          <w:rFonts w:asciiTheme="majorBidi" w:hAnsiTheme="majorBidi" w:cstheme="majorBidi"/>
          <w:sz w:val="24"/>
          <w:szCs w:val="24"/>
        </w:rPr>
      </w:pPr>
    </w:p>
    <w:p w:rsidR="00D15830" w:rsidRPr="004314C1" w:rsidRDefault="00D15830" w:rsidP="00D15830">
      <w:pPr>
        <w:rPr>
          <w:rFonts w:asciiTheme="majorBidi" w:hAnsiTheme="majorBidi" w:cstheme="majorBidi"/>
          <w:b/>
          <w:bCs/>
          <w:sz w:val="28"/>
          <w:szCs w:val="28"/>
        </w:rPr>
      </w:pPr>
      <w:r w:rsidRPr="004314C1">
        <w:rPr>
          <w:rFonts w:asciiTheme="majorBidi" w:hAnsiTheme="majorBidi" w:cstheme="majorBidi"/>
          <w:b/>
          <w:bCs/>
          <w:sz w:val="28"/>
          <w:szCs w:val="28"/>
        </w:rPr>
        <w:t>4. Results</w:t>
      </w:r>
    </w:p>
    <w:p w:rsidR="00E450F1" w:rsidRPr="004314C1" w:rsidRDefault="00E450F1" w:rsidP="00D15830">
      <w:pPr>
        <w:rPr>
          <w:rFonts w:asciiTheme="majorBidi" w:hAnsiTheme="majorBidi" w:cstheme="majorBidi"/>
          <w:b/>
          <w:bCs/>
          <w:sz w:val="28"/>
          <w:szCs w:val="28"/>
        </w:rPr>
      </w:pPr>
    </w:p>
    <w:p w:rsidR="00706261" w:rsidRDefault="00E450F1" w:rsidP="0070626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lastRenderedPageBreak/>
        <w:t>4.1 MNIST</w:t>
      </w:r>
      <w:r w:rsidR="00F10B5E">
        <w:rPr>
          <w:rFonts w:ascii="Times New Roman" w:eastAsia="Times New Roman" w:hAnsi="Times New Roman" w:cs="Times New Roman"/>
          <w:bCs/>
          <w:sz w:val="28"/>
          <w:szCs w:val="28"/>
        </w:rPr>
        <w:t xml:space="preserve"> Results</w:t>
      </w:r>
    </w:p>
    <w:p w:rsidR="00F10B5E" w:rsidRDefault="00F10B5E"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4.1.1 MNIST Results on VGG16</w:t>
      </w:r>
    </w:p>
    <w:p w:rsidR="00F10B5E" w:rsidRDefault="00F10B5E" w:rsidP="00706261">
      <w:pPr>
        <w:spacing w:before="240" w:after="240"/>
        <w:jc w:val="both"/>
        <w:rPr>
          <w:rFonts w:ascii="Times New Roman" w:eastAsia="Times New Roman" w:hAnsi="Times New Roman" w:cs="Times New Roman"/>
          <w:bCs/>
          <w:sz w:val="28"/>
          <w:szCs w:val="28"/>
        </w:rPr>
      </w:pPr>
    </w:p>
    <w:p w:rsidR="00F10B5E" w:rsidRDefault="00F10B5E" w:rsidP="00706261">
      <w:pPr>
        <w:spacing w:before="240" w:after="240"/>
        <w:jc w:val="both"/>
        <w:rPr>
          <w:rFonts w:ascii="Times New Roman" w:eastAsia="Times New Roman" w:hAnsi="Times New Roman" w:cs="Times New Roman"/>
          <w:bCs/>
          <w:sz w:val="28"/>
          <w:szCs w:val="28"/>
        </w:rPr>
      </w:pPr>
      <w:bookmarkStart w:id="1" w:name="_GoBack"/>
      <w:bookmarkEnd w:id="1"/>
    </w:p>
    <w:p w:rsidR="00F10B5E" w:rsidRDefault="00F10B5E"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4.1.2 MNIST Results on VGG19</w:t>
      </w:r>
    </w:p>
    <w:p w:rsidR="00F10B5E" w:rsidRDefault="00F10B5E" w:rsidP="00706261">
      <w:pPr>
        <w:spacing w:before="240" w:after="240"/>
        <w:jc w:val="both"/>
        <w:rPr>
          <w:rFonts w:ascii="Times New Roman" w:eastAsia="Times New Roman" w:hAnsi="Times New Roman" w:cs="Times New Roman"/>
          <w:bCs/>
          <w:sz w:val="28"/>
          <w:szCs w:val="28"/>
        </w:rPr>
      </w:pPr>
    </w:p>
    <w:p w:rsidR="00F10B5E" w:rsidRPr="00F10B5E" w:rsidRDefault="00F10B5E" w:rsidP="00706261">
      <w:pPr>
        <w:spacing w:before="240" w:after="240"/>
        <w:jc w:val="both"/>
        <w:rPr>
          <w:rFonts w:ascii="Times New Roman" w:eastAsia="Times New Roman" w:hAnsi="Times New Roman" w:cs="Times New Roman"/>
          <w:bCs/>
          <w:sz w:val="28"/>
          <w:szCs w:val="28"/>
        </w:rPr>
      </w:pPr>
    </w:p>
    <w:p w:rsidR="00E450F1" w:rsidRPr="00F10B5E" w:rsidRDefault="00E450F1" w:rsidP="0070626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t>4.2 Fashion-MNIST</w:t>
      </w:r>
    </w:p>
    <w:p w:rsidR="00E450F1" w:rsidRPr="00F10B5E" w:rsidRDefault="00E450F1" w:rsidP="0070626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t>4.3 CIFAR-10</w:t>
      </w:r>
    </w:p>
    <w:p w:rsidR="00E450F1" w:rsidRPr="00F10B5E" w:rsidRDefault="00E450F1" w:rsidP="0070626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t>4.4 CIFAR-100 (Coarse)</w:t>
      </w:r>
    </w:p>
    <w:p w:rsidR="00E450F1" w:rsidRPr="00F10B5E" w:rsidRDefault="00E450F1" w:rsidP="00E450F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t>4.5 CIFAR-100 (Fine)</w:t>
      </w:r>
    </w:p>
    <w:p w:rsidR="00E450F1" w:rsidRPr="004314C1" w:rsidRDefault="00E450F1" w:rsidP="00E450F1">
      <w:pPr>
        <w:spacing w:before="240" w:after="240"/>
        <w:jc w:val="both"/>
        <w:rPr>
          <w:rFonts w:ascii="Times New Roman" w:eastAsia="Times New Roman" w:hAnsi="Times New Roman" w:cs="Times New Roman"/>
          <w:b/>
          <w:sz w:val="28"/>
          <w:szCs w:val="28"/>
        </w:rPr>
      </w:pP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5. Conclusion</w:t>
      </w:r>
    </w:p>
    <w:p w:rsidR="0086117E" w:rsidRPr="004314C1" w:rsidRDefault="0086117E" w:rsidP="0086117E">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 xml:space="preserve">نوشتن </w:t>
      </w:r>
      <w:r>
        <w:rPr>
          <w:rFonts w:ascii="Times New Roman" w:eastAsia="Times New Roman" w:hAnsi="Times New Roman" w:cs="Times New Roman" w:hint="cs"/>
          <w:b/>
          <w:sz w:val="28"/>
          <w:szCs w:val="28"/>
          <w:highlight w:val="magenta"/>
          <w:rtl/>
        </w:rPr>
        <w:t>جمع بندی</w:t>
      </w:r>
      <w:r w:rsidRPr="004314C1">
        <w:rPr>
          <w:rFonts w:ascii="Times New Roman" w:eastAsia="Times New Roman" w:hAnsi="Times New Roman" w:cs="Times New Roman"/>
          <w:b/>
          <w:sz w:val="28"/>
          <w:szCs w:val="28"/>
          <w:highlight w:val="magenta"/>
          <w:rtl/>
        </w:rPr>
        <w:t xml:space="preserve"> </w:t>
      </w:r>
      <w:r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32"/>
          <w:szCs w:val="32"/>
        </w:rPr>
        <w:t>References</w:t>
      </w:r>
    </w:p>
    <w:p w:rsidR="00595701" w:rsidRPr="00595701" w:rsidRDefault="00E450F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4314C1">
        <w:rPr>
          <w:rFonts w:ascii="Times New Roman" w:eastAsia="Times New Roman" w:hAnsi="Times New Roman" w:cs="Times New Roman"/>
          <w:b/>
          <w:sz w:val="24"/>
          <w:szCs w:val="24"/>
        </w:rPr>
        <w:fldChar w:fldCharType="begin" w:fldLock="1"/>
      </w:r>
      <w:r w:rsidRPr="004314C1">
        <w:rPr>
          <w:rFonts w:ascii="Times New Roman" w:eastAsia="Times New Roman" w:hAnsi="Times New Roman" w:cs="Times New Roman"/>
          <w:b/>
          <w:sz w:val="24"/>
          <w:szCs w:val="24"/>
        </w:rPr>
        <w:instrText xml:space="preserve">ADDIN Mendeley Bibliography CSL_BIBLIOGRAPHY </w:instrText>
      </w:r>
      <w:r w:rsidRPr="004314C1">
        <w:rPr>
          <w:rFonts w:ascii="Times New Roman" w:eastAsia="Times New Roman" w:hAnsi="Times New Roman" w:cs="Times New Roman"/>
          <w:b/>
          <w:sz w:val="24"/>
          <w:szCs w:val="24"/>
        </w:rPr>
        <w:fldChar w:fldCharType="separate"/>
      </w:r>
      <w:r w:rsidR="00595701" w:rsidRPr="00595701">
        <w:rPr>
          <w:rFonts w:ascii="Times New Roman" w:hAnsi="Times New Roman" w:cs="Times New Roman"/>
          <w:noProof/>
          <w:sz w:val="24"/>
          <w:szCs w:val="24"/>
        </w:rPr>
        <w:t>[1]</w:t>
      </w:r>
      <w:r w:rsidR="00595701" w:rsidRPr="00595701">
        <w:rPr>
          <w:rFonts w:ascii="Times New Roman" w:hAnsi="Times New Roman" w:cs="Times New Roman"/>
          <w:noProof/>
          <w:sz w:val="24"/>
          <w:szCs w:val="24"/>
        </w:rPr>
        <w:tab/>
        <w:t>D. Choi, C.J. Shallue, Z. Nado, J. Lee, C.J. Maddison, G.E. Dahl, On empirical comparisons of optimizers for deep learning, ArXiv Prepr. ArXiv1910.05446. (2019).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[2]</w:t>
      </w:r>
      <w:r w:rsidRPr="00595701">
        <w:rPr>
          <w:rFonts w:ascii="Times New Roman" w:hAnsi="Times New Roman" w:cs="Times New Roman"/>
          <w:noProof/>
          <w:sz w:val="24"/>
          <w:szCs w:val="24"/>
        </w:rPr>
        <w:tab/>
        <w:t>D. Soydaner, A Comparison of Optimization Algorithms for Deep Learning, Int. J. Pattern Recognit. Artif. Intell. (2020) 2052013.</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[3]</w:t>
      </w:r>
      <w:r w:rsidRPr="00595701">
        <w:rPr>
          <w:rFonts w:ascii="Times New Roman" w:hAnsi="Times New Roman" w:cs="Times New Roman"/>
          <w:noProof/>
          <w:sz w:val="24"/>
          <w:szCs w:val="24"/>
        </w:rPr>
        <w:tab/>
        <w:t>A.C. Wilson, R. Roelofs, M. Stern, N. Srebro, B. Recht, The marginal value of adaptive gradient methods in machine learning, in: Adv. Neural Inf. Process. Syst., 2017: pp. 4148–4158.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[4]</w:t>
      </w:r>
      <w:r w:rsidRPr="00595701">
        <w:rPr>
          <w:rFonts w:ascii="Times New Roman" w:hAnsi="Times New Roman" w:cs="Times New Roman"/>
          <w:noProof/>
          <w:sz w:val="24"/>
          <w:szCs w:val="24"/>
        </w:rPr>
        <w:tab/>
        <w:t>F. Schneider, L. Balles, P. Hennig, DeepOBS: A deep learning optimizer benchmark suite, ArXiv Prepr. ArXiv1903.05499. (2019).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[5]</w:t>
      </w:r>
      <w:r w:rsidRPr="00595701">
        <w:rPr>
          <w:rFonts w:ascii="Times New Roman" w:hAnsi="Times New Roman" w:cs="Times New Roman"/>
          <w:noProof/>
          <w:sz w:val="24"/>
          <w:szCs w:val="24"/>
        </w:rPr>
        <w:tab/>
        <w:t>H. Robbins, S. Monro, A stochastic approximation method, Ann. Math. Stat. (1951) 400–</w:t>
      </w:r>
      <w:r w:rsidRPr="00595701">
        <w:rPr>
          <w:rFonts w:ascii="Times New Roman" w:hAnsi="Times New Roman" w:cs="Times New Roman"/>
          <w:noProof/>
          <w:sz w:val="24"/>
          <w:szCs w:val="24"/>
        </w:rPr>
        <w:lastRenderedPageBreak/>
        <w:t>407.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[6]</w:t>
      </w:r>
      <w:r w:rsidRPr="00595701">
        <w:rPr>
          <w:rFonts w:ascii="Times New Roman" w:hAnsi="Times New Roman" w:cs="Times New Roman"/>
          <w:noProof/>
          <w:sz w:val="24"/>
          <w:szCs w:val="24"/>
        </w:rPr>
        <w:tab/>
        <w:t>G. Hinton, N. Srivastava, K. Swersky, Neural networks for machine learning, Coursera, Video Lect. 264 (2012).</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[7]</w:t>
      </w:r>
      <w:r w:rsidRPr="00595701">
        <w:rPr>
          <w:rFonts w:ascii="Times New Roman" w:hAnsi="Times New Roman" w:cs="Times New Roman"/>
          <w:noProof/>
          <w:sz w:val="24"/>
          <w:szCs w:val="24"/>
        </w:rPr>
        <w:tab/>
        <w:t>D.P. Kingma, J. Ba, Adam: A method for stochastic optimization, ArXiv Prepr. ArXiv1412.6980. (2014).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[8]</w:t>
      </w:r>
      <w:r w:rsidRPr="00595701">
        <w:rPr>
          <w:rFonts w:ascii="Times New Roman" w:hAnsi="Times New Roman" w:cs="Times New Roman"/>
          <w:noProof/>
          <w:sz w:val="24"/>
          <w:szCs w:val="24"/>
        </w:rPr>
        <w:tab/>
        <w:t>B.T. Polyak, Some methods of speeding up the convergence of iteration methods, USSR Comput. Math. Math. Phys. 4 (1964) 1–17.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[9]</w:t>
      </w:r>
      <w:r w:rsidRPr="00595701">
        <w:rPr>
          <w:rFonts w:ascii="Times New Roman" w:hAnsi="Times New Roman" w:cs="Times New Roman"/>
          <w:noProof/>
          <w:sz w:val="24"/>
          <w:szCs w:val="24"/>
        </w:rPr>
        <w:tab/>
        <w:t>J. Duchi, E. Hazan, Y. Singer, Adaptive subgradient methods for online learning and stochastic optimization., J. Mach. Learn. Res. 12 (2011).</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[10]</w:t>
      </w:r>
      <w:r w:rsidRPr="00595701">
        <w:rPr>
          <w:rFonts w:ascii="Times New Roman" w:hAnsi="Times New Roman" w:cs="Times New Roman"/>
          <w:noProof/>
          <w:sz w:val="24"/>
          <w:szCs w:val="24"/>
        </w:rPr>
        <w:tab/>
        <w:t>M.D. Zeiler, Adadelta: an adaptive learning rate method, ArXiv Prepr. ArXiv1212.5701. (2012).</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[11]</w:t>
      </w:r>
      <w:r w:rsidRPr="00595701">
        <w:rPr>
          <w:rFonts w:ascii="Times New Roman" w:hAnsi="Times New Roman" w:cs="Times New Roman"/>
          <w:noProof/>
          <w:sz w:val="24"/>
          <w:szCs w:val="24"/>
        </w:rPr>
        <w:tab/>
        <w:t>I. Sutskever, J. Martens, G. Dahl, G. Hinton, On the importance of initialization and momentum in deep learning, in: Int. Conf. Mach. Learn., 2013: pp. 1139–1147.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[12]</w:t>
      </w:r>
      <w:r w:rsidRPr="00595701">
        <w:rPr>
          <w:rFonts w:ascii="Times New Roman" w:hAnsi="Times New Roman" w:cs="Times New Roman"/>
          <w:noProof/>
          <w:sz w:val="24"/>
          <w:szCs w:val="24"/>
        </w:rPr>
        <w:tab/>
        <w:t>T. Dozat, Incorporating nesterov momentum into adam, (2016).</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[13]</w:t>
      </w:r>
      <w:r w:rsidRPr="00595701">
        <w:rPr>
          <w:rFonts w:ascii="Times New Roman" w:hAnsi="Times New Roman" w:cs="Times New Roman"/>
          <w:noProof/>
          <w:sz w:val="24"/>
          <w:szCs w:val="24"/>
        </w:rPr>
        <w:tab/>
        <w:t>J.R. Sashank, K. Satyen, K. Sanjiv, On the convergence of adam and beyond, in: Int. Conf. Learn. Represent., 2018.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[14]</w:t>
      </w:r>
      <w:r w:rsidRPr="00595701">
        <w:rPr>
          <w:rFonts w:ascii="Times New Roman" w:hAnsi="Times New Roman" w:cs="Times New Roman"/>
          <w:noProof/>
          <w:sz w:val="24"/>
          <w:szCs w:val="24"/>
        </w:rPr>
        <w:tab/>
        <w:t>E. Bisong, Google Colaboratory, in: Build. Mach. Learn. Deep Learn. Model. Google Cloud Platf., Springer, 2019: pp. 59–64.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[15]</w:t>
      </w:r>
      <w:r w:rsidRPr="00595701">
        <w:rPr>
          <w:rFonts w:ascii="Times New Roman" w:hAnsi="Times New Roman" w:cs="Times New Roman"/>
          <w:noProof/>
          <w:sz w:val="24"/>
          <w:szCs w:val="24"/>
        </w:rPr>
        <w:tab/>
        <w:t>Y. LeCun, L. Bottou, Y. Bengio, P. Haffner, Gradient-based learning applied to document recognition, Proc. IEEE. 86 (1998) 2278–2324.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[16]</w:t>
      </w:r>
      <w:r w:rsidRPr="00595701">
        <w:rPr>
          <w:rFonts w:ascii="Times New Roman" w:hAnsi="Times New Roman" w:cs="Times New Roman"/>
          <w:noProof/>
          <w:sz w:val="24"/>
          <w:szCs w:val="24"/>
        </w:rPr>
        <w:tab/>
        <w:t>H. Xiao, K. Rasul, R. Vollgraf, Fashion-mnist: a novel image dataset for benchmarking machine learning algorithms, ArXiv Prepr. ArXiv1708.07747. (2017).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[17]</w:t>
      </w:r>
      <w:r w:rsidRPr="00595701">
        <w:rPr>
          <w:rFonts w:ascii="Times New Roman" w:hAnsi="Times New Roman" w:cs="Times New Roman"/>
          <w:noProof/>
          <w:sz w:val="24"/>
          <w:szCs w:val="24"/>
        </w:rPr>
        <w:tab/>
        <w:t>A. Krizhevsky, G. Hinton, others, Learning multiple layers of features from tiny images, (2009).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[18]</w:t>
      </w:r>
      <w:r w:rsidRPr="00595701">
        <w:rPr>
          <w:rFonts w:ascii="Times New Roman" w:hAnsi="Times New Roman" w:cs="Times New Roman"/>
          <w:noProof/>
          <w:sz w:val="24"/>
          <w:szCs w:val="24"/>
        </w:rPr>
        <w:tab/>
        <w:t>K. Simonyan, A. Zisserman, Very deep convolutional networks for large-scale image recognition, ArXiv Prepr. ArXiv1409.1556. (2014).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[19]</w:t>
      </w:r>
      <w:r w:rsidRPr="00595701">
        <w:rPr>
          <w:rFonts w:ascii="Times New Roman" w:hAnsi="Times New Roman" w:cs="Times New Roman"/>
          <w:noProof/>
          <w:sz w:val="24"/>
          <w:szCs w:val="24"/>
        </w:rPr>
        <w:tab/>
        <w:t>K. He, X. Zhang, S. Ren, J. Sun, Deep residual learning for image recognition, in: Proc. IEEE Conf. Comput. Vis. Pattern Recognit., 2016: pp. 770–778.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rPr>
      </w:pPr>
      <w:r w:rsidRPr="00595701">
        <w:rPr>
          <w:rFonts w:ascii="Times New Roman" w:hAnsi="Times New Roman" w:cs="Times New Roman"/>
          <w:noProof/>
          <w:sz w:val="24"/>
          <w:szCs w:val="24"/>
        </w:rPr>
        <w:t>[20]</w:t>
      </w:r>
      <w:r w:rsidRPr="00595701">
        <w:rPr>
          <w:rFonts w:ascii="Times New Roman" w:hAnsi="Times New Roman" w:cs="Times New Roman"/>
          <w:noProof/>
          <w:sz w:val="24"/>
          <w:szCs w:val="24"/>
        </w:rPr>
        <w:tab/>
        <w:t>M. Tan, Q. V Le, Efficientnet: Rethinking model scaling for convolutional neural networks, ArXiv Prepr. ArXiv1905.11946. (2019).</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24"/>
          <w:szCs w:val="24"/>
        </w:rPr>
        <w:fldChar w:fldCharType="end"/>
      </w:r>
    </w:p>
    <w:sectPr w:rsidR="00E450F1" w:rsidRPr="004314C1">
      <w:footnotePr>
        <w:pos w:val="beneathText"/>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46D" w:rsidRDefault="00C1346D" w:rsidP="00BD1942">
      <w:pPr>
        <w:spacing w:line="240" w:lineRule="auto"/>
      </w:pPr>
      <w:r>
        <w:separator/>
      </w:r>
    </w:p>
  </w:endnote>
  <w:endnote w:type="continuationSeparator" w:id="0">
    <w:p w:rsidR="00C1346D" w:rsidRDefault="00C1346D" w:rsidP="00BD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46D" w:rsidRDefault="00C1346D" w:rsidP="00BD1942">
      <w:pPr>
        <w:spacing w:line="240" w:lineRule="auto"/>
      </w:pPr>
      <w:r>
        <w:separator/>
      </w:r>
    </w:p>
  </w:footnote>
  <w:footnote w:type="continuationSeparator" w:id="0">
    <w:p w:rsidR="00C1346D" w:rsidRDefault="00C1346D" w:rsidP="00BD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o:colormru v:ext="edit" colors="#1c1c1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59"/>
    <w:rsid w:val="00023F78"/>
    <w:rsid w:val="00040758"/>
    <w:rsid w:val="00072C59"/>
    <w:rsid w:val="000871F6"/>
    <w:rsid w:val="000E4629"/>
    <w:rsid w:val="00123354"/>
    <w:rsid w:val="001A58FD"/>
    <w:rsid w:val="001B3B0F"/>
    <w:rsid w:val="001E34C7"/>
    <w:rsid w:val="001F635A"/>
    <w:rsid w:val="00232665"/>
    <w:rsid w:val="00383183"/>
    <w:rsid w:val="00397922"/>
    <w:rsid w:val="003B3764"/>
    <w:rsid w:val="004314C1"/>
    <w:rsid w:val="004779BC"/>
    <w:rsid w:val="004B6F12"/>
    <w:rsid w:val="0050572C"/>
    <w:rsid w:val="0054299D"/>
    <w:rsid w:val="00595701"/>
    <w:rsid w:val="0061794B"/>
    <w:rsid w:val="006F04F5"/>
    <w:rsid w:val="00706261"/>
    <w:rsid w:val="00723089"/>
    <w:rsid w:val="00755B6E"/>
    <w:rsid w:val="007C0AA8"/>
    <w:rsid w:val="0081742E"/>
    <w:rsid w:val="0086117E"/>
    <w:rsid w:val="00907647"/>
    <w:rsid w:val="009349AD"/>
    <w:rsid w:val="009352F9"/>
    <w:rsid w:val="0095320F"/>
    <w:rsid w:val="00977038"/>
    <w:rsid w:val="009E2875"/>
    <w:rsid w:val="00A02079"/>
    <w:rsid w:val="00A954BB"/>
    <w:rsid w:val="00B30271"/>
    <w:rsid w:val="00B667B6"/>
    <w:rsid w:val="00BD1942"/>
    <w:rsid w:val="00BF6926"/>
    <w:rsid w:val="00C1346D"/>
    <w:rsid w:val="00C16979"/>
    <w:rsid w:val="00D15830"/>
    <w:rsid w:val="00D557A8"/>
    <w:rsid w:val="00DB0F94"/>
    <w:rsid w:val="00DD498A"/>
    <w:rsid w:val="00DE54CE"/>
    <w:rsid w:val="00DF4C91"/>
    <w:rsid w:val="00E4422E"/>
    <w:rsid w:val="00E450F1"/>
    <w:rsid w:val="00E73CD9"/>
    <w:rsid w:val="00EA756C"/>
    <w:rsid w:val="00F10B5E"/>
    <w:rsid w:val="00F32E69"/>
    <w:rsid w:val="00FA0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c1c1c"/>
    </o:shapedefaults>
    <o:shapelayout v:ext="edit">
      <o:idmap v:ext="edit" data="1"/>
    </o:shapelayout>
  </w:shapeDefaults>
  <w:decimalSymbol w:val="."/>
  <w:listSeparator w:val=","/>
  <w14:docId w14:val="6DFD1755"/>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117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 w:type="paragraph" w:styleId="FootnoteText">
    <w:name w:val="footnote text"/>
    <w:basedOn w:val="Normal"/>
    <w:link w:val="FootnoteTextChar"/>
    <w:uiPriority w:val="99"/>
    <w:semiHidden/>
    <w:unhideWhenUsed/>
    <w:rsid w:val="00BD1942"/>
    <w:pPr>
      <w:spacing w:line="240" w:lineRule="auto"/>
    </w:pPr>
    <w:rPr>
      <w:sz w:val="20"/>
      <w:szCs w:val="20"/>
    </w:rPr>
  </w:style>
  <w:style w:type="character" w:customStyle="1" w:styleId="FootnoteTextChar">
    <w:name w:val="Footnote Text Char"/>
    <w:basedOn w:val="DefaultParagraphFont"/>
    <w:link w:val="FootnoteText"/>
    <w:uiPriority w:val="99"/>
    <w:semiHidden/>
    <w:rsid w:val="00BD1942"/>
    <w:rPr>
      <w:sz w:val="20"/>
      <w:szCs w:val="20"/>
    </w:rPr>
  </w:style>
  <w:style w:type="character" w:styleId="FootnoteReference">
    <w:name w:val="footnote reference"/>
    <w:basedOn w:val="DefaultParagraphFont"/>
    <w:uiPriority w:val="99"/>
    <w:semiHidden/>
    <w:unhideWhenUsed/>
    <w:rsid w:val="00BD1942"/>
    <w:rPr>
      <w:vertAlign w:val="superscript"/>
    </w:rPr>
  </w:style>
  <w:style w:type="paragraph" w:styleId="ListParagraph">
    <w:name w:val="List Paragraph"/>
    <w:basedOn w:val="Normal"/>
    <w:uiPriority w:val="34"/>
    <w:qFormat/>
    <w:rsid w:val="00FA0FA1"/>
    <w:pPr>
      <w:ind w:left="720"/>
      <w:contextualSpacing/>
    </w:pPr>
  </w:style>
  <w:style w:type="table" w:styleId="TableGrid">
    <w:name w:val="Table Grid"/>
    <w:basedOn w:val="TableNormal"/>
    <w:rsid w:val="003979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06261"/>
    <w:pPr>
      <w:widowControl w:val="0"/>
      <w:spacing w:line="230" w:lineRule="exact"/>
      <w:ind w:firstLine="240"/>
      <w:jc w:val="both"/>
    </w:pPr>
    <w:rPr>
      <w:rFonts w:ascii="Palatino" w:eastAsia="Times New Roman" w:hAnsi="Palatino" w:cs="Times New Roman"/>
      <w:kern w:val="16"/>
      <w:sz w:val="19"/>
      <w:szCs w:val="20"/>
      <w:lang w:val="en-US"/>
    </w:rPr>
  </w:style>
  <w:style w:type="paragraph" w:customStyle="1" w:styleId="TABLETITLE">
    <w:name w:val="TABLE TITLE"/>
    <w:basedOn w:val="Normal"/>
    <w:next w:val="Normal"/>
    <w:rsid w:val="00706261"/>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character" w:customStyle="1" w:styleId="Url">
    <w:name w:val="Url"/>
    <w:basedOn w:val="DefaultParagraphFont"/>
    <w:rsid w:val="00706261"/>
    <w:rPr>
      <w:rFonts w:ascii="Helvetica Condensed" w:hAnsi="Helvetica Condensed"/>
      <w:color w:val="008000"/>
      <w:sz w:val="18"/>
    </w:rPr>
  </w:style>
  <w:style w:type="character" w:customStyle="1" w:styleId="Figurereferenceto">
    <w:name w:val="Figure (reference to)"/>
    <w:rsid w:val="00706261"/>
    <w:rPr>
      <w:color w:val="FF0000"/>
    </w:rPr>
  </w:style>
  <w:style w:type="character" w:styleId="FollowedHyperlink">
    <w:name w:val="FollowedHyperlink"/>
    <w:basedOn w:val="DefaultParagraphFont"/>
    <w:uiPriority w:val="99"/>
    <w:semiHidden/>
    <w:unhideWhenUsed/>
    <w:rsid w:val="00505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 w:id="1614903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riush-bahrami/gravity.optimizer" TargetMode="External"/><Relationship Id="rId4" Type="http://schemas.openxmlformats.org/officeDocument/2006/relationships/webSettings" Target="webSettings.xml"/><Relationship Id="rId9" Type="http://schemas.openxmlformats.org/officeDocument/2006/relationships/hyperlink" Target="https://github.com/dariush-bahrami/gravity.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800F2-3579-4CC3-B8E6-10EE780F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8</Pages>
  <Words>6137</Words>
  <Characters>34985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cp:lastModifiedBy>
  <cp:revision>21</cp:revision>
  <dcterms:created xsi:type="dcterms:W3CDTF">2020-12-16T18:23:00Z</dcterms:created>
  <dcterms:modified xsi:type="dcterms:W3CDTF">2020-12-21T20:45:00Z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60a4e66f-e2cb-3fec-9b88-2e07d88dc674</vt:lpwstr>
  </property>
  <property fmtid="{D5CDD505-2E9C-101B-9397-08002B2CF9AE}" pid="4" name="Mendeley Citation Style_1">
    <vt:lpwstr>http://www.zotero.org/styles/pattern-recognition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http://www.zotero.org/styles/pattern-recognition</vt:lpwstr>
  </property>
  <property fmtid="{D5CDD505-2E9C-101B-9397-08002B2CF9AE}" pid="24" name="Mendeley Recent Style Name 9_1">
    <vt:lpwstr>Pattern Recognition</vt:lpwstr>
  </property>
</Properties>
</file>