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pStyle w:val="Heading1"/>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60" w:after="40"/>
        <w:jc w:val="left"/>
      </w:pPr>
      <w:r>
        <w:rPr>
          <w:rFonts w:ascii="Times New Roman" w:hAnsi="Times New Roman"/>
          <w:b/>
          <w:i/>
          <w:color w:val="000000"/>
          <w:sz w:val="20"/>
        </w:rPr>
        <w:t>A. Benchmark Systems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sectPr>
      </w:pPr>
    </w:p>
    <w:p>
      <w:pPr>
        <w:pStyle w:val="Heading2"/>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sectPr>
      </w:pPr>
    </w:p>
    <w:p>
      <w:pPr>
        <w:pStyle w:val="Heading2"/>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sectPr>
      </w:pPr>
    </w:p>
    <w:p>
      <w:pPr>
        <w:pStyle w:val="Heading2"/>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sectPr>
      </w:pPr>
    </w:p>
    <w:p>
      <w:pPr>
        <w:pStyle w:val="Heading1"/>
        <w:keepNext/>
        <w:spacing w:before="240" w:after="80"/>
        <w:jc w:val="center"/>
      </w:pPr>
      <w:r>
        <w:rPr>
          <w:rFonts w:ascii="Times New Roman" w:hAnsi="Times New Roman"/>
          <w:b/>
          <w:color w:val="000000"/>
          <w:sz w:val="20"/>
        </w:rPr>
        <w:t>V.  EXPERIMENTAL SETUP AND RESULTS</w:t>
      </w:r>
    </w:p>
    <w:p>
      <w:pPr>
        <w:pStyle w:val="Heading2"/>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pStyle w:val="Heading1"/>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sectPr>
      </w:pPr>
    </w:p>
    <w:p>
      <w:pPr>
        <w:pStyle w:val="Heading1"/>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cols w:num="1"/>
        </w:sectPr>
      </w:pPr>
    </w:p>
    <w:sectPr w:rsidR="00732E46" w:rsidSect="00002FAF">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cols w:num="1"/>
      <w:cols w:num="2" w:space="5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0"/>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 Author(s)</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