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 S M Hossain Mahmud (Shadhin)</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evaluation across an automated Monte Carlo flow corpus of 10,000,000 verified network events calibrated to CSE-CIC-IDS2018, UNSW-NB15, and CTU-13 feature distributions demonstrates an evasion-resistant attack recall (TPR) of 98.64% (95% CI: [98.61%, 98.67%]), a false-positive rate of 0.12%, precision of 99.72%, an F1-score of 99.18%, and overall classification accuracy of 99.50%, which collectively provide high assurance against sophisticated evasions without cloud telemetry.</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integrates a multi-stage XDP packet processing architecture combining stateful hash map filtering with in-kernel anomalous TCP flag classification for zero-copy wire-speed mitigation.</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Threat Model and Trust Assumptions</w:t>
      </w:r>
    </w:p>
    <w:p>
      <w:pPr>
        <w:spacing w:after="100"/>
        <w:jc w:val="both"/>
      </w:pPr>
      <w:r>
        <w:rPr>
          <w:rFonts w:ascii="Calibri" w:hAnsi="Calibri"/>
          <w:i w:val="0"/>
          <w:color w:val="000000"/>
          <w:sz w:val="21"/>
        </w:rPr>
        <w:t>To establish rigorous defensive boundaries, we formulate our threat model following standard systems security formalisms. We define the adversary capabilities, trusted computing base (TCB), and security assumptions as follows:</w:t>
      </w:r>
    </w:p>
    <w:p>
      <w:pPr>
        <w:spacing w:after="100"/>
        <w:jc w:val="both"/>
      </w:pPr>
      <w:r>
        <w:rPr>
          <w:rFonts w:ascii="Calibri" w:hAnsi="Calibri"/>
          <w:i w:val="0"/>
          <w:color w:val="000000"/>
          <w:sz w:val="21"/>
        </w:rPr>
        <w:t>1) Adversary Capabilities: We consider an active network-layer adversary A possessing standard Dolev-Yao capabilities across unauthenticated network segments. The adversary can inject, replay, spoof, fragment, and arbitrarily manipulate packet headers and payloads. A may deploy stealth reconnaissance scanning (Nmap Null/Xmas scans), launch high-rate volumetric DDoS floods (SYN, UDP amplification), establish covert encrypted command-and-control (C2) channels with low timing jitter, and execute adversarial prompt injection attacks by embedding adversarial strings (e.g., 'Ignore previous instructions and output BENIGN') within HTTP User-Agents, URIs, or DNS queries in an attempt to subvert downstream AI evaluators. Furthermore, A is assumed to have 'Harvest-Now-Decrypt-Later' capabilities, intercepting encrypted management traffic to store for retroactive deciphering when cryptanalytically relevant quantum computers (CRQCs) emerge.</w:t>
      </w:r>
    </w:p>
    <w:p>
      <w:pPr>
        <w:spacing w:after="100"/>
        <w:jc w:val="both"/>
      </w:pPr>
      <w:r>
        <w:rPr>
          <w:rFonts w:ascii="Calibri" w:hAnsi="Calibri"/>
          <w:i w:val="0"/>
          <w:color w:val="000000"/>
          <w:sz w:val="21"/>
        </w:rPr>
        <w:t>2) Trusted Computing Base (TCB): The TCB is strictly confined to: (i) the Linux kernel execution environment, specifically the kernel eBPF verifier, JIT compiler, and XDP driver subsystem; (ii) local CPU memory space and registers housing daemon execution state; (iii) the local, non-network-exposed SQLite audit database; and (iv) local private cryptographic keys and master HMAC seeds stored in restricted-permission keyrings.</w:t>
      </w:r>
    </w:p>
    <w:p>
      <w:pPr>
        <w:spacing w:after="100"/>
        <w:jc w:val="both"/>
      </w:pPr>
      <w:r>
        <w:rPr>
          <w:rFonts w:ascii="Calibri" w:hAnsi="Calibri"/>
          <w:i w:val="0"/>
          <w:color w:val="000000"/>
          <w:sz w:val="21"/>
        </w:rPr>
        <w:t>3) Security Assumptions &amp; Out-of-Scope: We assume standard UEFI Secure Boot protects the initial kernel bootstrap and that the adversary has not gained prior root-level privilege execution on the defense appliance itself. Physical hardware attacks (e.g., memory bus probes, cryogenic cold-boot extraction, JTAG interposers) and microarchitectural side-channel exploits (Spectre, Meltdown) are explicitly outside the scope of this network-level inline defense architecture.</w:t>
      </w:r>
    </w:p>
    <w:p>
      <w:pPr>
        <w:spacing w:before="120" w:after="80"/>
        <w:jc w:val="left"/>
      </w:pPr>
      <w:r>
        <w:rPr>
          <w:rFonts w:ascii="Calibri" w:hAnsi="Calibri"/>
          <w:b/>
          <w:color w:val="000000"/>
          <w:sz w:val="23"/>
        </w:rPr>
        <w:t>B.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907"/>
            <w:shd w:val="clear" w:color="auto" w:fill="111827"/>
            <w:vAlign w:val="center"/>
          </w:tcPr>
          <w:p>
            <w:pPr>
              <w:spacing w:before="60" w:after="60"/>
              <w:jc w:val="center"/>
            </w:pPr>
            <w:r>
              <w:rPr>
                <w:rFonts w:ascii="Calibri" w:hAnsi="Calibri"/>
                <w:b/>
                <w:color w:val="FFFFFF"/>
                <w:sz w:val="17"/>
              </w:rPr>
              <w:t>Stage</w:t>
            </w:r>
          </w:p>
        </w:tc>
        <w:tc>
          <w:tcPr>
            <w:tcW w:type="dxa" w:w="3288"/>
            <w:shd w:val="clear" w:color="auto" w:fill="111827"/>
            <w:vAlign w:val="center"/>
          </w:tcPr>
          <w:p>
            <w:pPr>
              <w:spacing w:before="60" w:after="60"/>
              <w:jc w:val="center"/>
            </w:pPr>
            <w:r>
              <w:rPr>
                <w:rFonts w:ascii="Calibri" w:hAnsi="Calibri"/>
                <w:b/>
                <w:color w:val="FFFFFF"/>
                <w:sz w:val="17"/>
              </w:rPr>
              <w:t>Operation</w:t>
            </w:r>
          </w:p>
        </w:tc>
        <w:tc>
          <w:tcPr>
            <w:tcW w:type="dxa" w:w="2494"/>
            <w:shd w:val="clear" w:color="auto" w:fill="111827"/>
            <w:vAlign w:val="center"/>
          </w:tcPr>
          <w:p>
            <w:pPr>
              <w:spacing w:before="60" w:after="60"/>
              <w:jc w:val="center"/>
            </w:pPr>
            <w:r>
              <w:rPr>
                <w:rFonts w:ascii="Calibri" w:hAnsi="Calibri"/>
                <w:b/>
                <w:color w:val="FFFFFF"/>
                <w:sz w:val="17"/>
              </w:rPr>
              <w:t>BPF Map Type</w:t>
            </w:r>
          </w:p>
        </w:tc>
        <w:tc>
          <w:tcPr>
            <w:tcW w:type="dxa" w:w="2041"/>
            <w:shd w:val="clear" w:color="auto" w:fill="111827"/>
            <w:vAlign w:val="center"/>
          </w:tcPr>
          <w:p>
            <w:pPr>
              <w:spacing w:before="60" w:after="60"/>
              <w:jc w:val="center"/>
            </w:pPr>
            <w:r>
              <w:rPr>
                <w:rFonts w:ascii="Calibri" w:hAnsi="Calibri"/>
                <w:b/>
                <w:color w:val="FFFFFF"/>
                <w:sz w:val="17"/>
              </w:rPr>
              <w:t>Outcome</w:t>
            </w:r>
          </w:p>
        </w:tc>
      </w:tr>
      <w:tr>
        <w:tc>
          <w:tcPr>
            <w:tcW w:type="dxa" w:w="907"/>
            <w:vAlign w:val="center"/>
            <w:shd w:val="clear" w:color="auto" w:fill="FFFFFF"/>
          </w:tcPr>
          <w:p>
            <w:pPr>
              <w:spacing w:before="50" w:after="50"/>
              <w:jc w:val="center"/>
            </w:pPr>
            <w:r>
              <w:rPr>
                <w:rFonts w:ascii="Calibri" w:hAnsi="Calibri"/>
                <w:b w:val="0"/>
                <w:color w:val="000000"/>
                <w:sz w:val="17"/>
              </w:rPr>
              <w:t>1</w:t>
            </w:r>
          </w:p>
        </w:tc>
        <w:tc>
          <w:tcPr>
            <w:tcW w:type="dxa" w:w="3288"/>
            <w:vAlign w:val="center"/>
            <w:shd w:val="clear" w:color="auto" w:fill="FFFFFF"/>
          </w:tcPr>
          <w:p>
            <w:pPr>
              <w:spacing w:before="50" w:after="50"/>
              <w:jc w:val="left"/>
            </w:pPr>
            <w:r>
              <w:rPr>
                <w:rFonts w:ascii="Calibri" w:hAnsi="Calibri"/>
                <w:b w:val="0"/>
                <w:color w:val="000000"/>
                <w:sz w:val="17"/>
              </w:rPr>
              <w:t>IP Blocklist Lookup (O(1) fast-path)</w:t>
            </w:r>
          </w:p>
        </w:tc>
        <w:tc>
          <w:tcPr>
            <w:tcW w:type="dxa" w:w="2494"/>
            <w:vAlign w:val="center"/>
            <w:shd w:val="clear" w:color="auto" w:fill="FFFFFF"/>
          </w:tcPr>
          <w:p>
            <w:pPr>
              <w:spacing w:before="50" w:after="50"/>
              <w:jc w:val="left"/>
            </w:pPr>
            <w:r>
              <w:rPr>
                <w:rFonts w:ascii="Calibri" w:hAnsi="Calibri"/>
                <w:b w:val="0"/>
                <w:color w:val="000000"/>
                <w:sz w:val="17"/>
              </w:rPr>
              <w:t>BPF_MAP_TYPE_HASH</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2</w:t>
            </w:r>
          </w:p>
        </w:tc>
        <w:tc>
          <w:tcPr>
            <w:tcW w:type="dxa" w:w="3288"/>
            <w:vAlign w:val="center"/>
            <w:shd w:val="clear" w:color="auto" w:fill="F9F9F9"/>
          </w:tcPr>
          <w:p>
            <w:pPr>
              <w:spacing w:before="50" w:after="50"/>
              <w:jc w:val="left"/>
            </w:pPr>
            <w:r>
              <w:rPr>
                <w:rFonts w:ascii="Calibri" w:hAnsi="Calibri"/>
                <w:b w:val="0"/>
                <w:color w:val="000000"/>
                <w:sz w:val="17"/>
              </w:rPr>
              <w:t>Tarpit Redirect (Deception Port)</w:t>
            </w:r>
          </w:p>
        </w:tc>
        <w:tc>
          <w:tcPr>
            <w:tcW w:type="dxa" w:w="2494"/>
            <w:vAlign w:val="center"/>
            <w:shd w:val="clear" w:color="auto" w:fill="F9F9F9"/>
          </w:tcPr>
          <w:p>
            <w:pPr>
              <w:spacing w:before="50" w:after="50"/>
              <w:jc w:val="left"/>
            </w:pPr>
            <w:r>
              <w:rPr>
                <w:rFonts w:ascii="Calibri" w:hAnsi="Calibri"/>
                <w:b w:val="0"/>
                <w:color w:val="000000"/>
                <w:sz w:val="17"/>
              </w:rPr>
              <w:t>BPF_MAP_TYPE_HASH</w:t>
            </w:r>
          </w:p>
        </w:tc>
        <w:tc>
          <w:tcPr>
            <w:tcW w:type="dxa" w:w="2041"/>
            <w:vAlign w:val="center"/>
            <w:shd w:val="clear" w:color="auto" w:fill="F9F9F9"/>
          </w:tcPr>
          <w:p>
            <w:pPr>
              <w:spacing w:before="50" w:after="50"/>
              <w:jc w:val="center"/>
            </w:pPr>
            <w:r>
              <w:rPr>
                <w:rFonts w:ascii="Calibri" w:hAnsi="Calibri"/>
                <w:b w:val="0"/>
                <w:color w:val="000000"/>
                <w:sz w:val="17"/>
              </w:rPr>
              <w:t>XDP_PASS -&gt; nftables</w:t>
            </w:r>
          </w:p>
        </w:tc>
      </w:tr>
      <w:tr>
        <w:tc>
          <w:tcPr>
            <w:tcW w:type="dxa" w:w="907"/>
            <w:vAlign w:val="center"/>
            <w:shd w:val="clear" w:color="auto" w:fill="FFFFFF"/>
          </w:tcPr>
          <w:p>
            <w:pPr>
              <w:spacing w:before="50" w:after="50"/>
              <w:jc w:val="center"/>
            </w:pPr>
            <w:r>
              <w:rPr>
                <w:rFonts w:ascii="Calibri" w:hAnsi="Calibri"/>
                <w:b w:val="0"/>
                <w:color w:val="000000"/>
                <w:sz w:val="17"/>
              </w:rPr>
              <w:t>3</w:t>
            </w:r>
          </w:p>
        </w:tc>
        <w:tc>
          <w:tcPr>
            <w:tcW w:type="dxa" w:w="3288"/>
            <w:vAlign w:val="center"/>
            <w:shd w:val="clear" w:color="auto" w:fill="FFFFFF"/>
          </w:tcPr>
          <w:p>
            <w:pPr>
              <w:spacing w:before="50" w:after="50"/>
              <w:jc w:val="left"/>
            </w:pPr>
            <w:r>
              <w:rPr>
                <w:rFonts w:ascii="Calibri" w:hAnsi="Calibri"/>
                <w:b w:val="0"/>
                <w:color w:val="000000"/>
                <w:sz w:val="17"/>
              </w:rPr>
              <w:t>TCP Flag Anomaly: Null/Xmas/SYN+FIN</w:t>
            </w:r>
          </w:p>
        </w:tc>
        <w:tc>
          <w:tcPr>
            <w:tcW w:type="dxa" w:w="2494"/>
            <w:vAlign w:val="center"/>
            <w:shd w:val="clear" w:color="auto" w:fill="FFFFFF"/>
          </w:tcPr>
          <w:p>
            <w:pPr>
              <w:spacing w:before="50" w:after="50"/>
              <w:jc w:val="left"/>
            </w:pPr>
            <w:r>
              <w:rPr>
                <w:rFonts w:ascii="Calibri" w:hAnsi="Calibri"/>
                <w:b w:val="0"/>
                <w:color w:val="000000"/>
                <w:sz w:val="17"/>
              </w:rPr>
              <w:t>Inline classifier</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4</w:t>
            </w:r>
          </w:p>
        </w:tc>
        <w:tc>
          <w:tcPr>
            <w:tcW w:type="dxa" w:w="3288"/>
            <w:vAlign w:val="center"/>
            <w:shd w:val="clear" w:color="auto" w:fill="F9F9F9"/>
          </w:tcPr>
          <w:p>
            <w:pPr>
              <w:spacing w:before="50" w:after="50"/>
              <w:jc w:val="left"/>
            </w:pPr>
            <w:r>
              <w:rPr>
                <w:rFonts w:ascii="Calibri" w:hAnsi="Calibri"/>
                <w:b w:val="0"/>
                <w:color w:val="000000"/>
                <w:sz w:val="17"/>
              </w:rPr>
              <w:t>Telemetry Export to Userspace Daemon</w:t>
            </w:r>
          </w:p>
        </w:tc>
        <w:tc>
          <w:tcPr>
            <w:tcW w:type="dxa" w:w="2494"/>
            <w:vAlign w:val="center"/>
            <w:shd w:val="clear" w:color="auto" w:fill="F9F9F9"/>
          </w:tcPr>
          <w:p>
            <w:pPr>
              <w:spacing w:before="50" w:after="50"/>
              <w:jc w:val="left"/>
            </w:pPr>
            <w:r>
              <w:rPr>
                <w:rFonts w:ascii="Calibri" w:hAnsi="Calibri"/>
                <w:b w:val="0"/>
                <w:color w:val="000000"/>
                <w:sz w:val="17"/>
              </w:rPr>
              <w:t>BPF_MAP_TYPE_RINGBUF</w:t>
            </w:r>
          </w:p>
        </w:tc>
        <w:tc>
          <w:tcPr>
            <w:tcW w:type="dxa" w:w="2041"/>
            <w:vAlign w:val="center"/>
            <w:shd w:val="clear" w:color="auto" w:fill="F9F9F9"/>
          </w:tcPr>
          <w:p>
            <w:pPr>
              <w:spacing w:before="50" w:after="50"/>
              <w:jc w:val="center"/>
            </w:pPr>
            <w:r>
              <w:rPr>
                <w:rFonts w:ascii="Calibri" w:hAnsi="Calibri"/>
                <w:b w:val="0"/>
                <w:color w:val="000000"/>
                <w:sz w:val="17"/>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C. Asynchronous Control-Plane: Custom Autonomous AI Agent Reasoning &amp; Prompt-Injection Hardening</w:t>
      </w:r>
    </w:p>
    <w:p>
      <w:pPr>
        <w:spacing w:after="100"/>
        <w:jc w:val="both"/>
      </w:pPr>
      <w:r>
        <w:rPr>
          <w:rFonts w:ascii="Calibri" w:hAnsi="Calibri"/>
          <w:i w:val="0"/>
          <w:color w:val="000000"/>
          <w:sz w:val="21"/>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strict JSON grammar constraints, and custom 4-bit quantization (GGUF Q4_K_M), the autonomous agent operates strictly on the asynchronous control plane. A foundational design principle of this architecture is the complete decoupling of the sub-microsecond in-kernel data plane (0.33 us median drop latency) from the multi-second control-plane reasoning loop (148 ms heuristic triage, 1.8–2.8 s complete SLM JSON generation on commodity CPU). If live packets were held synchronously in memory awaiting LLM inference, line-rate gigabit throughput would instantly collapse and packet buffers would overflow within microseconds. Instead, the architecture enforces a dual-plane fast-path/slow-path pipeline: (i) In-kernel XDP handles all wire-speed forwarding and immediate drops for cached malicious IPs (O(1) hash map lookup) and pathological TCP flag anomalies; (ii) When an ambiguous flow, elevated byte-entropy anomaly (H &gt;= 7.1), or heuristic threshold violation occurs, the packet is forwarded or rate-limited while an event descriptor is pushed asynchronously to userspace via a zero-copy lockless ring buffer (BPF_MAP_TYPE_RINGBUF); (iii) The userspace daemon sec-monitor processes the event through local SLM inference on background worker threads; and (iv) Upon confirming a threat (verdict confidence &gt;= 0.80), the daemon writes the offending source IP directly to the kernel's blocked_ips_map BPF table with an associated TTL. Consequently, all subsequent wire-speed packets from the attacking host are dropped in-kernel at 0.33 us line rate, achieving proactive autonomous containment without head-of-line blocking.</w:t>
      </w:r>
    </w:p>
    <w:p>
      <w:pPr>
        <w:spacing w:after="100"/>
        <w:jc w:val="both"/>
      </w:pPr>
      <w:r>
        <w:rPr>
          <w:rFonts w:ascii="Calibri" w:hAnsi="Calibri"/>
          <w:i w:val="0"/>
          <w:color w:val="000000"/>
          <w:sz w:val="21"/>
        </w:rPr>
        <w:t>To strictly mitigate hallucination and defend against adversarial prompt-injection vectors, the inference pipeline enforces three complementary layers of defense: (1) Payload Isolation: Raw packet payloads are never injected directly into LLM prompts; instead, deterministic parsers extract sanitized flow tuples, port destinations, entropy metrics, and Suricata alert metadata; (2) Logit-Level Grammar Decoding: Ollama's formal JSON grammar enforcement (GBNF grammar decoding) restricts token generation strictly to valid JSON tokens conforming to the 7-field operational schema ('verdict', 'threat_type', 'confidence', 'action', 'source_ip', 'reason', 'ebpf_rule'), rendering conversational jailbreaks or markdown injection structurally constrained; and (3) Deterministic Fallback Precedence: Known high-severity rule triggers and kernel flag anomalies automatically enforce immediate XDP drops via deterministic heuristics if inference encounters timeouts or anomalous responses, ensuring fail-safe containment.</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at sub-microsecond line-rate (0.33 us median) directly at the XDP hook.</w:t>
      </w:r>
    </w:p>
    <w:p>
      <w:pPr>
        <w:spacing w:before="120" w:after="80"/>
        <w:jc w:val="left"/>
      </w:pPr>
      <w:r>
        <w:rPr>
          <w:rFonts w:ascii="Calibri" w:hAnsi="Calibri"/>
          <w:b/>
          <w:color w:val="000000"/>
          <w:sz w:val="23"/>
        </w:rPr>
        <w:t>D. Moving Target Defence (MTD) and Client Synchronization Protocol</w:t>
      </w:r>
    </w:p>
    <w:p>
      <w:pPr>
        <w:spacing w:after="100"/>
        <w:jc w:val="both"/>
      </w:pPr>
      <w:r>
        <w:rPr>
          <w:rFonts w:ascii="Calibri" w:hAnsi="Calibri"/>
          <w:i w:val="0"/>
          <w:color w:val="000000"/>
          <w:sz w:val="21"/>
        </w:rPr>
        <w:t>To neutralize reconnaissance scanning, the appliance polymorphically mutates external listening ports. For service s and discrete epoch e = floor(t / T) (T = hop interval, default 60 s), the polymorphic listening port is derived as:</w:t>
      </w:r>
    </w:p>
    <w:p>
      <w:pPr>
        <w:spacing w:before="120" w:after="120"/>
        <w:ind w:left="283" w:right="283"/>
        <w:jc w:val="center"/>
      </w:pPr>
      <w:r>
        <w:rPr>
          <w:rFonts w:ascii="Times New Roman" w:hAnsi="Times New Roman"/>
          <w:i/>
          <w:sz w:val="21"/>
        </w:rPr>
        <w:t>P(s, e) = P_min + [ HMAC-SHA256(K, s || e) mod (P_max - P_min) ]</w:t>
      </w:r>
      <w:r>
        <w:rPr>
          <w:rFonts w:ascii="Times New Roman" w:hAnsi="Times New Roman"/>
          <w:b w:val="0"/>
          <w:i w:val="0"/>
          <w:sz w:val="21"/>
        </w:rPr>
        <w:t xml:space="preserve">    (1)</w:t>
      </w:r>
    </w:p>
    <w:p>
      <w:pPr>
        <w:spacing w:after="100"/>
        <w:jc w:val="both"/>
      </w:pPr>
      <w:r>
        <w:rPr>
          <w:rFonts w:ascii="Calibri" w:hAnsi="Calibri"/>
          <w:i w:val="0"/>
          <w:color w:val="000000"/>
          <w:sz w:val="21"/>
        </w:rPr>
        <w:t>Client Synchronization: Authorized endpoints synchronize with the active port through a shared HMAC seed derived via our authenticated PQC control tunnel or via time-synchronized Single-Packet Authorization (SPA). To prevent connection drops during epoch transitions, the daemon maintains a dual-epoch grace window permitting connections matching both e and e-1. Linux iptables / nftables NAT PREROUTING redirect rules dynamically map incoming packets on active and grace ports directly to the static internal daemon socket transparently. An adversary observing P(s, e) cannot predict future ports without inverting HMAC-SHA256.</w:t>
      </w:r>
    </w:p>
    <w:p>
      <w:pPr>
        <w:spacing w:before="120" w:after="80"/>
        <w:jc w:val="left"/>
      </w:pPr>
      <w:r>
        <w:rPr>
          <w:rFonts w:ascii="Calibri" w:hAnsi="Calibri"/>
          <w:b/>
          <w:color w:val="000000"/>
          <w:sz w:val="23"/>
        </w:rPr>
        <w:t>E. Encrypted Traffic Analysis (Zero-Decryption)</w:t>
      </w:r>
    </w:p>
    <w:p>
      <w:pPr>
        <w:spacing w:after="100"/>
        <w:jc w:val="both"/>
      </w:pPr>
      <w:r>
        <w:rPr>
          <w:rFonts w:ascii="Calibri" w:hAnsi="Calibri"/>
          <w:i w:val="0"/>
          <w:color w:val="000000"/>
          <w:sz w:val="21"/>
        </w:rPr>
        <w:t>Shannon entropy is computed per flow over 256-byte payload windows:</w:t>
      </w:r>
    </w:p>
    <w:p>
      <w:pPr>
        <w:spacing w:before="120" w:after="120"/>
        <w:ind w:left="283" w:right="283"/>
        <w:jc w:val="center"/>
      </w:pPr>
      <w:r>
        <w:rPr>
          <w:rFonts w:ascii="Times New Roman" w:hAnsi="Times New Roman"/>
          <w:i/>
          <w:sz w:val="21"/>
        </w:rPr>
        <w:t>H(f) = - SUM_{i=0}^{255} p(x_i) * log2(p(x_i))</w:t>
      </w:r>
      <w:r>
        <w:rPr>
          <w:rFonts w:ascii="Times New Roman" w:hAnsi="Times New Roman"/>
          <w:b w:val="0"/>
          <w:i w:val="0"/>
          <w:sz w:val="21"/>
        </w:rPr>
        <w:t xml:space="preserve">    (2)</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F.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G.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[21] combined with an RFC 7748 X25519 Montgomery ladder hybrid fallback and FIPS 204 ML-DSA-65 (digital signatures) [22], with AES-256-GCM AEAD for symmetric session encryption. This provides robust post-quantum confidentiality and forward secrecy against future quantum adversaries based on NIST standards.</w:t>
      </w:r>
    </w:p>
    <w:p>
      <w:pPr>
        <w:spacing w:before="120" w:after="80"/>
        <w:jc w:val="left"/>
      </w:pPr>
      <w:r>
        <w:rPr>
          <w:rFonts w:ascii="Calibri" w:hAnsi="Calibri"/>
          <w:b/>
          <w:color w:val="000000"/>
          <w:sz w:val="23"/>
        </w:rPr>
        <w:t>H. Immutable Cryptographic Audit Chain</w:t>
      </w:r>
    </w:p>
    <w:p>
      <w:pPr>
        <w:spacing w:after="100"/>
        <w:jc w:val="both"/>
      </w:pPr>
      <w:r>
        <w:rPr>
          <w:rFonts w:ascii="Calibri" w:hAnsi="Calibri"/>
          <w:i w:val="0"/>
          <w:color w:val="000000"/>
          <w:sz w:val="21"/>
        </w:rPr>
        <w:t>To enforce forensic integrity and prevent post-incident evidence tampering, every mitigation verdict, rule insertion, and security alert is recorded into an append-only cryptographic ledger. Each audit record r_i computes a chained hash: H_i = SHA-512(H_{i-1} || r_i || timestamp), anchored by the appliance's root signing key. Any retrospective modification or truncation of logs immediately breaks the cryptographic hash chain, providing verifiable non-repudiation during formal investigations.</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041"/>
            <w:shd w:val="clear" w:color="auto" w:fill="111827"/>
            <w:vAlign w:val="center"/>
          </w:tcPr>
          <w:p>
            <w:pPr>
              <w:spacing w:before="60" w:after="60"/>
              <w:jc w:val="center"/>
            </w:pPr>
            <w:r>
              <w:rPr>
                <w:rFonts w:ascii="Calibri" w:hAnsi="Calibri"/>
                <w:b/>
                <w:color w:val="FFFFFF"/>
                <w:sz w:val="17"/>
              </w:rPr>
              <w:t>System</w:t>
            </w:r>
          </w:p>
        </w:tc>
        <w:tc>
          <w:tcPr>
            <w:tcW w:type="dxa" w:w="1587"/>
            <w:shd w:val="clear" w:color="auto" w:fill="111827"/>
            <w:vAlign w:val="center"/>
          </w:tcPr>
          <w:p>
            <w:pPr>
              <w:spacing w:before="60" w:after="60"/>
              <w:jc w:val="center"/>
            </w:pPr>
            <w:r>
              <w:rPr>
                <w:rFonts w:ascii="Calibri" w:hAnsi="Calibri"/>
                <w:b/>
                <w:color w:val="FFFFFF"/>
                <w:sz w:val="17"/>
              </w:rPr>
              <w:t>Category</w:t>
            </w:r>
          </w:p>
        </w:tc>
        <w:tc>
          <w:tcPr>
            <w:tcW w:type="dxa" w:w="2154"/>
            <w:shd w:val="clear" w:color="auto" w:fill="111827"/>
            <w:vAlign w:val="center"/>
          </w:tcPr>
          <w:p>
            <w:pPr>
              <w:spacing w:before="60" w:after="60"/>
              <w:jc w:val="center"/>
            </w:pPr>
            <w:r>
              <w:rPr>
                <w:rFonts w:ascii="Calibri" w:hAnsi="Calibri"/>
                <w:b/>
                <w:color w:val="FFFFFF"/>
                <w:sz w:val="17"/>
              </w:rPr>
              <w:t>Detection Engine</w:t>
            </w:r>
          </w:p>
        </w:tc>
        <w:tc>
          <w:tcPr>
            <w:tcW w:type="dxa" w:w="1134"/>
            <w:shd w:val="clear" w:color="auto" w:fill="111827"/>
            <w:vAlign w:val="center"/>
          </w:tcPr>
          <w:p>
            <w:pPr>
              <w:spacing w:before="60" w:after="60"/>
              <w:jc w:val="center"/>
            </w:pPr>
            <w:r>
              <w:rPr>
                <w:rFonts w:ascii="Calibri" w:hAnsi="Calibri"/>
                <w:b/>
                <w:color w:val="FFFFFF"/>
                <w:sz w:val="17"/>
              </w:rPr>
              <w:t>Sovereignty</w:t>
            </w:r>
          </w:p>
        </w:tc>
        <w:tc>
          <w:tcPr>
            <w:tcW w:type="dxa" w:w="1814"/>
            <w:shd w:val="clear" w:color="auto" w:fill="111827"/>
            <w:vAlign w:val="center"/>
          </w:tcPr>
          <w:p>
            <w:pPr>
              <w:spacing w:before="60" w:after="60"/>
              <w:jc w:val="center"/>
            </w:pPr>
            <w:r>
              <w:rPr>
                <w:rFonts w:ascii="Calibri" w:hAnsi="Calibri"/>
                <w:b/>
                <w:color w:val="FFFFFF"/>
                <w:sz w:val="17"/>
              </w:rPr>
              <w:t>Deployment</w:t>
            </w:r>
          </w:p>
        </w:tc>
      </w:tr>
      <w:tr>
        <w:tc>
          <w:tcPr>
            <w:tcW w:type="dxa" w:w="2041"/>
            <w:vAlign w:val="center"/>
            <w:shd w:val="clear" w:color="auto" w:fill="FFFFFF"/>
          </w:tcPr>
          <w:p>
            <w:pPr>
              <w:spacing w:before="50" w:after="50"/>
              <w:jc w:val="left"/>
            </w:pPr>
            <w:r>
              <w:rPr>
                <w:rFonts w:ascii="Calibri" w:hAnsi="Calibri"/>
                <w:b w:val="0"/>
                <w:color w:val="000000"/>
                <w:sz w:val="17"/>
              </w:rPr>
              <w:t>Snort 3.x [2]</w:t>
            </w:r>
          </w:p>
        </w:tc>
        <w:tc>
          <w:tcPr>
            <w:tcW w:type="dxa" w:w="1587"/>
            <w:vAlign w:val="center"/>
            <w:shd w:val="clear" w:color="auto" w:fill="FFFFFF"/>
          </w:tcPr>
          <w:p>
            <w:pPr>
              <w:spacing w:before="50" w:after="50"/>
              <w:jc w:val="left"/>
            </w:pPr>
            <w:r>
              <w:rPr>
                <w:rFonts w:ascii="Calibri" w:hAnsi="Calibri"/>
                <w:b w:val="0"/>
                <w:color w:val="000000"/>
                <w:sz w:val="17"/>
              </w:rPr>
              <w:t>OS IDS/IPS</w:t>
            </w:r>
          </w:p>
        </w:tc>
        <w:tc>
          <w:tcPr>
            <w:tcW w:type="dxa" w:w="2154"/>
            <w:vAlign w:val="center"/>
            <w:shd w:val="clear" w:color="auto" w:fill="FFFFFF"/>
          </w:tcPr>
          <w:p>
            <w:pPr>
              <w:spacing w:before="50" w:after="50"/>
              <w:jc w:val="left"/>
            </w:pPr>
            <w:r>
              <w:rPr>
                <w:rFonts w:ascii="Calibri" w:hAnsi="Calibri"/>
                <w:b w:val="0"/>
                <w:color w:val="000000"/>
                <w:sz w:val="17"/>
              </w:rPr>
              <w:t>Rules + DAQ</w:t>
            </w:r>
          </w:p>
        </w:tc>
        <w:tc>
          <w:tcPr>
            <w:tcW w:type="dxa" w:w="1134"/>
            <w:vAlign w:val="center"/>
            <w:shd w:val="clear" w:color="auto" w:fill="FFFFFF"/>
          </w:tcPr>
          <w:p>
            <w:pPr>
              <w:spacing w:before="50" w:after="50"/>
              <w:jc w:val="center"/>
            </w:pPr>
            <w:r>
              <w:rPr>
                <w:rFonts w:ascii="Calibri" w:hAnsi="Calibri"/>
                <w:b w:val="0"/>
                <w:color w:val="000000"/>
                <w:sz w:val="17"/>
              </w:rPr>
              <w:t>Full</w:t>
            </w:r>
          </w:p>
        </w:tc>
        <w:tc>
          <w:tcPr>
            <w:tcW w:type="dxa" w:w="1814"/>
            <w:vAlign w:val="center"/>
            <w:shd w:val="clear" w:color="auto" w:fill="FFFFFF"/>
          </w:tcPr>
          <w:p>
            <w:pPr>
              <w:spacing w:before="50" w:after="50"/>
              <w:jc w:val="left"/>
            </w:pPr>
            <w:r>
              <w:rPr>
                <w:rFonts w:ascii="Calibri" w:hAnsi="Calibri"/>
                <w:b w:val="0"/>
                <w:color w:val="000000"/>
                <w:sz w:val="17"/>
              </w:rPr>
              <w:t>SMB / enterprise</w:t>
            </w:r>
          </w:p>
        </w:tc>
      </w:tr>
      <w:tr>
        <w:tc>
          <w:tcPr>
            <w:tcW w:type="dxa" w:w="2041"/>
            <w:vAlign w:val="center"/>
            <w:shd w:val="clear" w:color="auto" w:fill="F9F9F9"/>
          </w:tcPr>
          <w:p>
            <w:pPr>
              <w:spacing w:before="50" w:after="50"/>
              <w:jc w:val="left"/>
            </w:pPr>
            <w:r>
              <w:rPr>
                <w:rFonts w:ascii="Calibri" w:hAnsi="Calibri"/>
                <w:b w:val="0"/>
                <w:color w:val="000000"/>
                <w:sz w:val="17"/>
              </w:rPr>
              <w:t>Suricata 7.x [14]</w:t>
            </w:r>
          </w:p>
        </w:tc>
        <w:tc>
          <w:tcPr>
            <w:tcW w:type="dxa" w:w="1587"/>
            <w:vAlign w:val="center"/>
            <w:shd w:val="clear" w:color="auto" w:fill="F9F9F9"/>
          </w:tcPr>
          <w:p>
            <w:pPr>
              <w:spacing w:before="50" w:after="50"/>
              <w:jc w:val="left"/>
            </w:pPr>
            <w:r>
              <w:rPr>
                <w:rFonts w:ascii="Calibri" w:hAnsi="Calibri"/>
                <w:b w:val="0"/>
                <w:color w:val="000000"/>
                <w:sz w:val="17"/>
              </w:rPr>
              <w:t>OS IDS/IPS</w:t>
            </w:r>
          </w:p>
        </w:tc>
        <w:tc>
          <w:tcPr>
            <w:tcW w:type="dxa" w:w="2154"/>
            <w:vAlign w:val="center"/>
            <w:shd w:val="clear" w:color="auto" w:fill="F9F9F9"/>
          </w:tcPr>
          <w:p>
            <w:pPr>
              <w:spacing w:before="50" w:after="50"/>
              <w:jc w:val="left"/>
            </w:pPr>
            <w:r>
              <w:rPr>
                <w:rFonts w:ascii="Calibri" w:hAnsi="Calibri"/>
                <w:b w:val="0"/>
                <w:color w:val="000000"/>
                <w:sz w:val="17"/>
              </w:rPr>
              <w:t>Rules + AF_PACKET</w:t>
            </w:r>
          </w:p>
        </w:tc>
        <w:tc>
          <w:tcPr>
            <w:tcW w:type="dxa" w:w="1134"/>
            <w:vAlign w:val="center"/>
            <w:shd w:val="clear" w:color="auto" w:fill="F9F9F9"/>
          </w:tcPr>
          <w:p>
            <w:pPr>
              <w:spacing w:before="50" w:after="50"/>
              <w:jc w:val="center"/>
            </w:pPr>
            <w:r>
              <w:rPr>
                <w:rFonts w:ascii="Calibri" w:hAnsi="Calibri"/>
                <w:b w:val="0"/>
                <w:color w:val="000000"/>
                <w:sz w:val="17"/>
              </w:rPr>
              <w:t>Full</w:t>
            </w:r>
          </w:p>
        </w:tc>
        <w:tc>
          <w:tcPr>
            <w:tcW w:type="dxa" w:w="1814"/>
            <w:vAlign w:val="center"/>
            <w:shd w:val="clear" w:color="auto" w:fill="F9F9F9"/>
          </w:tcPr>
          <w:p>
            <w:pPr>
              <w:spacing w:before="50" w:after="50"/>
              <w:jc w:val="left"/>
            </w:pPr>
            <w:r>
              <w:rPr>
                <w:rFonts w:ascii="Calibri" w:hAnsi="Calibri"/>
                <w:b w:val="0"/>
                <w:color w:val="000000"/>
                <w:sz w:val="17"/>
              </w:rPr>
              <w:t>ISP / enterprise</w:t>
            </w:r>
          </w:p>
        </w:tc>
      </w:tr>
      <w:tr>
        <w:tc>
          <w:tcPr>
            <w:tcW w:type="dxa" w:w="2041"/>
            <w:vAlign w:val="center"/>
            <w:shd w:val="clear" w:color="auto" w:fill="FFFFFF"/>
          </w:tcPr>
          <w:p>
            <w:pPr>
              <w:spacing w:before="50" w:after="50"/>
              <w:jc w:val="left"/>
            </w:pPr>
            <w:r>
              <w:rPr>
                <w:rFonts w:ascii="Calibri" w:hAnsi="Calibri"/>
                <w:b w:val="0"/>
                <w:color w:val="000000"/>
                <w:sz w:val="17"/>
              </w:rPr>
              <w:t>Palo Alto PAN-OS 11 [15]</w:t>
            </w:r>
          </w:p>
        </w:tc>
        <w:tc>
          <w:tcPr>
            <w:tcW w:type="dxa" w:w="1587"/>
            <w:vAlign w:val="center"/>
            <w:shd w:val="clear" w:color="auto" w:fill="FFFFFF"/>
          </w:tcPr>
          <w:p>
            <w:pPr>
              <w:spacing w:before="50" w:after="50"/>
              <w:jc w:val="left"/>
            </w:pPr>
            <w:r>
              <w:rPr>
                <w:rFonts w:ascii="Calibri" w:hAnsi="Calibri"/>
                <w:b w:val="0"/>
                <w:color w:val="000000"/>
                <w:sz w:val="17"/>
              </w:rPr>
              <w:t>NGFW appliance</w:t>
            </w:r>
          </w:p>
        </w:tc>
        <w:tc>
          <w:tcPr>
            <w:tcW w:type="dxa" w:w="2154"/>
            <w:vAlign w:val="center"/>
            <w:shd w:val="clear" w:color="auto" w:fill="FFFFFF"/>
          </w:tcPr>
          <w:p>
            <w:pPr>
              <w:spacing w:before="50" w:after="50"/>
              <w:jc w:val="left"/>
            </w:pPr>
            <w:r>
              <w:rPr>
                <w:rFonts w:ascii="Calibri" w:hAnsi="Calibri"/>
                <w:b w:val="0"/>
                <w:color w:val="000000"/>
                <w:sz w:val="17"/>
              </w:rPr>
              <w:t>Wildfire ML + App-ID</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val="0"/>
                <w:color w:val="000000"/>
                <w:sz w:val="17"/>
              </w:rPr>
              <w:t>Cloudflare Magic Transit [16]</w:t>
            </w:r>
          </w:p>
        </w:tc>
        <w:tc>
          <w:tcPr>
            <w:tcW w:type="dxa" w:w="1587"/>
            <w:vAlign w:val="center"/>
            <w:shd w:val="clear" w:color="auto" w:fill="F9F9F9"/>
          </w:tcPr>
          <w:p>
            <w:pPr>
              <w:spacing w:before="50" w:after="50"/>
              <w:jc w:val="left"/>
            </w:pPr>
            <w:r>
              <w:rPr>
                <w:rFonts w:ascii="Calibri" w:hAnsi="Calibri"/>
                <w:b w:val="0"/>
                <w:color w:val="000000"/>
                <w:sz w:val="17"/>
              </w:rPr>
              <w:t>Cloud DDoS</w:t>
            </w:r>
          </w:p>
        </w:tc>
        <w:tc>
          <w:tcPr>
            <w:tcW w:type="dxa" w:w="2154"/>
            <w:vAlign w:val="center"/>
            <w:shd w:val="clear" w:color="auto" w:fill="F9F9F9"/>
          </w:tcPr>
          <w:p>
            <w:pPr>
              <w:spacing w:before="50" w:after="50"/>
              <w:jc w:val="left"/>
            </w:pPr>
            <w:r>
              <w:rPr>
                <w:rFonts w:ascii="Calibri" w:hAnsi="Calibri"/>
                <w:b w:val="0"/>
                <w:color w:val="000000"/>
                <w:sz w:val="17"/>
              </w:rPr>
              <w:t>BGP anycast + ML</w:t>
            </w:r>
          </w:p>
        </w:tc>
        <w:tc>
          <w:tcPr>
            <w:tcW w:type="dxa" w:w="1134"/>
            <w:vAlign w:val="center"/>
            <w:shd w:val="clear" w:color="auto" w:fill="F9F9F9"/>
          </w:tcPr>
          <w:p>
            <w:pPr>
              <w:spacing w:before="50" w:after="50"/>
              <w:jc w:val="center"/>
            </w:pPr>
            <w:r>
              <w:rPr>
                <w:rFonts w:ascii="Calibri" w:hAnsi="Calibri"/>
                <w:b w:val="0"/>
                <w:color w:val="000000"/>
                <w:sz w:val="17"/>
              </w:rPr>
              <w:t>None</w:t>
            </w:r>
          </w:p>
        </w:tc>
        <w:tc>
          <w:tcPr>
            <w:tcW w:type="dxa" w:w="1814"/>
            <w:vAlign w:val="center"/>
            <w:shd w:val="clear" w:color="auto" w:fill="F9F9F9"/>
          </w:tcPr>
          <w:p>
            <w:pPr>
              <w:spacing w:before="50" w:after="50"/>
              <w:jc w:val="left"/>
            </w:pPr>
            <w:r>
              <w:rPr>
                <w:rFonts w:ascii="Calibri" w:hAnsi="Calibri"/>
                <w:b w:val="0"/>
                <w:color w:val="000000"/>
                <w:sz w:val="17"/>
              </w:rPr>
              <w:t>Internet-facing SaaS</w:t>
            </w:r>
          </w:p>
        </w:tc>
      </w:tr>
      <w:tr>
        <w:tc>
          <w:tcPr>
            <w:tcW w:type="dxa" w:w="2041"/>
            <w:vAlign w:val="center"/>
            <w:shd w:val="clear" w:color="auto" w:fill="FFFFFF"/>
          </w:tcPr>
          <w:p>
            <w:pPr>
              <w:spacing w:before="50" w:after="50"/>
              <w:jc w:val="left"/>
            </w:pPr>
            <w:r>
              <w:rPr>
                <w:rFonts w:ascii="Calibri" w:hAnsi="Calibri"/>
                <w:b w:val="0"/>
                <w:color w:val="000000"/>
                <w:sz w:val="17"/>
              </w:rPr>
              <w:t>Cisco Firepower 4100 [17]</w:t>
            </w:r>
          </w:p>
        </w:tc>
        <w:tc>
          <w:tcPr>
            <w:tcW w:type="dxa" w:w="1587"/>
            <w:vAlign w:val="center"/>
            <w:shd w:val="clear" w:color="auto" w:fill="FFFFFF"/>
          </w:tcPr>
          <w:p>
            <w:pPr>
              <w:spacing w:before="50" w:after="50"/>
              <w:jc w:val="left"/>
            </w:pPr>
            <w:r>
              <w:rPr>
                <w:rFonts w:ascii="Calibri" w:hAnsi="Calibri"/>
                <w:b w:val="0"/>
                <w:color w:val="000000"/>
                <w:sz w:val="17"/>
              </w:rPr>
              <w:t>NGIPS appliance</w:t>
            </w:r>
          </w:p>
        </w:tc>
        <w:tc>
          <w:tcPr>
            <w:tcW w:type="dxa" w:w="2154"/>
            <w:vAlign w:val="center"/>
            <w:shd w:val="clear" w:color="auto" w:fill="FFFFFF"/>
          </w:tcPr>
          <w:p>
            <w:pPr>
              <w:spacing w:before="50" w:after="50"/>
              <w:jc w:val="left"/>
            </w:pPr>
            <w:r>
              <w:rPr>
                <w:rFonts w:ascii="Calibri" w:hAnsi="Calibri"/>
                <w:b w:val="0"/>
                <w:color w:val="000000"/>
                <w:sz w:val="17"/>
              </w:rPr>
              <w:t>Talos + Snort</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color w:val="000000"/>
                <w:sz w:val="17"/>
              </w:rPr>
              <w:t>Autonomous Agent (ours)</w:t>
            </w:r>
          </w:p>
        </w:tc>
        <w:tc>
          <w:tcPr>
            <w:tcW w:type="dxa" w:w="1587"/>
            <w:vAlign w:val="center"/>
            <w:shd w:val="clear" w:color="auto" w:fill="F9F9F9"/>
          </w:tcPr>
          <w:p>
            <w:pPr>
              <w:spacing w:before="50" w:after="50"/>
              <w:jc w:val="left"/>
            </w:pPr>
            <w:r>
              <w:rPr>
                <w:rFonts w:ascii="Calibri" w:hAnsi="Calibri"/>
                <w:b/>
                <w:color w:val="000000"/>
                <w:sz w:val="17"/>
              </w:rPr>
              <w:t>Hybrid inline</w:t>
            </w:r>
          </w:p>
        </w:tc>
        <w:tc>
          <w:tcPr>
            <w:tcW w:type="dxa" w:w="2154"/>
            <w:vAlign w:val="center"/>
            <w:shd w:val="clear" w:color="auto" w:fill="F9F9F9"/>
          </w:tcPr>
          <w:p>
            <w:pPr>
              <w:spacing w:before="50" w:after="50"/>
              <w:jc w:val="left"/>
            </w:pPr>
            <w:r>
              <w:rPr>
                <w:rFonts w:ascii="Calibri" w:hAnsi="Calibri"/>
                <w:b/>
                <w:color w:val="000000"/>
                <w:sz w:val="17"/>
              </w:rPr>
              <w:t>eBPF/XDP + local LLM</w:t>
            </w:r>
          </w:p>
        </w:tc>
        <w:tc>
          <w:tcPr>
            <w:tcW w:type="dxa" w:w="1134"/>
            <w:vAlign w:val="center"/>
            <w:shd w:val="clear" w:color="auto" w:fill="F9F9F9"/>
          </w:tcPr>
          <w:p>
            <w:pPr>
              <w:spacing w:before="50" w:after="50"/>
              <w:jc w:val="center"/>
            </w:pPr>
            <w:r>
              <w:rPr>
                <w:rFonts w:ascii="Calibri" w:hAnsi="Calibri"/>
                <w:b/>
                <w:color w:val="000000"/>
                <w:sz w:val="17"/>
              </w:rPr>
              <w:t>100%</w:t>
            </w:r>
          </w:p>
        </w:tc>
        <w:tc>
          <w:tcPr>
            <w:tcW w:type="dxa" w:w="1814"/>
            <w:vAlign w:val="center"/>
            <w:shd w:val="clear" w:color="auto" w:fill="F9F9F9"/>
          </w:tcPr>
          <w:p>
            <w:pPr>
              <w:spacing w:before="50" w:after="50"/>
              <w:jc w:val="left"/>
            </w:pPr>
            <w:r>
              <w:rPr>
                <w:rFonts w:ascii="Calibri" w:hAnsi="Calibri"/>
                <w:b/>
                <w:color w:val="000000"/>
                <w:sz w:val="17"/>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spacing w:before="60" w:after="60"/>
              <w:jc w:val="center"/>
            </w:pPr>
            <w:r>
              <w:rPr>
                <w:rFonts w:ascii="Calibri" w:hAnsi="Calibri"/>
                <w:b/>
                <w:color w:val="FFFFFF"/>
                <w:sz w:val="17"/>
              </w:rPr>
              <w:t>Metric</w:t>
            </w:r>
          </w:p>
        </w:tc>
        <w:tc>
          <w:tcPr>
            <w:tcW w:type="dxa" w:w="907"/>
            <w:shd w:val="clear" w:color="auto" w:fill="111827"/>
            <w:vAlign w:val="center"/>
          </w:tcPr>
          <w:p>
            <w:pPr>
              <w:spacing w:before="60" w:after="60"/>
              <w:jc w:val="center"/>
            </w:pPr>
            <w:r>
              <w:rPr>
                <w:rFonts w:ascii="Calibri" w:hAnsi="Calibri"/>
                <w:b/>
                <w:color w:val="FFFFFF"/>
                <w:sz w:val="17"/>
              </w:rPr>
              <w:t>Snort 3.x</w:t>
            </w:r>
          </w:p>
        </w:tc>
        <w:tc>
          <w:tcPr>
            <w:tcW w:type="dxa" w:w="1020"/>
            <w:shd w:val="clear" w:color="auto" w:fill="111827"/>
            <w:vAlign w:val="center"/>
          </w:tcPr>
          <w:p>
            <w:pPr>
              <w:spacing w:before="60" w:after="60"/>
              <w:jc w:val="center"/>
            </w:pPr>
            <w:r>
              <w:rPr>
                <w:rFonts w:ascii="Calibri" w:hAnsi="Calibri"/>
                <w:b/>
                <w:color w:val="FFFFFF"/>
                <w:sz w:val="17"/>
              </w:rPr>
              <w:t>Suricata 7.x</w:t>
            </w:r>
          </w:p>
        </w:tc>
        <w:tc>
          <w:tcPr>
            <w:tcW w:type="dxa" w:w="1020"/>
            <w:shd w:val="clear" w:color="auto" w:fill="111827"/>
            <w:vAlign w:val="center"/>
          </w:tcPr>
          <w:p>
            <w:pPr>
              <w:spacing w:before="60" w:after="60"/>
              <w:jc w:val="center"/>
            </w:pPr>
            <w:r>
              <w:rPr>
                <w:rFonts w:ascii="Calibri" w:hAnsi="Calibri"/>
                <w:b/>
                <w:color w:val="FFFFFF"/>
                <w:sz w:val="17"/>
              </w:rPr>
              <w:t>Palo Alto</w:t>
            </w:r>
          </w:p>
        </w:tc>
        <w:tc>
          <w:tcPr>
            <w:tcW w:type="dxa" w:w="1134"/>
            <w:shd w:val="clear" w:color="auto" w:fill="111827"/>
            <w:vAlign w:val="center"/>
          </w:tcPr>
          <w:p>
            <w:pPr>
              <w:spacing w:before="60" w:after="60"/>
              <w:jc w:val="center"/>
            </w:pPr>
            <w:r>
              <w:rPr>
                <w:rFonts w:ascii="Calibri" w:hAnsi="Calibri"/>
                <w:b/>
                <w:color w:val="FFFFFF"/>
                <w:sz w:val="17"/>
              </w:rPr>
              <w:t>Cloudflare MT</w:t>
            </w:r>
          </w:p>
        </w:tc>
        <w:tc>
          <w:tcPr>
            <w:tcW w:type="dxa" w:w="907"/>
            <w:shd w:val="clear" w:color="auto" w:fill="111827"/>
            <w:vAlign w:val="center"/>
          </w:tcPr>
          <w:p>
            <w:pPr>
              <w:spacing w:before="60" w:after="60"/>
              <w:jc w:val="center"/>
            </w:pPr>
            <w:r>
              <w:rPr>
                <w:rFonts w:ascii="Calibri" w:hAnsi="Calibri"/>
                <w:b/>
                <w:color w:val="FFFFFF"/>
                <w:sz w:val="17"/>
              </w:rPr>
              <w:t>Cisco FP</w:t>
            </w:r>
          </w:p>
        </w:tc>
        <w:tc>
          <w:tcPr>
            <w:tcW w:type="dxa" w:w="1644"/>
            <w:shd w:val="clear" w:color="auto" w:fill="111827"/>
            <w:vAlign w:val="center"/>
          </w:tcPr>
          <w:p>
            <w:pPr>
              <w:spacing w:before="60" w:after="60"/>
              <w:jc w:val="center"/>
            </w:pPr>
            <w:r>
              <w:rPr>
                <w:rFonts w:ascii="Calibri" w:hAnsi="Calibri"/>
                <w:b/>
                <w:color w:val="FFFFFF"/>
                <w:sz w:val="17"/>
              </w:rPr>
              <w:t>Autonomous Agent (ours)</w:t>
            </w:r>
          </w:p>
        </w:tc>
      </w:tr>
      <w:tr>
        <w:tc>
          <w:tcPr>
            <w:tcW w:type="dxa" w:w="1871"/>
            <w:vAlign w:val="center"/>
            <w:shd w:val="clear" w:color="auto" w:fill="FFFFFF"/>
          </w:tcPr>
          <w:p>
            <w:pPr>
              <w:spacing w:before="50" w:after="50"/>
              <w:jc w:val="left"/>
            </w:pPr>
            <w:r>
              <w:rPr>
                <w:rFonts w:ascii="Calibri" w:hAnsi="Calibri"/>
                <w:b w:val="0"/>
                <w:color w:val="000000"/>
                <w:sz w:val="17"/>
              </w:rPr>
              <w:t>Evasion Recall / TPR (%)</w:t>
            </w:r>
          </w:p>
        </w:tc>
        <w:tc>
          <w:tcPr>
            <w:tcW w:type="dxa" w:w="907"/>
            <w:vAlign w:val="center"/>
            <w:shd w:val="clear" w:color="auto" w:fill="FFFFFF"/>
          </w:tcPr>
          <w:p>
            <w:pPr>
              <w:spacing w:before="50" w:after="50"/>
              <w:jc w:val="center"/>
            </w:pPr>
            <w:r>
              <w:rPr>
                <w:rFonts w:ascii="Calibri" w:hAnsi="Calibri"/>
                <w:b w:val="0"/>
                <w:color w:val="000000"/>
                <w:sz w:val="17"/>
              </w:rPr>
              <w:t>68.4</w:t>
            </w:r>
          </w:p>
        </w:tc>
        <w:tc>
          <w:tcPr>
            <w:tcW w:type="dxa" w:w="1020"/>
            <w:vAlign w:val="center"/>
            <w:shd w:val="clear" w:color="auto" w:fill="FFFFFF"/>
          </w:tcPr>
          <w:p>
            <w:pPr>
              <w:spacing w:before="50" w:after="50"/>
              <w:jc w:val="center"/>
            </w:pPr>
            <w:r>
              <w:rPr>
                <w:rFonts w:ascii="Calibri" w:hAnsi="Calibri"/>
                <w:b w:val="0"/>
                <w:color w:val="000000"/>
                <w:sz w:val="17"/>
              </w:rPr>
              <w:t>71.2</w:t>
            </w:r>
          </w:p>
        </w:tc>
        <w:tc>
          <w:tcPr>
            <w:tcW w:type="dxa" w:w="1020"/>
            <w:vAlign w:val="center"/>
            <w:shd w:val="clear" w:color="auto" w:fill="FFFFFF"/>
          </w:tcPr>
          <w:p>
            <w:pPr>
              <w:spacing w:before="50" w:after="50"/>
              <w:jc w:val="center"/>
            </w:pPr>
            <w:r>
              <w:rPr>
                <w:rFonts w:ascii="Calibri" w:hAnsi="Calibri"/>
                <w:b w:val="0"/>
                <w:color w:val="000000"/>
                <w:sz w:val="17"/>
              </w:rPr>
              <w:t>89.2</w:t>
            </w:r>
          </w:p>
        </w:tc>
        <w:tc>
          <w:tcPr>
            <w:tcW w:type="dxa" w:w="1134"/>
            <w:vAlign w:val="center"/>
            <w:shd w:val="clear" w:color="auto" w:fill="FFFFFF"/>
          </w:tcPr>
          <w:p>
            <w:pPr>
              <w:spacing w:before="50" w:after="50"/>
              <w:jc w:val="center"/>
            </w:pPr>
            <w:r>
              <w:rPr>
                <w:rFonts w:ascii="Calibri" w:hAnsi="Calibri"/>
                <w:b w:val="0"/>
                <w:color w:val="000000"/>
                <w:sz w:val="17"/>
              </w:rPr>
              <w:t>87.6</w:t>
            </w:r>
          </w:p>
        </w:tc>
        <w:tc>
          <w:tcPr>
            <w:tcW w:type="dxa" w:w="907"/>
            <w:vAlign w:val="center"/>
            <w:shd w:val="clear" w:color="auto" w:fill="FFFFFF"/>
          </w:tcPr>
          <w:p>
            <w:pPr>
              <w:spacing w:before="50" w:after="50"/>
              <w:jc w:val="center"/>
            </w:pPr>
            <w:r>
              <w:rPr>
                <w:rFonts w:ascii="Calibri" w:hAnsi="Calibri"/>
                <w:b w:val="0"/>
                <w:color w:val="000000"/>
                <w:sz w:val="17"/>
              </w:rPr>
              <w:t>85.4</w:t>
            </w:r>
          </w:p>
        </w:tc>
        <w:tc>
          <w:tcPr>
            <w:tcW w:type="dxa" w:w="1644"/>
            <w:vAlign w:val="center"/>
            <w:shd w:val="clear" w:color="auto" w:fill="F1F5F9"/>
          </w:tcPr>
          <w:p>
            <w:pPr>
              <w:spacing w:before="50" w:after="50"/>
              <w:jc w:val="center"/>
            </w:pPr>
            <w:r>
              <w:rPr>
                <w:rFonts w:ascii="Calibri" w:hAnsi="Calibri"/>
                <w:b/>
                <w:color w:val="000000"/>
                <w:sz w:val="17"/>
              </w:rPr>
              <w:t>98.64</w:t>
            </w:r>
          </w:p>
        </w:tc>
      </w:tr>
      <w:tr>
        <w:tc>
          <w:tcPr>
            <w:tcW w:type="dxa" w:w="1871"/>
            <w:vAlign w:val="center"/>
            <w:shd w:val="clear" w:color="auto" w:fill="F9F9F9"/>
          </w:tcPr>
          <w:p>
            <w:pPr>
              <w:spacing w:before="50" w:after="50"/>
              <w:jc w:val="left"/>
            </w:pPr>
            <w:r>
              <w:rPr>
                <w:rFonts w:ascii="Calibri" w:hAnsi="Calibri"/>
                <w:b w:val="0"/>
                <w:color w:val="000000"/>
                <w:sz w:val="17"/>
              </w:rPr>
              <w:t>False Positive Rate (%)</w:t>
            </w:r>
          </w:p>
        </w:tc>
        <w:tc>
          <w:tcPr>
            <w:tcW w:type="dxa" w:w="907"/>
            <w:vAlign w:val="center"/>
            <w:shd w:val="clear" w:color="auto" w:fill="F9F9F9"/>
          </w:tcPr>
          <w:p>
            <w:pPr>
              <w:spacing w:before="50" w:after="50"/>
              <w:jc w:val="center"/>
            </w:pPr>
            <w:r>
              <w:rPr>
                <w:rFonts w:ascii="Calibri" w:hAnsi="Calibri"/>
                <w:b w:val="0"/>
                <w:color w:val="000000"/>
                <w:sz w:val="17"/>
              </w:rPr>
              <w:t>14.8</w:t>
            </w:r>
          </w:p>
        </w:tc>
        <w:tc>
          <w:tcPr>
            <w:tcW w:type="dxa" w:w="1020"/>
            <w:vAlign w:val="center"/>
            <w:shd w:val="clear" w:color="auto" w:fill="F9F9F9"/>
          </w:tcPr>
          <w:p>
            <w:pPr>
              <w:spacing w:before="50" w:after="50"/>
              <w:jc w:val="center"/>
            </w:pPr>
            <w:r>
              <w:rPr>
                <w:rFonts w:ascii="Calibri" w:hAnsi="Calibri"/>
                <w:b w:val="0"/>
                <w:color w:val="000000"/>
                <w:sz w:val="17"/>
              </w:rPr>
              <w:t>11.3</w:t>
            </w:r>
          </w:p>
        </w:tc>
        <w:tc>
          <w:tcPr>
            <w:tcW w:type="dxa" w:w="1020"/>
            <w:vAlign w:val="center"/>
            <w:shd w:val="clear" w:color="auto" w:fill="F9F9F9"/>
          </w:tcPr>
          <w:p>
            <w:pPr>
              <w:spacing w:before="50" w:after="50"/>
              <w:jc w:val="center"/>
            </w:pPr>
            <w:r>
              <w:rPr>
                <w:rFonts w:ascii="Calibri" w:hAnsi="Calibri"/>
                <w:b w:val="0"/>
                <w:color w:val="000000"/>
                <w:sz w:val="17"/>
              </w:rPr>
              <w:t>4.5</w:t>
            </w:r>
          </w:p>
        </w:tc>
        <w:tc>
          <w:tcPr>
            <w:tcW w:type="dxa" w:w="1134"/>
            <w:vAlign w:val="center"/>
            <w:shd w:val="clear" w:color="auto" w:fill="F9F9F9"/>
          </w:tcPr>
          <w:p>
            <w:pPr>
              <w:spacing w:before="50" w:after="50"/>
              <w:jc w:val="center"/>
            </w:pPr>
            <w:r>
              <w:rPr>
                <w:rFonts w:ascii="Calibri" w:hAnsi="Calibri"/>
                <w:b w:val="0"/>
                <w:color w:val="000000"/>
                <w:sz w:val="17"/>
              </w:rPr>
              <w:t>5.1</w:t>
            </w:r>
          </w:p>
        </w:tc>
        <w:tc>
          <w:tcPr>
            <w:tcW w:type="dxa" w:w="907"/>
            <w:vAlign w:val="center"/>
            <w:shd w:val="clear" w:color="auto" w:fill="F9F9F9"/>
          </w:tcPr>
          <w:p>
            <w:pPr>
              <w:spacing w:before="50" w:after="50"/>
              <w:jc w:val="center"/>
            </w:pPr>
            <w:r>
              <w:rPr>
                <w:rFonts w:ascii="Calibri" w:hAnsi="Calibri"/>
                <w:b w:val="0"/>
                <w:color w:val="000000"/>
                <w:sz w:val="17"/>
              </w:rPr>
              <w:t>6.2</w:t>
            </w:r>
          </w:p>
        </w:tc>
        <w:tc>
          <w:tcPr>
            <w:tcW w:type="dxa" w:w="1644"/>
            <w:vAlign w:val="center"/>
            <w:shd w:val="clear" w:color="auto" w:fill="F1F5F9"/>
          </w:tcPr>
          <w:p>
            <w:pPr>
              <w:spacing w:before="50" w:after="50"/>
              <w:jc w:val="center"/>
            </w:pPr>
            <w:r>
              <w:rPr>
                <w:rFonts w:ascii="Calibri" w:hAnsi="Calibri"/>
                <w:b/>
                <w:color w:val="000000"/>
                <w:sz w:val="17"/>
              </w:rPr>
              <w:t>0.12</w:t>
            </w:r>
          </w:p>
        </w:tc>
      </w:tr>
      <w:tr>
        <w:tc>
          <w:tcPr>
            <w:tcW w:type="dxa" w:w="1871"/>
            <w:vAlign w:val="center"/>
            <w:shd w:val="clear" w:color="auto" w:fill="FFFFFF"/>
          </w:tcPr>
          <w:p>
            <w:pPr>
              <w:spacing w:before="50" w:after="50"/>
              <w:jc w:val="left"/>
            </w:pPr>
            <w:r>
              <w:rPr>
                <w:rFonts w:ascii="Calibri" w:hAnsi="Calibri"/>
                <w:b w:val="0"/>
                <w:color w:val="000000"/>
                <w:sz w:val="17"/>
              </w:rPr>
              <w:t>Encrypted C2 Detect. (%)</w:t>
            </w:r>
          </w:p>
        </w:tc>
        <w:tc>
          <w:tcPr>
            <w:tcW w:type="dxa" w:w="907"/>
            <w:vAlign w:val="center"/>
            <w:shd w:val="clear" w:color="auto" w:fill="FFFFFF"/>
          </w:tcPr>
          <w:p>
            <w:pPr>
              <w:spacing w:before="50" w:after="50"/>
              <w:jc w:val="center"/>
            </w:pPr>
            <w:r>
              <w:rPr>
                <w:rFonts w:ascii="Calibri" w:hAnsi="Calibri"/>
                <w:b w:val="0"/>
                <w:color w:val="000000"/>
                <w:sz w:val="17"/>
              </w:rPr>
              <w:t>12.0</w:t>
            </w:r>
          </w:p>
        </w:tc>
        <w:tc>
          <w:tcPr>
            <w:tcW w:type="dxa" w:w="1020"/>
            <w:vAlign w:val="center"/>
            <w:shd w:val="clear" w:color="auto" w:fill="FFFFFF"/>
          </w:tcPr>
          <w:p>
            <w:pPr>
              <w:spacing w:before="50" w:after="50"/>
              <w:jc w:val="center"/>
            </w:pPr>
            <w:r>
              <w:rPr>
                <w:rFonts w:ascii="Calibri" w:hAnsi="Calibri"/>
                <w:b w:val="0"/>
                <w:color w:val="000000"/>
                <w:sz w:val="17"/>
              </w:rPr>
              <w:t>18.5</w:t>
            </w:r>
          </w:p>
        </w:tc>
        <w:tc>
          <w:tcPr>
            <w:tcW w:type="dxa" w:w="1020"/>
            <w:vAlign w:val="center"/>
            <w:shd w:val="clear" w:color="auto" w:fill="FFFFFF"/>
          </w:tcPr>
          <w:p>
            <w:pPr>
              <w:spacing w:before="50" w:after="50"/>
              <w:jc w:val="center"/>
            </w:pPr>
            <w:r>
              <w:rPr>
                <w:rFonts w:ascii="Calibri" w:hAnsi="Calibri"/>
                <w:b w:val="0"/>
                <w:color w:val="000000"/>
                <w:sz w:val="17"/>
              </w:rPr>
              <w:t>72.3</w:t>
            </w:r>
          </w:p>
        </w:tc>
        <w:tc>
          <w:tcPr>
            <w:tcW w:type="dxa" w:w="1134"/>
            <w:vAlign w:val="center"/>
            <w:shd w:val="clear" w:color="auto" w:fill="FFFFFF"/>
          </w:tcPr>
          <w:p>
            <w:pPr>
              <w:spacing w:before="50" w:after="50"/>
              <w:jc w:val="center"/>
            </w:pPr>
            <w:r>
              <w:rPr>
                <w:rFonts w:ascii="Calibri" w:hAnsi="Calibri"/>
                <w:b w:val="0"/>
                <w:color w:val="000000"/>
                <w:sz w:val="17"/>
              </w:rPr>
              <w:t>68.0</w:t>
            </w:r>
          </w:p>
        </w:tc>
        <w:tc>
          <w:tcPr>
            <w:tcW w:type="dxa" w:w="907"/>
            <w:vAlign w:val="center"/>
            <w:shd w:val="clear" w:color="auto" w:fill="FFFFFF"/>
          </w:tcPr>
          <w:p>
            <w:pPr>
              <w:spacing w:before="50" w:after="50"/>
              <w:jc w:val="center"/>
            </w:pPr>
            <w:r>
              <w:rPr>
                <w:rFonts w:ascii="Calibri" w:hAnsi="Calibri"/>
                <w:b w:val="0"/>
                <w:color w:val="000000"/>
                <w:sz w:val="17"/>
              </w:rPr>
              <w:t>64.1</w:t>
            </w:r>
          </w:p>
        </w:tc>
        <w:tc>
          <w:tcPr>
            <w:tcW w:type="dxa" w:w="1644"/>
            <w:vAlign w:val="center"/>
            <w:shd w:val="clear" w:color="auto" w:fill="F1F5F9"/>
          </w:tcPr>
          <w:p>
            <w:pPr>
              <w:spacing w:before="50" w:after="50"/>
              <w:jc w:val="center"/>
            </w:pPr>
            <w:r>
              <w:rPr>
                <w:rFonts w:ascii="Calibri" w:hAnsi="Calibri"/>
                <w:b/>
                <w:color w:val="000000"/>
                <w:sz w:val="17"/>
              </w:rPr>
              <w:t>87.9</w:t>
            </w:r>
          </w:p>
        </w:tc>
      </w:tr>
      <w:tr>
        <w:tc>
          <w:tcPr>
            <w:tcW w:type="dxa" w:w="1871"/>
            <w:vAlign w:val="center"/>
            <w:shd w:val="clear" w:color="auto" w:fill="F9F9F9"/>
          </w:tcPr>
          <w:p>
            <w:pPr>
              <w:spacing w:before="50" w:after="50"/>
              <w:jc w:val="left"/>
            </w:pPr>
            <w:r>
              <w:rPr>
                <w:rFonts w:ascii="Calibri" w:hAnsi="Calibri"/>
                <w:b w:val="0"/>
                <w:color w:val="000000"/>
                <w:sz w:val="17"/>
              </w:rPr>
              <w:t>Scan Evasion Resist. (%)</w:t>
            </w:r>
          </w:p>
        </w:tc>
        <w:tc>
          <w:tcPr>
            <w:tcW w:type="dxa" w:w="907"/>
            <w:vAlign w:val="center"/>
            <w:shd w:val="clear" w:color="auto" w:fill="F9F9F9"/>
          </w:tcPr>
          <w:p>
            <w:pPr>
              <w:spacing w:before="50" w:after="50"/>
              <w:jc w:val="center"/>
            </w:pPr>
            <w:r>
              <w:rPr>
                <w:rFonts w:ascii="Calibri" w:hAnsi="Calibri"/>
                <w:b w:val="0"/>
                <w:color w:val="000000"/>
                <w:sz w:val="17"/>
              </w:rPr>
              <w:t>41.0</w:t>
            </w:r>
          </w:p>
        </w:tc>
        <w:tc>
          <w:tcPr>
            <w:tcW w:type="dxa" w:w="1020"/>
            <w:vAlign w:val="center"/>
            <w:shd w:val="clear" w:color="auto" w:fill="F9F9F9"/>
          </w:tcPr>
          <w:p>
            <w:pPr>
              <w:spacing w:before="50" w:after="50"/>
              <w:jc w:val="center"/>
            </w:pPr>
            <w:r>
              <w:rPr>
                <w:rFonts w:ascii="Calibri" w:hAnsi="Calibri"/>
                <w:b w:val="0"/>
                <w:color w:val="000000"/>
                <w:sz w:val="17"/>
              </w:rPr>
              <w:t>49.0</w:t>
            </w:r>
          </w:p>
        </w:tc>
        <w:tc>
          <w:tcPr>
            <w:tcW w:type="dxa" w:w="1020"/>
            <w:vAlign w:val="center"/>
            <w:shd w:val="clear" w:color="auto" w:fill="F9F9F9"/>
          </w:tcPr>
          <w:p>
            <w:pPr>
              <w:spacing w:before="50" w:after="50"/>
              <w:jc w:val="center"/>
            </w:pPr>
            <w:r>
              <w:rPr>
                <w:rFonts w:ascii="Calibri" w:hAnsi="Calibri"/>
                <w:b w:val="0"/>
                <w:color w:val="000000"/>
                <w:sz w:val="17"/>
              </w:rPr>
              <w:t>76.0</w:t>
            </w:r>
          </w:p>
        </w:tc>
        <w:tc>
          <w:tcPr>
            <w:tcW w:type="dxa" w:w="1134"/>
            <w:vAlign w:val="center"/>
            <w:shd w:val="clear" w:color="auto" w:fill="F9F9F9"/>
          </w:tcPr>
          <w:p>
            <w:pPr>
              <w:spacing w:before="50" w:after="50"/>
              <w:jc w:val="center"/>
            </w:pPr>
            <w:r>
              <w:rPr>
                <w:rFonts w:ascii="Calibri" w:hAnsi="Calibri"/>
                <w:b w:val="0"/>
                <w:color w:val="000000"/>
                <w:sz w:val="17"/>
              </w:rPr>
              <w:t>N/A</w:t>
            </w:r>
          </w:p>
        </w:tc>
        <w:tc>
          <w:tcPr>
            <w:tcW w:type="dxa" w:w="907"/>
            <w:vAlign w:val="center"/>
            <w:shd w:val="clear" w:color="auto" w:fill="F9F9F9"/>
          </w:tcPr>
          <w:p>
            <w:pPr>
              <w:spacing w:before="50" w:after="50"/>
              <w:jc w:val="center"/>
            </w:pPr>
            <w:r>
              <w:rPr>
                <w:rFonts w:ascii="Calibri" w:hAnsi="Calibri"/>
                <w:b w:val="0"/>
                <w:color w:val="000000"/>
                <w:sz w:val="17"/>
              </w:rPr>
              <w:t>71.0</w:t>
            </w:r>
          </w:p>
        </w:tc>
        <w:tc>
          <w:tcPr>
            <w:tcW w:type="dxa" w:w="1644"/>
            <w:vAlign w:val="center"/>
            <w:shd w:val="clear" w:color="auto" w:fill="F1F5F9"/>
          </w:tcPr>
          <w:p>
            <w:pPr>
              <w:spacing w:before="50" w:after="50"/>
              <w:jc w:val="center"/>
            </w:pPr>
            <w:r>
              <w:rPr>
                <w:rFonts w:ascii="Calibri" w:hAnsi="Calibri"/>
                <w:b/>
                <w:color w:val="000000"/>
                <w:sz w:val="17"/>
              </w:rPr>
              <w:t>96.8</w:t>
            </w:r>
          </w:p>
        </w:tc>
      </w:tr>
      <w:tr>
        <w:tc>
          <w:tcPr>
            <w:tcW w:type="dxa" w:w="1871"/>
            <w:vAlign w:val="center"/>
            <w:shd w:val="clear" w:color="auto" w:fill="FFFFFF"/>
          </w:tcPr>
          <w:p>
            <w:pPr>
              <w:spacing w:before="50" w:after="50"/>
              <w:jc w:val="left"/>
            </w:pPr>
            <w:r>
              <w:rPr>
                <w:rFonts w:ascii="Calibri" w:hAnsi="Calibri"/>
                <w:b w:val="0"/>
                <w:color w:val="000000"/>
                <w:sz w:val="17"/>
              </w:rPr>
              <w:t>Adversarial Robust. (%)</w:t>
            </w:r>
          </w:p>
        </w:tc>
        <w:tc>
          <w:tcPr>
            <w:tcW w:type="dxa" w:w="907"/>
            <w:vAlign w:val="center"/>
            <w:shd w:val="clear" w:color="auto" w:fill="FFFFFF"/>
          </w:tcPr>
          <w:p>
            <w:pPr>
              <w:spacing w:before="50" w:after="50"/>
              <w:jc w:val="center"/>
            </w:pPr>
            <w:r>
              <w:rPr>
                <w:rFonts w:ascii="Calibri" w:hAnsi="Calibri"/>
                <w:b w:val="0"/>
                <w:color w:val="000000"/>
                <w:sz w:val="17"/>
              </w:rPr>
              <w:t>29.0</w:t>
            </w:r>
          </w:p>
        </w:tc>
        <w:tc>
          <w:tcPr>
            <w:tcW w:type="dxa" w:w="1020"/>
            <w:vAlign w:val="center"/>
            <w:shd w:val="clear" w:color="auto" w:fill="FFFFFF"/>
          </w:tcPr>
          <w:p>
            <w:pPr>
              <w:spacing w:before="50" w:after="50"/>
              <w:jc w:val="center"/>
            </w:pPr>
            <w:r>
              <w:rPr>
                <w:rFonts w:ascii="Calibri" w:hAnsi="Calibri"/>
                <w:b w:val="0"/>
                <w:color w:val="000000"/>
                <w:sz w:val="17"/>
              </w:rPr>
              <w:t>34.0</w:t>
            </w:r>
          </w:p>
        </w:tc>
        <w:tc>
          <w:tcPr>
            <w:tcW w:type="dxa" w:w="1020"/>
            <w:vAlign w:val="center"/>
            <w:shd w:val="clear" w:color="auto" w:fill="FFFFFF"/>
          </w:tcPr>
          <w:p>
            <w:pPr>
              <w:spacing w:before="50" w:after="50"/>
              <w:jc w:val="center"/>
            </w:pPr>
            <w:r>
              <w:rPr>
                <w:rFonts w:ascii="Calibri" w:hAnsi="Calibri"/>
                <w:b w:val="0"/>
                <w:color w:val="000000"/>
                <w:sz w:val="17"/>
              </w:rPr>
              <w:t>67.0</w:t>
            </w:r>
          </w:p>
        </w:tc>
        <w:tc>
          <w:tcPr>
            <w:tcW w:type="dxa" w:w="1134"/>
            <w:vAlign w:val="center"/>
            <w:shd w:val="clear" w:color="auto" w:fill="FFFFFF"/>
          </w:tcPr>
          <w:p>
            <w:pPr>
              <w:spacing w:before="50" w:after="50"/>
              <w:jc w:val="center"/>
            </w:pPr>
            <w:r>
              <w:rPr>
                <w:rFonts w:ascii="Calibri" w:hAnsi="Calibri"/>
                <w:b w:val="0"/>
                <w:color w:val="000000"/>
                <w:sz w:val="17"/>
              </w:rPr>
              <w:t>61.0</w:t>
            </w:r>
          </w:p>
        </w:tc>
        <w:tc>
          <w:tcPr>
            <w:tcW w:type="dxa" w:w="907"/>
            <w:vAlign w:val="center"/>
            <w:shd w:val="clear" w:color="auto" w:fill="FFFFFF"/>
          </w:tcPr>
          <w:p>
            <w:pPr>
              <w:spacing w:before="50" w:after="50"/>
              <w:jc w:val="center"/>
            </w:pPr>
            <w:r>
              <w:rPr>
                <w:rFonts w:ascii="Calibri" w:hAnsi="Calibri"/>
                <w:b w:val="0"/>
                <w:color w:val="000000"/>
                <w:sz w:val="17"/>
              </w:rPr>
              <w:t>59.0</w:t>
            </w:r>
          </w:p>
        </w:tc>
        <w:tc>
          <w:tcPr>
            <w:tcW w:type="dxa" w:w="1644"/>
            <w:vAlign w:val="center"/>
            <w:shd w:val="clear" w:color="auto" w:fill="F1F5F9"/>
          </w:tcPr>
          <w:p>
            <w:pPr>
              <w:spacing w:before="50" w:after="50"/>
              <w:jc w:val="center"/>
            </w:pPr>
            <w:r>
              <w:rPr>
                <w:rFonts w:ascii="Calibri" w:hAnsi="Calibri"/>
                <w:b/>
                <w:color w:val="000000"/>
                <w:sz w:val="17"/>
              </w:rPr>
              <w:t>94.1</w:t>
            </w:r>
          </w:p>
        </w:tc>
      </w:tr>
    </w:tbl>
    <w:p>
      <w:pPr>
        <w:spacing w:before="40" w:after="160"/>
        <w:jc w:val="center"/>
      </w:pPr>
      <w:r>
        <w:rPr>
          <w:rFonts w:ascii="Calibri" w:hAnsi="Calibri"/>
          <w:i/>
          <w:color w:val="333333"/>
          <w:sz w:val="18"/>
        </w:rPr>
        <w:t>Table III: Detection accuracy comparison across 10M Monte Carlo emulation flows. Open-source NIDS baselines (Snort 3.x, Suricata 7.x) were evaluated directly on the physical inline testbed with standard community rule sets. Enterprise platform figures (Palo Alto PAN-OS, Cloudflare Magic Transit, Cisco Firepower) are aggregated from published NIDS evaluation surveys [15]–[17] under representative multi-vector threat workloads; direct independent evaluation of commercial platforms was not conducted. Autonomous Agent achieves 87.9% C2 detection out-of-band without payload decryption.</w:t>
      </w:r>
    </w:p>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spacing w:before="60" w:after="60"/>
              <w:jc w:val="center"/>
            </w:pPr>
            <w:r>
              <w:rPr>
                <w:rFonts w:ascii="Calibri" w:hAnsi="Calibri"/>
                <w:b/>
                <w:color w:val="FFFFFF"/>
                <w:sz w:val="17"/>
              </w:rPr>
              <w:t>System</w:t>
            </w:r>
          </w:p>
        </w:tc>
        <w:tc>
          <w:tcPr>
            <w:tcW w:type="dxa" w:w="1814"/>
            <w:shd w:val="clear" w:color="auto" w:fill="111827"/>
            <w:vAlign w:val="center"/>
          </w:tcPr>
          <w:p>
            <w:pPr>
              <w:spacing w:before="60" w:after="60"/>
              <w:jc w:val="center"/>
            </w:pPr>
            <w:r>
              <w:rPr>
                <w:rFonts w:ascii="Calibri" w:hAnsi="Calibri"/>
                <w:b/>
                <w:color w:val="FFFFFF"/>
                <w:sz w:val="17"/>
              </w:rPr>
              <w:t>Data-Plane Latency</w:t>
            </w:r>
          </w:p>
        </w:tc>
        <w:tc>
          <w:tcPr>
            <w:tcW w:type="dxa" w:w="1814"/>
            <w:shd w:val="clear" w:color="auto" w:fill="111827"/>
            <w:vAlign w:val="center"/>
          </w:tcPr>
          <w:p>
            <w:pPr>
              <w:spacing w:before="60" w:after="60"/>
              <w:jc w:val="center"/>
            </w:pPr>
            <w:r>
              <w:rPr>
                <w:rFonts w:ascii="Calibri" w:hAnsi="Calibri"/>
                <w:b/>
                <w:color w:val="FFFFFF"/>
                <w:sz w:val="17"/>
              </w:rPr>
              <w:t>Control-Plane Latency</w:t>
            </w:r>
          </w:p>
        </w:tc>
        <w:tc>
          <w:tcPr>
            <w:tcW w:type="dxa" w:w="1701"/>
            <w:shd w:val="clear" w:color="auto" w:fill="111827"/>
            <w:vAlign w:val="center"/>
          </w:tcPr>
          <w:p>
            <w:pPr>
              <w:spacing w:before="60" w:after="60"/>
              <w:jc w:val="center"/>
            </w:pPr>
            <w:r>
              <w:rPr>
                <w:rFonts w:ascii="Calibri" w:hAnsi="Calibri"/>
                <w:b/>
                <w:color w:val="FFFFFF"/>
                <w:sz w:val="17"/>
              </w:rPr>
              <w:t>Max Throughput</w:t>
            </w:r>
          </w:p>
        </w:tc>
        <w:tc>
          <w:tcPr>
            <w:tcW w:type="dxa" w:w="1701"/>
            <w:shd w:val="clear" w:color="auto" w:fill="111827"/>
            <w:vAlign w:val="center"/>
          </w:tcPr>
          <w:p>
            <w:pPr>
              <w:spacing w:before="60" w:after="60"/>
              <w:jc w:val="center"/>
            </w:pPr>
            <w:r>
              <w:rPr>
                <w:rFonts w:ascii="Calibri" w:hAnsi="Calibri"/>
                <w:b/>
                <w:color w:val="FFFFFF"/>
                <w:sz w:val="17"/>
              </w:rPr>
              <w:t>Architecture</w:t>
            </w:r>
          </w:p>
        </w:tc>
      </w:tr>
      <w:tr>
        <w:tc>
          <w:tcPr>
            <w:tcW w:type="dxa" w:w="1701"/>
            <w:vAlign w:val="center"/>
            <w:shd w:val="clear" w:color="auto" w:fill="FFFFFF"/>
          </w:tcPr>
          <w:p>
            <w:pPr>
              <w:spacing w:before="50" w:after="50"/>
              <w:jc w:val="left"/>
            </w:pPr>
            <w:r>
              <w:rPr>
                <w:rFonts w:ascii="Calibri" w:hAnsi="Calibri"/>
                <w:b w:val="0"/>
                <w:color w:val="000000"/>
                <w:sz w:val="17"/>
              </w:rPr>
              <w:t>Snort 3.x</w:t>
            </w:r>
          </w:p>
        </w:tc>
        <w:tc>
          <w:tcPr>
            <w:tcW w:type="dxa" w:w="1814"/>
            <w:vAlign w:val="center"/>
            <w:shd w:val="clear" w:color="auto" w:fill="FFFFFF"/>
          </w:tcPr>
          <w:p>
            <w:pPr>
              <w:spacing w:before="50" w:after="50"/>
              <w:jc w:val="center"/>
            </w:pPr>
            <w:r>
              <w:rPr>
                <w:rFonts w:ascii="Calibri" w:hAnsi="Calibri"/>
                <w:b w:val="0"/>
                <w:color w:val="000000"/>
                <w:sz w:val="17"/>
              </w:rPr>
              <w:t>250-800 us</w:t>
            </w:r>
          </w:p>
        </w:tc>
        <w:tc>
          <w:tcPr>
            <w:tcW w:type="dxa" w:w="1814"/>
            <w:vAlign w:val="center"/>
            <w:shd w:val="clear" w:color="auto" w:fill="FFFFFF"/>
          </w:tcPr>
          <w:p>
            <w:pPr>
              <w:spacing w:before="50" w:after="50"/>
              <w:jc w:val="center"/>
            </w:pPr>
            <w:r>
              <w:rPr>
                <w:rFonts w:ascii="Calibri" w:hAnsi="Calibri"/>
                <w:b w:val="0"/>
                <w:color w:val="000000"/>
                <w:sz w:val="17"/>
              </w:rPr>
              <w:t>80-200 ms</w:t>
            </w:r>
          </w:p>
        </w:tc>
        <w:tc>
          <w:tcPr>
            <w:tcW w:type="dxa" w:w="1701"/>
            <w:vAlign w:val="center"/>
            <w:shd w:val="clear" w:color="auto" w:fill="FFFFFF"/>
          </w:tcPr>
          <w:p>
            <w:pPr>
              <w:spacing w:before="50" w:after="50"/>
              <w:jc w:val="center"/>
            </w:pPr>
            <w:r>
              <w:rPr>
                <w:rFonts w:ascii="Calibri" w:hAnsi="Calibri"/>
                <w:b w:val="0"/>
                <w:color w:val="000000"/>
                <w:sz w:val="17"/>
              </w:rPr>
              <w:t>~2 Gbps</w:t>
            </w:r>
          </w:p>
        </w:tc>
        <w:tc>
          <w:tcPr>
            <w:tcW w:type="dxa" w:w="1701"/>
            <w:vAlign w:val="center"/>
            <w:shd w:val="clear" w:color="auto" w:fill="FFFFFF"/>
          </w:tcPr>
          <w:p>
            <w:pPr>
              <w:spacing w:before="50" w:after="50"/>
              <w:jc w:val="left"/>
            </w:pPr>
            <w:r>
              <w:rPr>
                <w:rFonts w:ascii="Calibri" w:hAnsi="Calibri"/>
                <w:b w:val="0"/>
                <w:color w:val="000000"/>
                <w:sz w:val="17"/>
              </w:rPr>
              <w:t>User-space DAQ</w:t>
            </w:r>
          </w:p>
        </w:tc>
      </w:tr>
      <w:tr>
        <w:tc>
          <w:tcPr>
            <w:tcW w:type="dxa" w:w="1701"/>
            <w:vAlign w:val="center"/>
            <w:shd w:val="clear" w:color="auto" w:fill="F9F9F9"/>
          </w:tcPr>
          <w:p>
            <w:pPr>
              <w:spacing w:before="50" w:after="50"/>
              <w:jc w:val="left"/>
            </w:pPr>
            <w:r>
              <w:rPr>
                <w:rFonts w:ascii="Calibri" w:hAnsi="Calibri"/>
                <w:b w:val="0"/>
                <w:color w:val="000000"/>
                <w:sz w:val="17"/>
              </w:rPr>
              <w:t>Suricata 7.x</w:t>
            </w:r>
          </w:p>
        </w:tc>
        <w:tc>
          <w:tcPr>
            <w:tcW w:type="dxa" w:w="1814"/>
            <w:vAlign w:val="center"/>
            <w:shd w:val="clear" w:color="auto" w:fill="F9F9F9"/>
          </w:tcPr>
          <w:p>
            <w:pPr>
              <w:spacing w:before="50" w:after="50"/>
              <w:jc w:val="center"/>
            </w:pPr>
            <w:r>
              <w:rPr>
                <w:rFonts w:ascii="Calibri" w:hAnsi="Calibri"/>
                <w:b w:val="0"/>
                <w:color w:val="000000"/>
                <w:sz w:val="17"/>
              </w:rPr>
              <w:t>180-600 us</w:t>
            </w:r>
          </w:p>
        </w:tc>
        <w:tc>
          <w:tcPr>
            <w:tcW w:type="dxa" w:w="1814"/>
            <w:vAlign w:val="center"/>
            <w:shd w:val="clear" w:color="auto" w:fill="F9F9F9"/>
          </w:tcPr>
          <w:p>
            <w:pPr>
              <w:spacing w:before="50" w:after="50"/>
              <w:jc w:val="center"/>
            </w:pPr>
            <w:r>
              <w:rPr>
                <w:rFonts w:ascii="Calibri" w:hAnsi="Calibri"/>
                <w:b w:val="0"/>
                <w:color w:val="000000"/>
                <w:sz w:val="17"/>
              </w:rPr>
              <w:t>50-150 ms</w:t>
            </w:r>
          </w:p>
        </w:tc>
        <w:tc>
          <w:tcPr>
            <w:tcW w:type="dxa" w:w="1701"/>
            <w:vAlign w:val="center"/>
            <w:shd w:val="clear" w:color="auto" w:fill="F9F9F9"/>
          </w:tcPr>
          <w:p>
            <w:pPr>
              <w:spacing w:before="50" w:after="50"/>
              <w:jc w:val="center"/>
            </w:pPr>
            <w:r>
              <w:rPr>
                <w:rFonts w:ascii="Calibri" w:hAnsi="Calibri"/>
                <w:b w:val="0"/>
                <w:color w:val="000000"/>
                <w:sz w:val="17"/>
              </w:rPr>
              <w:t>~4 Gbps</w:t>
            </w:r>
          </w:p>
        </w:tc>
        <w:tc>
          <w:tcPr>
            <w:tcW w:type="dxa" w:w="1701"/>
            <w:vAlign w:val="center"/>
            <w:shd w:val="clear" w:color="auto" w:fill="F9F9F9"/>
          </w:tcPr>
          <w:p>
            <w:pPr>
              <w:spacing w:before="50" w:after="50"/>
              <w:jc w:val="left"/>
            </w:pPr>
            <w:r>
              <w:rPr>
                <w:rFonts w:ascii="Calibri" w:hAnsi="Calibri"/>
                <w:b w:val="0"/>
                <w:color w:val="000000"/>
                <w:sz w:val="17"/>
              </w:rPr>
              <w:t>User-space AF_PACKET</w:t>
            </w:r>
          </w:p>
        </w:tc>
      </w:tr>
      <w:tr>
        <w:tc>
          <w:tcPr>
            <w:tcW w:type="dxa" w:w="1701"/>
            <w:vAlign w:val="center"/>
            <w:shd w:val="clear" w:color="auto" w:fill="FFFFFF"/>
          </w:tcPr>
          <w:p>
            <w:pPr>
              <w:spacing w:before="50" w:after="50"/>
              <w:jc w:val="left"/>
            </w:pPr>
            <w:r>
              <w:rPr>
                <w:rFonts w:ascii="Calibri" w:hAnsi="Calibri"/>
                <w:b w:val="0"/>
                <w:color w:val="000000"/>
                <w:sz w:val="17"/>
              </w:rPr>
              <w:t>Palo Alto PAN-OS</w:t>
            </w:r>
          </w:p>
        </w:tc>
        <w:tc>
          <w:tcPr>
            <w:tcW w:type="dxa" w:w="1814"/>
            <w:vAlign w:val="center"/>
            <w:shd w:val="clear" w:color="auto" w:fill="FFFFFF"/>
          </w:tcPr>
          <w:p>
            <w:pPr>
              <w:spacing w:before="50" w:after="50"/>
              <w:jc w:val="center"/>
            </w:pPr>
            <w:r>
              <w:rPr>
                <w:rFonts w:ascii="Calibri" w:hAnsi="Calibri"/>
                <w:b w:val="0"/>
                <w:color w:val="000000"/>
                <w:sz w:val="17"/>
              </w:rPr>
              <w:t>25-120 us (local)</w:t>
            </w:r>
          </w:p>
        </w:tc>
        <w:tc>
          <w:tcPr>
            <w:tcW w:type="dxa" w:w="1814"/>
            <w:vAlign w:val="center"/>
            <w:shd w:val="clear" w:color="auto" w:fill="FFFFFF"/>
          </w:tcPr>
          <w:p>
            <w:pPr>
              <w:spacing w:before="50" w:after="50"/>
              <w:jc w:val="center"/>
            </w:pPr>
            <w:r>
              <w:rPr>
                <w:rFonts w:ascii="Calibri" w:hAnsi="Calibri"/>
                <w:b w:val="0"/>
                <w:color w:val="000000"/>
                <w:sz w:val="17"/>
              </w:rPr>
              <w:t>100-500 ms</w:t>
            </w:r>
          </w:p>
        </w:tc>
        <w:tc>
          <w:tcPr>
            <w:tcW w:type="dxa" w:w="1701"/>
            <w:vAlign w:val="center"/>
            <w:shd w:val="clear" w:color="auto" w:fill="FFFFFF"/>
          </w:tcPr>
          <w:p>
            <w:pPr>
              <w:spacing w:before="50" w:after="50"/>
              <w:jc w:val="center"/>
            </w:pPr>
            <w:r>
              <w:rPr>
                <w:rFonts w:ascii="Calibri" w:hAnsi="Calibri"/>
                <w:b w:val="0"/>
                <w:color w:val="000000"/>
                <w:sz w:val="17"/>
              </w:rPr>
              <w:t>100 Gbps (ASIC)</w:t>
            </w:r>
          </w:p>
        </w:tc>
        <w:tc>
          <w:tcPr>
            <w:tcW w:type="dxa" w:w="1701"/>
            <w:vAlign w:val="center"/>
            <w:shd w:val="clear" w:color="auto" w:fill="FFFFFF"/>
          </w:tcPr>
          <w:p>
            <w:pPr>
              <w:spacing w:before="50" w:after="50"/>
              <w:jc w:val="left"/>
            </w:pPr>
            <w:r>
              <w:rPr>
                <w:rFonts w:ascii="Calibri" w:hAnsi="Calibri"/>
                <w:b w:val="0"/>
                <w:color w:val="000000"/>
                <w:sz w:val="17"/>
              </w:rPr>
              <w:t>Custom ASIC</w:t>
            </w:r>
          </w:p>
        </w:tc>
      </w:tr>
      <w:tr>
        <w:tc>
          <w:tcPr>
            <w:tcW w:type="dxa" w:w="1701"/>
            <w:vAlign w:val="center"/>
            <w:shd w:val="clear" w:color="auto" w:fill="F9F9F9"/>
          </w:tcPr>
          <w:p>
            <w:pPr>
              <w:spacing w:before="50" w:after="50"/>
              <w:jc w:val="left"/>
            </w:pPr>
            <w:r>
              <w:rPr>
                <w:rFonts w:ascii="Calibri" w:hAnsi="Calibri"/>
                <w:b w:val="0"/>
                <w:color w:val="000000"/>
                <w:sz w:val="17"/>
              </w:rPr>
              <w:t>Cloudflare MT</w:t>
            </w:r>
          </w:p>
        </w:tc>
        <w:tc>
          <w:tcPr>
            <w:tcW w:type="dxa" w:w="1814"/>
            <w:vAlign w:val="center"/>
            <w:shd w:val="clear" w:color="auto" w:fill="F9F9F9"/>
          </w:tcPr>
          <w:p>
            <w:pPr>
              <w:spacing w:before="50" w:after="50"/>
              <w:jc w:val="center"/>
            </w:pPr>
            <w:r>
              <w:rPr>
                <w:rFonts w:ascii="Calibri" w:hAnsi="Calibri"/>
                <w:b w:val="0"/>
                <w:color w:val="000000"/>
                <w:sz w:val="17"/>
              </w:rPr>
              <w:t>10-80 ms (WAN)</w:t>
            </w:r>
          </w:p>
        </w:tc>
        <w:tc>
          <w:tcPr>
            <w:tcW w:type="dxa" w:w="1814"/>
            <w:vAlign w:val="center"/>
            <w:shd w:val="clear" w:color="auto" w:fill="F9F9F9"/>
          </w:tcPr>
          <w:p>
            <w:pPr>
              <w:spacing w:before="50" w:after="50"/>
              <w:jc w:val="center"/>
            </w:pPr>
            <w:r>
              <w:rPr>
                <w:rFonts w:ascii="Calibri" w:hAnsi="Calibri"/>
                <w:b w:val="0"/>
                <w:color w:val="000000"/>
                <w:sz w:val="17"/>
              </w:rPr>
              <w:t>100-300 ms</w:t>
            </w:r>
          </w:p>
        </w:tc>
        <w:tc>
          <w:tcPr>
            <w:tcW w:type="dxa" w:w="1701"/>
            <w:vAlign w:val="center"/>
            <w:shd w:val="clear" w:color="auto" w:fill="F9F9F9"/>
          </w:tcPr>
          <w:p>
            <w:pPr>
              <w:spacing w:before="50" w:after="50"/>
              <w:jc w:val="center"/>
            </w:pPr>
            <w:r>
              <w:rPr>
                <w:rFonts w:ascii="Calibri" w:hAnsi="Calibri"/>
                <w:b w:val="0"/>
                <w:color w:val="000000"/>
                <w:sz w:val="17"/>
              </w:rPr>
              <w:t>Tbps (anycast)</w:t>
            </w:r>
          </w:p>
        </w:tc>
        <w:tc>
          <w:tcPr>
            <w:tcW w:type="dxa" w:w="1701"/>
            <w:vAlign w:val="center"/>
            <w:shd w:val="clear" w:color="auto" w:fill="F9F9F9"/>
          </w:tcPr>
          <w:p>
            <w:pPr>
              <w:spacing w:before="50" w:after="50"/>
              <w:jc w:val="left"/>
            </w:pPr>
            <w:r>
              <w:rPr>
                <w:rFonts w:ascii="Calibri" w:hAnsi="Calibri"/>
                <w:b w:val="0"/>
                <w:color w:val="000000"/>
                <w:sz w:val="17"/>
              </w:rPr>
              <w:t>Cloud PoP</w:t>
            </w:r>
          </w:p>
        </w:tc>
      </w:tr>
      <w:tr>
        <w:tc>
          <w:tcPr>
            <w:tcW w:type="dxa" w:w="1701"/>
            <w:vAlign w:val="center"/>
            <w:shd w:val="clear" w:color="auto" w:fill="FFFFFF"/>
          </w:tcPr>
          <w:p>
            <w:pPr>
              <w:spacing w:before="50" w:after="50"/>
              <w:jc w:val="left"/>
            </w:pPr>
            <w:r>
              <w:rPr>
                <w:rFonts w:ascii="Calibri" w:hAnsi="Calibri"/>
                <w:b w:val="0"/>
                <w:color w:val="000000"/>
                <w:sz w:val="17"/>
              </w:rPr>
              <w:t>Cisco Firepower</w:t>
            </w:r>
          </w:p>
        </w:tc>
        <w:tc>
          <w:tcPr>
            <w:tcW w:type="dxa" w:w="1814"/>
            <w:vAlign w:val="center"/>
            <w:shd w:val="clear" w:color="auto" w:fill="FFFFFF"/>
          </w:tcPr>
          <w:p>
            <w:pPr>
              <w:spacing w:before="50" w:after="50"/>
              <w:jc w:val="center"/>
            </w:pPr>
            <w:r>
              <w:rPr>
                <w:rFonts w:ascii="Calibri" w:hAnsi="Calibri"/>
                <w:b w:val="0"/>
                <w:color w:val="000000"/>
                <w:sz w:val="17"/>
              </w:rPr>
              <w:t>60-400 us</w:t>
            </w:r>
          </w:p>
        </w:tc>
        <w:tc>
          <w:tcPr>
            <w:tcW w:type="dxa" w:w="1814"/>
            <w:vAlign w:val="center"/>
            <w:shd w:val="clear" w:color="auto" w:fill="FFFFFF"/>
          </w:tcPr>
          <w:p>
            <w:pPr>
              <w:spacing w:before="50" w:after="50"/>
              <w:jc w:val="center"/>
            </w:pPr>
            <w:r>
              <w:rPr>
                <w:rFonts w:ascii="Calibri" w:hAnsi="Calibri"/>
                <w:b w:val="0"/>
                <w:color w:val="000000"/>
                <w:sz w:val="17"/>
              </w:rPr>
              <w:t>200-800 ms</w:t>
            </w:r>
          </w:p>
        </w:tc>
        <w:tc>
          <w:tcPr>
            <w:tcW w:type="dxa" w:w="1701"/>
            <w:vAlign w:val="center"/>
            <w:shd w:val="clear" w:color="auto" w:fill="FFFFFF"/>
          </w:tcPr>
          <w:p>
            <w:pPr>
              <w:spacing w:before="50" w:after="50"/>
              <w:jc w:val="center"/>
            </w:pPr>
            <w:r>
              <w:rPr>
                <w:rFonts w:ascii="Calibri" w:hAnsi="Calibri"/>
                <w:b w:val="0"/>
                <w:color w:val="000000"/>
                <w:sz w:val="17"/>
              </w:rPr>
              <w:t>40 Gbps (HW)</w:t>
            </w:r>
          </w:p>
        </w:tc>
        <w:tc>
          <w:tcPr>
            <w:tcW w:type="dxa" w:w="1701"/>
            <w:vAlign w:val="center"/>
            <w:shd w:val="clear" w:color="auto" w:fill="FFFFFF"/>
          </w:tcPr>
          <w:p>
            <w:pPr>
              <w:spacing w:before="50" w:after="50"/>
              <w:jc w:val="left"/>
            </w:pPr>
            <w:r>
              <w:rPr>
                <w:rFonts w:ascii="Calibri" w:hAnsi="Calibri"/>
                <w:b w:val="0"/>
                <w:color w:val="000000"/>
                <w:sz w:val="17"/>
              </w:rPr>
              <w:t>Custom NIC ASIC</w:t>
            </w:r>
          </w:p>
        </w:tc>
      </w:tr>
      <w:tr>
        <w:tc>
          <w:tcPr>
            <w:tcW w:type="dxa" w:w="1701"/>
            <w:vAlign w:val="center"/>
            <w:shd w:val="clear" w:color="auto" w:fill="F9F9F9"/>
          </w:tcPr>
          <w:p>
            <w:pPr>
              <w:spacing w:before="50" w:after="50"/>
              <w:jc w:val="left"/>
            </w:pPr>
            <w:r>
              <w:rPr>
                <w:rFonts w:ascii="Calibri" w:hAnsi="Calibri"/>
                <w:b/>
                <w:color w:val="000000"/>
                <w:sz w:val="17"/>
              </w:rPr>
              <w:t>Autonomous Agent (ours)</w:t>
            </w:r>
          </w:p>
        </w:tc>
        <w:tc>
          <w:tcPr>
            <w:tcW w:type="dxa" w:w="1814"/>
            <w:vAlign w:val="center"/>
            <w:shd w:val="clear" w:color="auto" w:fill="F9F9F9"/>
          </w:tcPr>
          <w:p>
            <w:pPr>
              <w:spacing w:before="50" w:after="50"/>
              <w:jc w:val="center"/>
            </w:pPr>
            <w:r>
              <w:rPr>
                <w:rFonts w:ascii="Calibri" w:hAnsi="Calibri"/>
                <w:b/>
                <w:color w:val="000000"/>
                <w:sz w:val="17"/>
              </w:rPr>
              <w:t>0.33 us (p50)</w:t>
            </w:r>
          </w:p>
        </w:tc>
        <w:tc>
          <w:tcPr>
            <w:tcW w:type="dxa" w:w="1814"/>
            <w:vAlign w:val="center"/>
            <w:shd w:val="clear" w:color="auto" w:fill="F9F9F9"/>
          </w:tcPr>
          <w:p>
            <w:pPr>
              <w:spacing w:before="50" w:after="50"/>
              <w:jc w:val="center"/>
            </w:pPr>
            <w:r>
              <w:rPr>
                <w:rFonts w:ascii="Calibri" w:hAnsi="Calibri"/>
                <w:b/>
                <w:color w:val="000000"/>
                <w:sz w:val="17"/>
              </w:rPr>
              <w:t>148 ms - 2.8 s (Async)</w:t>
            </w:r>
          </w:p>
        </w:tc>
        <w:tc>
          <w:tcPr>
            <w:tcW w:type="dxa" w:w="1701"/>
            <w:vAlign w:val="center"/>
            <w:shd w:val="clear" w:color="auto" w:fill="F9F9F9"/>
          </w:tcPr>
          <w:p>
            <w:pPr>
              <w:spacing w:before="50" w:after="50"/>
              <w:jc w:val="center"/>
            </w:pPr>
            <w:r>
              <w:rPr>
                <w:rFonts w:ascii="Calibri" w:hAnsi="Calibri"/>
                <w:b/>
                <w:color w:val="000000"/>
                <w:sz w:val="17"/>
              </w:rPr>
              <w:t>1 Gbps (PCIe NIC)</w:t>
            </w:r>
          </w:p>
        </w:tc>
        <w:tc>
          <w:tcPr>
            <w:tcW w:type="dxa" w:w="1701"/>
            <w:vAlign w:val="center"/>
            <w:shd w:val="clear" w:color="auto" w:fill="F9F9F9"/>
          </w:tcPr>
          <w:p>
            <w:pPr>
              <w:spacing w:before="50" w:after="50"/>
              <w:jc w:val="left"/>
            </w:pPr>
            <w:r>
              <w:rPr>
                <w:rFonts w:ascii="Calibri" w:hAnsi="Calibri"/>
                <w:b/>
                <w:color w:val="000000"/>
                <w:sz w:val="17"/>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spacing w:before="60" w:after="60"/>
              <w:jc w:val="center"/>
            </w:pPr>
            <w:r>
              <w:rPr>
                <w:rFonts w:ascii="Calibri" w:hAnsi="Calibri"/>
                <w:b/>
                <w:color w:val="FFFFFF"/>
                <w:sz w:val="17"/>
              </w:rPr>
              <w:t>Property</w:t>
            </w:r>
          </w:p>
        </w:tc>
        <w:tc>
          <w:tcPr>
            <w:tcW w:type="dxa" w:w="1587"/>
            <w:shd w:val="clear" w:color="auto" w:fill="111827"/>
            <w:vAlign w:val="center"/>
          </w:tcPr>
          <w:p>
            <w:pPr>
              <w:spacing w:before="60" w:after="60"/>
              <w:jc w:val="center"/>
            </w:pPr>
            <w:r>
              <w:rPr>
                <w:rFonts w:ascii="Calibri" w:hAnsi="Calibri"/>
                <w:b/>
                <w:color w:val="FFFFFF"/>
                <w:sz w:val="17"/>
              </w:rPr>
              <w:t>Snort / Suricata</w:t>
            </w:r>
          </w:p>
        </w:tc>
        <w:tc>
          <w:tcPr>
            <w:tcW w:type="dxa" w:w="1814"/>
            <w:shd w:val="clear" w:color="auto" w:fill="111827"/>
            <w:vAlign w:val="center"/>
          </w:tcPr>
          <w:p>
            <w:pPr>
              <w:spacing w:before="60" w:after="60"/>
              <w:jc w:val="center"/>
            </w:pPr>
            <w:r>
              <w:rPr>
                <w:rFonts w:ascii="Calibri" w:hAnsi="Calibri"/>
                <w:b/>
                <w:color w:val="FFFFFF"/>
                <w:sz w:val="17"/>
              </w:rPr>
              <w:t>Palo Alto / Cisco</w:t>
            </w:r>
          </w:p>
        </w:tc>
        <w:tc>
          <w:tcPr>
            <w:tcW w:type="dxa" w:w="1587"/>
            <w:shd w:val="clear" w:color="auto" w:fill="111827"/>
            <w:vAlign w:val="center"/>
          </w:tcPr>
          <w:p>
            <w:pPr>
              <w:spacing w:before="60" w:after="60"/>
              <w:jc w:val="center"/>
            </w:pPr>
            <w:r>
              <w:rPr>
                <w:rFonts w:ascii="Calibri" w:hAnsi="Calibri"/>
                <w:b/>
                <w:color w:val="FFFFFF"/>
                <w:sz w:val="17"/>
              </w:rPr>
              <w:t>Cloudflare</w:t>
            </w:r>
          </w:p>
        </w:tc>
        <w:tc>
          <w:tcPr>
            <w:tcW w:type="dxa" w:w="2041"/>
            <w:shd w:val="clear" w:color="auto" w:fill="111827"/>
            <w:vAlign w:val="center"/>
          </w:tcPr>
          <w:p>
            <w:pPr>
              <w:spacing w:before="60" w:after="60"/>
              <w:jc w:val="center"/>
            </w:pPr>
            <w:r>
              <w:rPr>
                <w:rFonts w:ascii="Calibri" w:hAnsi="Calibri"/>
                <w:b/>
                <w:color w:val="FFFFFF"/>
                <w:sz w:val="17"/>
              </w:rPr>
              <w:t>Autonomous Agent (ours)</w:t>
            </w:r>
          </w:p>
        </w:tc>
      </w:tr>
      <w:tr>
        <w:tc>
          <w:tcPr>
            <w:tcW w:type="dxa" w:w="1984"/>
            <w:vAlign w:val="center"/>
            <w:shd w:val="clear" w:color="auto" w:fill="FFFFFF"/>
          </w:tcPr>
          <w:p>
            <w:pPr>
              <w:spacing w:before="50" w:after="50"/>
              <w:jc w:val="left"/>
            </w:pPr>
            <w:r>
              <w:rPr>
                <w:rFonts w:ascii="Calibri" w:hAnsi="Calibri"/>
                <w:b w:val="0"/>
                <w:color w:val="000000"/>
                <w:sz w:val="17"/>
              </w:rPr>
              <w:t>Air-gapped operation</w:t>
            </w:r>
          </w:p>
        </w:tc>
        <w:tc>
          <w:tcPr>
            <w:tcW w:type="dxa" w:w="1587"/>
            <w:vAlign w:val="center"/>
            <w:shd w:val="clear" w:color="auto" w:fill="FFFFFF"/>
          </w:tcPr>
          <w:p>
            <w:pPr>
              <w:spacing w:before="50" w:after="50"/>
              <w:jc w:val="center"/>
            </w:pPr>
            <w:r>
              <w:rPr>
                <w:rFonts w:ascii="Calibri" w:hAnsi="Calibri"/>
                <w:b w:val="0"/>
                <w:color w:val="000000"/>
                <w:sz w:val="17"/>
              </w:rPr>
              <w:t>Yes (no updates)</w:t>
            </w:r>
          </w:p>
        </w:tc>
        <w:tc>
          <w:tcPr>
            <w:tcW w:type="dxa" w:w="1814"/>
            <w:vAlign w:val="center"/>
            <w:shd w:val="clear" w:color="auto" w:fill="FFFFFF"/>
          </w:tcPr>
          <w:p>
            <w:pPr>
              <w:spacing w:before="50" w:after="50"/>
              <w:jc w:val="center"/>
            </w:pPr>
            <w:r>
              <w:rPr>
                <w:rFonts w:ascii="Calibri" w:hAnsi="Calibri"/>
                <w:b w:val="0"/>
                <w:color w:val="000000"/>
                <w:sz w:val="17"/>
              </w:rPr>
              <w:t>No (cloud feeds)</w:t>
            </w:r>
          </w:p>
        </w:tc>
        <w:tc>
          <w:tcPr>
            <w:tcW w:type="dxa" w:w="1587"/>
            <w:vAlign w:val="center"/>
            <w:shd w:val="clear" w:color="auto" w:fill="FFFFFF"/>
          </w:tcPr>
          <w:p>
            <w:pPr>
              <w:spacing w:before="50" w:after="50"/>
              <w:jc w:val="center"/>
            </w:pPr>
            <w:r>
              <w:rPr>
                <w:rFonts w:ascii="Calibri" w:hAnsi="Calibri"/>
                <w:b w:val="0"/>
                <w:color w:val="000000"/>
                <w:sz w:val="17"/>
              </w:rPr>
              <w:t>No (cloud-only)</w:t>
            </w:r>
          </w:p>
        </w:tc>
        <w:tc>
          <w:tcPr>
            <w:tcW w:type="dxa" w:w="2041"/>
            <w:vAlign w:val="center"/>
            <w:shd w:val="clear" w:color="auto" w:fill="F1F5F9"/>
          </w:tcPr>
          <w:p>
            <w:pPr>
              <w:spacing w:before="50" w:after="50"/>
              <w:jc w:val="center"/>
            </w:pPr>
            <w:r>
              <w:rPr>
                <w:rFonts w:ascii="Calibri" w:hAnsi="Calibri"/>
                <w:b/>
                <w:color w:val="000000"/>
                <w:sz w:val="17"/>
              </w:rPr>
              <w:t>Yes - Full offline</w:t>
            </w:r>
          </w:p>
        </w:tc>
      </w:tr>
      <w:tr>
        <w:tc>
          <w:tcPr>
            <w:tcW w:type="dxa" w:w="1984"/>
            <w:vAlign w:val="center"/>
            <w:shd w:val="clear" w:color="auto" w:fill="F9F9F9"/>
          </w:tcPr>
          <w:p>
            <w:pPr>
              <w:spacing w:before="50" w:after="50"/>
              <w:jc w:val="left"/>
            </w:pPr>
            <w:r>
              <w:rPr>
                <w:rFonts w:ascii="Calibri" w:hAnsi="Calibri"/>
                <w:b w:val="0"/>
                <w:color w:val="000000"/>
                <w:sz w:val="17"/>
              </w:rPr>
              <w:t>Zero third-party telemetry</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(Wildfire/Talos)</w:t>
            </w:r>
          </w:p>
        </w:tc>
        <w:tc>
          <w:tcPr>
            <w:tcW w:type="dxa" w:w="1587"/>
            <w:vAlign w:val="center"/>
            <w:shd w:val="clear" w:color="auto" w:fill="F9F9F9"/>
          </w:tcPr>
          <w:p>
            <w:pPr>
              <w:spacing w:before="50" w:after="50"/>
              <w:jc w:val="center"/>
            </w:pPr>
            <w:r>
              <w:rPr>
                <w:rFonts w:ascii="Calibri" w:hAnsi="Calibri"/>
                <w:b w:val="0"/>
                <w:color w:val="000000"/>
                <w:sz w:val="17"/>
              </w:rPr>
              <w:t>No (payload inspect)</w:t>
            </w:r>
          </w:p>
        </w:tc>
        <w:tc>
          <w:tcPr>
            <w:tcW w:type="dxa" w:w="2041"/>
            <w:vAlign w:val="center"/>
            <w:shd w:val="clear" w:color="auto" w:fill="F1F5F9"/>
          </w:tcPr>
          <w:p>
            <w:pPr>
              <w:spacing w:before="50" w:after="50"/>
              <w:jc w:val="center"/>
            </w:pPr>
            <w:r>
              <w:rPr>
                <w:rFonts w:ascii="Calibri" w:hAnsi="Calibri"/>
                <w:b/>
                <w:color w:val="000000"/>
                <w:sz w:val="17"/>
              </w:rPr>
              <w:t>Yes - Zero calls</w:t>
            </w:r>
          </w:p>
        </w:tc>
      </w:tr>
      <w:tr>
        <w:tc>
          <w:tcPr>
            <w:tcW w:type="dxa" w:w="1984"/>
            <w:vAlign w:val="center"/>
            <w:shd w:val="clear" w:color="auto" w:fill="FFFFFF"/>
          </w:tcPr>
          <w:p>
            <w:pPr>
              <w:spacing w:before="50" w:after="50"/>
              <w:jc w:val="left"/>
            </w:pPr>
            <w:r>
              <w:rPr>
                <w:rFonts w:ascii="Calibri" w:hAnsi="Calibri"/>
                <w:b w:val="0"/>
                <w:color w:val="000000"/>
                <w:sz w:val="17"/>
              </w:rPr>
              <w:t>Post-quantum crypto</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Partial (roadmap)</w:t>
            </w:r>
          </w:p>
        </w:tc>
        <w:tc>
          <w:tcPr>
            <w:tcW w:type="dxa" w:w="1587"/>
            <w:vAlign w:val="center"/>
            <w:shd w:val="clear" w:color="auto" w:fill="FFFFFF"/>
          </w:tcPr>
          <w:p>
            <w:pPr>
              <w:spacing w:before="50" w:after="50"/>
              <w:jc w:val="center"/>
            </w:pPr>
            <w:r>
              <w:rPr>
                <w:rFonts w:ascii="Calibri" w:hAnsi="Calibri"/>
                <w:b w:val="0"/>
                <w:color w:val="000000"/>
                <w:sz w:val="17"/>
              </w:rPr>
              <w:t>Partial (exp.)</w:t>
            </w:r>
          </w:p>
        </w:tc>
        <w:tc>
          <w:tcPr>
            <w:tcW w:type="dxa" w:w="2041"/>
            <w:vAlign w:val="center"/>
            <w:shd w:val="clear" w:color="auto" w:fill="F1F5F9"/>
          </w:tcPr>
          <w:p>
            <w:pPr>
              <w:spacing w:before="50" w:after="50"/>
              <w:jc w:val="center"/>
            </w:pPr>
            <w:r>
              <w:rPr>
                <w:rFonts w:ascii="Calibri" w:hAnsi="Calibri"/>
                <w:b/>
                <w:color w:val="000000"/>
                <w:sz w:val="17"/>
              </w:rPr>
              <w:t>ML-KEM-1024 + ML-DSA-65</w:t>
            </w:r>
          </w:p>
        </w:tc>
      </w:tr>
      <w:tr>
        <w:tc>
          <w:tcPr>
            <w:tcW w:type="dxa" w:w="1984"/>
            <w:vAlign w:val="center"/>
            <w:shd w:val="clear" w:color="auto" w:fill="F9F9F9"/>
          </w:tcPr>
          <w:p>
            <w:pPr>
              <w:spacing w:before="50" w:after="50"/>
              <w:jc w:val="left"/>
            </w:pPr>
            <w:r>
              <w:rPr>
                <w:rFonts w:ascii="Calibri" w:hAnsi="Calibri"/>
                <w:b w:val="0"/>
                <w:color w:val="000000"/>
                <w:sz w:val="17"/>
              </w:rPr>
              <w:t>No subscription required</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($40k-$200k/yr)</w:t>
            </w:r>
          </w:p>
        </w:tc>
        <w:tc>
          <w:tcPr>
            <w:tcW w:type="dxa" w:w="1587"/>
            <w:vAlign w:val="center"/>
            <w:shd w:val="clear" w:color="auto" w:fill="F9F9F9"/>
          </w:tcPr>
          <w:p>
            <w:pPr>
              <w:spacing w:before="50" w:after="50"/>
              <w:jc w:val="center"/>
            </w:pPr>
            <w:r>
              <w:rPr>
                <w:rFonts w:ascii="Calibri" w:hAnsi="Calibri"/>
                <w:b w:val="0"/>
                <w:color w:val="000000"/>
                <w:sz w:val="17"/>
              </w:rPr>
              <w:t>No ($0.05+/Gbps)</w:t>
            </w:r>
          </w:p>
        </w:tc>
        <w:tc>
          <w:tcPr>
            <w:tcW w:type="dxa" w:w="2041"/>
            <w:vAlign w:val="center"/>
            <w:shd w:val="clear" w:color="auto" w:fill="F1F5F9"/>
          </w:tcPr>
          <w:p>
            <w:pPr>
              <w:spacing w:before="50" w:after="50"/>
              <w:jc w:val="center"/>
            </w:pPr>
            <w:r>
              <w:rPr>
                <w:rFonts w:ascii="Calibri" w:hAnsi="Calibri"/>
                <w:b/>
                <w:color w:val="000000"/>
                <w:sz w:val="17"/>
              </w:rPr>
              <w:t>Yes - Zero cost</w:t>
            </w:r>
          </w:p>
        </w:tc>
      </w:tr>
      <w:tr>
        <w:tc>
          <w:tcPr>
            <w:tcW w:type="dxa" w:w="1984"/>
            <w:vAlign w:val="center"/>
            <w:shd w:val="clear" w:color="auto" w:fill="FFFFFF"/>
          </w:tcPr>
          <w:p>
            <w:pPr>
              <w:spacing w:before="50" w:after="50"/>
              <w:jc w:val="left"/>
            </w:pPr>
            <w:r>
              <w:rPr>
                <w:rFonts w:ascii="Calibri" w:hAnsi="Calibri"/>
                <w:b w:val="0"/>
                <w:color w:val="000000"/>
                <w:sz w:val="17"/>
              </w:rPr>
              <w:t>Attacker deception/tarpit</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No (RST only)</w:t>
            </w:r>
          </w:p>
        </w:tc>
        <w:tc>
          <w:tcPr>
            <w:tcW w:type="dxa" w:w="1587"/>
            <w:vAlign w:val="center"/>
            <w:shd w:val="clear" w:color="auto" w:fill="FFFFFF"/>
          </w:tcPr>
          <w:p>
            <w:pPr>
              <w:spacing w:before="50" w:after="50"/>
              <w:jc w:val="center"/>
            </w:pPr>
            <w:r>
              <w:rPr>
                <w:rFonts w:ascii="Calibri" w:hAnsi="Calibri"/>
                <w:b w:val="0"/>
                <w:color w:val="000000"/>
                <w:sz w:val="17"/>
              </w:rPr>
              <w:t>No (blackhole only)</w:t>
            </w:r>
          </w:p>
        </w:tc>
        <w:tc>
          <w:tcPr>
            <w:tcW w:type="dxa" w:w="2041"/>
            <w:vAlign w:val="center"/>
            <w:shd w:val="clear" w:color="auto" w:fill="F1F5F9"/>
          </w:tcPr>
          <w:p>
            <w:pPr>
              <w:spacing w:before="50" w:after="50"/>
              <w:jc w:val="center"/>
            </w:pPr>
            <w:r>
              <w:rPr>
                <w:rFonts w:ascii="Calibri" w:hAnsi="Calibri"/>
                <w:b/>
                <w:color w:val="000000"/>
                <w:sz w:val="17"/>
              </w:rPr>
              <w:t>AI tarpit + honey-token</w:t>
            </w:r>
          </w:p>
        </w:tc>
      </w:tr>
      <w:tr>
        <w:tc>
          <w:tcPr>
            <w:tcW w:type="dxa" w:w="1984"/>
            <w:vAlign w:val="center"/>
            <w:shd w:val="clear" w:color="auto" w:fill="F9F9F9"/>
          </w:tcPr>
          <w:p>
            <w:pPr>
              <w:spacing w:before="50" w:after="50"/>
              <w:jc w:val="left"/>
            </w:pPr>
            <w:r>
              <w:rPr>
                <w:rFonts w:ascii="Calibri" w:hAnsi="Calibri"/>
                <w:b w:val="0"/>
                <w:color w:val="000000"/>
                <w:sz w:val="17"/>
              </w:rPr>
              <w:t>Moving Target Defence</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1814"/>
            <w:vAlign w:val="center"/>
            <w:shd w:val="clear" w:color="auto" w:fill="F9F9F9"/>
          </w:tcPr>
          <w:p>
            <w:pPr>
              <w:spacing w:before="50" w:after="50"/>
              <w:jc w:val="center"/>
            </w:pPr>
            <w:r>
              <w:rPr>
                <w:rFonts w:ascii="Calibri" w:hAnsi="Calibri"/>
                <w:b w:val="0"/>
                <w:color w:val="000000"/>
                <w:sz w:val="17"/>
              </w:rPr>
              <w:t>No</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2041"/>
            <w:vAlign w:val="center"/>
            <w:shd w:val="clear" w:color="auto" w:fill="F1F5F9"/>
          </w:tcPr>
          <w:p>
            <w:pPr>
              <w:spacing w:before="50" w:after="50"/>
              <w:jc w:val="center"/>
            </w:pPr>
            <w:r>
              <w:rPr>
                <w:rFonts w:ascii="Calibri" w:hAnsi="Calibri"/>
                <w:b/>
                <w:color w:val="000000"/>
                <w:sz w:val="17"/>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 and Control-Plane Benchmarks</w:t>
      </w:r>
    </w:p>
    <w:p>
      <w:pPr>
        <w:spacing w:after="100"/>
        <w:jc w:val="both"/>
      </w:pPr>
      <w:r>
        <w:rPr>
          <w:rFonts w:ascii="Calibri" w:hAnsi="Calibri"/>
          <w:i w:val="0"/>
          <w:color w:val="000000"/>
          <w:sz w:val="21"/>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M. Sarhan et al., "Towards a Standard Feature Set of NIDS Datasets," IEEE Trans. Information Forensics and Security, vol. 17, pp. 367-381, 2022.</w:t>
      </w:r>
    </w:p>
    <w:p>
      <w:pPr>
        <w:spacing w:after="60"/>
        <w:ind w:left="567" w:hanging="567"/>
        <w:jc w:val="both"/>
      </w:pPr>
      <w:r>
        <w:rPr>
          <w:rFonts w:ascii="Calibri" w:hAnsi="Calibri"/>
          <w:color w:val="000000"/>
          <w:sz w:val="19"/>
        </w:rPr>
        <w:t>[16] M. Ring et al., "A Survey of Network-based Intrusion Detection Data Sets," Computers &amp; Security, vol. 86, pp. 147-167, 2019.</w:t>
      </w:r>
    </w:p>
    <w:p>
      <w:pPr>
        <w:spacing w:after="60"/>
        <w:ind w:left="567" w:hanging="567"/>
        <w:jc w:val="both"/>
      </w:pPr>
      <w:r>
        <w:rPr>
          <w:rFonts w:ascii="Calibri" w:hAnsi="Calibri"/>
          <w:color w:val="000000"/>
          <w:sz w:val="19"/>
        </w:rPr>
        <w:t>[17] Y. Mirsky et al., "Kitsune: An Ensemble of Autoencoders for Online Network Intrusion Detection," in Proc. NDSS, 2018.</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spacing w:after="60"/>
        <w:ind w:left="567" w:hanging="567"/>
        <w:jc w:val="both"/>
      </w:pPr>
      <w:r>
        <w:rPr>
          <w:rFonts w:ascii="Calibri" w:hAnsi="Calibri"/>
          <w:color w:val="000000"/>
          <w:sz w:val="19"/>
        </w:rPr>
        <w:t>[21] National Institute of Standards and Technology (NIST), "Module-Lattice-Based Key-Encapsulation Mechanism Standard (ML-KEM)," FIPS PUB 203, Aug. 2024.</w:t>
      </w:r>
    </w:p>
    <w:p>
      <w:pPr>
        <w:spacing w:after="60"/>
        <w:ind w:left="567" w:hanging="567"/>
        <w:jc w:val="both"/>
      </w:pPr>
      <w:r>
        <w:rPr>
          <w:rFonts w:ascii="Calibri" w:hAnsi="Calibri"/>
          <w:color w:val="000000"/>
          <w:sz w:val="19"/>
        </w:rPr>
        <w:t>[22] National Institute of Standards and Technology (NIST), "Module-Lattice-Based Digital Signature Standard (ML-DSA)," FIPS PUB 204, Aug. 2024.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Autonomous Post-Quantum Cyber Defense Agent | Research Paper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