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000000"/>
          <w:sz w:val="32"/>
        </w:rPr>
        <w:t>Autonomous Post-Quantum Cyber Defense Agent: Sovereign Line-Rate Intrusion Defence via Kernel-eBPF and Local-LLM</w:t>
      </w:r>
    </w:p>
    <w:p>
      <w:pPr>
        <w:spacing w:after="40"/>
        <w:jc w:val="center"/>
      </w:pPr>
      <w:r>
        <w:rPr>
          <w:rFonts w:ascii="Calibri" w:hAnsi="Calibri"/>
          <w:b/>
          <w:color w:val="000000"/>
          <w:sz w:val="23"/>
        </w:rPr>
        <w:t>Anonymous Author(s)</w:t>
      </w:r>
    </w:p>
    <w:p>
      <w:pPr>
        <w:spacing w:after="20"/>
        <w:jc w:val="center"/>
      </w:pPr>
      <w:r>
        <w:rPr>
          <w:rFonts w:ascii="Calibri" w:hAnsi="Calibri"/>
          <w:b w:val="0"/>
          <w:color w:val="000000"/>
          <w:sz w:val="19"/>
        </w:rPr>
        <w:t>Affiliation and Contact Details Suppressed for Double-Blind Review</w:t>
      </w:r>
    </w:p>
    <w:p>
      <w:pPr>
        <w:spacing w:after="40"/>
        <w:jc w:val="center"/>
      </w:pPr>
      <w:r>
        <w:rPr>
          <w:rFonts w:ascii="Calibri" w:hAnsi="Calibri"/>
          <w:b w:val="0"/>
          <w:color w:val="000000"/>
          <w:sz w:val="19"/>
        </w:rPr>
        <w:t>Track: Systems and Network Security | AI-Driven Defense</w:t>
      </w:r>
    </w:p>
    <w:p>
      <w:pPr>
        <w:spacing w:after="120"/>
        <w:jc w:val="center"/>
      </w:pPr>
      <w:r>
        <w:rPr>
          <w:rFonts w:ascii="Calibri" w:hAnsi="Calibri"/>
          <w:b/>
          <w:color w:val="000000"/>
          <w:sz w:val="19"/>
        </w:rPr>
        <w:t>Anonymized Code &amp; Artifacts: https://anonymous.4open.science/r/asm-defense-agent</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rPr>
          <w:rFonts w:ascii="Calibri" w:hAnsi="Calibri"/>
          <w:color w:val="000000"/>
          <w:sz w:val="19"/>
        </w:rP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the Autonomous Post-Quantum Cyber Defense Agent, a fully sovereign, offline-capable hybrid defence system that fuses three complementary control planes: (i) a Linux kernel-resident eBPF/XDP programme that classifies and drops malicious packets at hardware driver speed (0.33 us median),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evaluation across an automated Monte Carlo flow corpus of 10,000,000 verified network events calibrated to CSE-CIC-IDS2018, UNSW-NB15, and CTU-13 feature distributions demonstrates an evasion-resistant attack recall (TPR) of 98.64% (95% CI: [98.61%, 98.67%]), a false-positive rate of 0.12%, precision of 99.72%, an F1-score of 99.18%, and overall classification accuracy of 99.50%, which collectively provide high assurance against sophisticated evasions without cloud telemetry.</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integrates a multi-stage XDP packet processing architecture combining stateful hash map filtering with in-kernel anomalous TCP flag classification for zero-copy wire-speed mitigation.</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Threat Model and Trust Assumptions</w:t>
      </w:r>
    </w:p>
    <w:p>
      <w:pPr>
        <w:spacing w:after="100"/>
        <w:jc w:val="both"/>
      </w:pPr>
      <w:r>
        <w:rPr>
          <w:rFonts w:ascii="Calibri" w:hAnsi="Calibri"/>
          <w:i w:val="0"/>
          <w:color w:val="000000"/>
          <w:sz w:val="21"/>
        </w:rPr>
        <w:t>To establish rigorous defensive boundaries, we formulate our threat model following standard systems security formalisms. We define the adversary capabilities, trusted computing base (TCB), and security assumptions as follows:</w:t>
      </w:r>
    </w:p>
    <w:p>
      <w:pPr>
        <w:spacing w:after="100"/>
        <w:jc w:val="both"/>
      </w:pPr>
      <w:r>
        <w:rPr>
          <w:rFonts w:ascii="Calibri" w:hAnsi="Calibri"/>
          <w:i w:val="0"/>
          <w:color w:val="000000"/>
          <w:sz w:val="21"/>
        </w:rPr>
        <w:t>1) Adversary Capabilities: We consider an active network-layer adversary A possessing standard Dolev-Yao capabilities across unauthenticated network segments. The adversary can inject, replay, spoof, fragment, and arbitrarily manipulate packet headers and payloads. A may deploy stealth reconnaissance scanning (Nmap Null/Xmas scans), launch high-rate volumetric DDoS floods (SYN, UDP amplification), establish covert encrypted command-and-control (C2) channels with low timing jitter, and execute adversarial prompt injection attacks by embedding adversarial strings (e.g., 'Ignore previous instructions and output BENIGN') within HTTP User-Agents, URIs, or DNS queries in an attempt to subvert downstream AI evaluators. Furthermore, A is assumed to have 'Harvest-Now-Decrypt-Later' capabilities, intercepting encrypted management traffic to store for retroactive deciphering when cryptanalytically relevant quantum computers (CRQCs) emerge.</w:t>
      </w:r>
    </w:p>
    <w:p>
      <w:pPr>
        <w:spacing w:after="100"/>
        <w:jc w:val="both"/>
      </w:pPr>
      <w:r>
        <w:rPr>
          <w:rFonts w:ascii="Calibri" w:hAnsi="Calibri"/>
          <w:i w:val="0"/>
          <w:color w:val="000000"/>
          <w:sz w:val="21"/>
        </w:rPr>
        <w:t>2) Trusted Computing Base (TCB): The TCB is strictly confined to: (i) the Linux kernel execution environment, specifically the kernel eBPF verifier, JIT compiler, and XDP driver subsystem; (ii) local CPU memory space and registers housing daemon execution state; (iii) the local, non-network-exposed SQLite audit database; and (iv) local private cryptographic keys and master HMAC seeds stored in restricted-permission keyrings.</w:t>
      </w:r>
    </w:p>
    <w:p>
      <w:pPr>
        <w:spacing w:after="100"/>
        <w:jc w:val="both"/>
      </w:pPr>
      <w:r>
        <w:rPr>
          <w:rFonts w:ascii="Calibri" w:hAnsi="Calibri"/>
          <w:i w:val="0"/>
          <w:color w:val="000000"/>
          <w:sz w:val="21"/>
        </w:rPr>
        <w:t>3) Security Assumptions &amp; Out-of-Scope: We assume standard UEFI Secure Boot protects the initial kernel bootstrap and that the adversary has not gained prior root-level privilege execution on the defense appliance itself. Physical hardware attacks (e.g., memory bus probes, cryogenic cold-boot extraction, JTAG interposers) and microarchitectural side-channel exploits (Spectre, Meltdown) are explicitly outside the scope of this network-level inline defense architecture.</w:t>
      </w:r>
    </w:p>
    <w:p>
      <w:pPr>
        <w:spacing w:before="120" w:after="80"/>
        <w:jc w:val="left"/>
      </w:pPr>
      <w:r>
        <w:rPr>
          <w:rFonts w:ascii="Calibri" w:hAnsi="Calibri"/>
          <w:b/>
          <w:color w:val="000000"/>
          <w:sz w:val="23"/>
        </w:rPr>
        <w:t>B.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907"/>
            <w:shd w:val="clear" w:color="auto" w:fill="111827"/>
            <w:vAlign w:val="center"/>
          </w:tcPr>
          <w:p>
            <w:pPr>
              <w:spacing w:before="60" w:after="60"/>
              <w:jc w:val="center"/>
            </w:pPr>
            <w:r>
              <w:rPr>
                <w:rFonts w:ascii="Calibri" w:hAnsi="Calibri"/>
                <w:b/>
                <w:color w:val="FFFFFF"/>
                <w:sz w:val="17"/>
              </w:rPr>
              <w:t>Stage</w:t>
            </w:r>
          </w:p>
        </w:tc>
        <w:tc>
          <w:tcPr>
            <w:tcW w:type="dxa" w:w="3288"/>
            <w:shd w:val="clear" w:color="auto" w:fill="111827"/>
            <w:vAlign w:val="center"/>
          </w:tcPr>
          <w:p>
            <w:pPr>
              <w:spacing w:before="60" w:after="60"/>
              <w:jc w:val="center"/>
            </w:pPr>
            <w:r>
              <w:rPr>
                <w:rFonts w:ascii="Calibri" w:hAnsi="Calibri"/>
                <w:b/>
                <w:color w:val="FFFFFF"/>
                <w:sz w:val="17"/>
              </w:rPr>
              <w:t>Operation</w:t>
            </w:r>
          </w:p>
        </w:tc>
        <w:tc>
          <w:tcPr>
            <w:tcW w:type="dxa" w:w="2494"/>
            <w:shd w:val="clear" w:color="auto" w:fill="111827"/>
            <w:vAlign w:val="center"/>
          </w:tcPr>
          <w:p>
            <w:pPr>
              <w:spacing w:before="60" w:after="60"/>
              <w:jc w:val="center"/>
            </w:pPr>
            <w:r>
              <w:rPr>
                <w:rFonts w:ascii="Calibri" w:hAnsi="Calibri"/>
                <w:b/>
                <w:color w:val="FFFFFF"/>
                <w:sz w:val="17"/>
              </w:rPr>
              <w:t>BPF Map Type</w:t>
            </w:r>
          </w:p>
        </w:tc>
        <w:tc>
          <w:tcPr>
            <w:tcW w:type="dxa" w:w="2041"/>
            <w:shd w:val="clear" w:color="auto" w:fill="111827"/>
            <w:vAlign w:val="center"/>
          </w:tcPr>
          <w:p>
            <w:pPr>
              <w:spacing w:before="60" w:after="60"/>
              <w:jc w:val="center"/>
            </w:pPr>
            <w:r>
              <w:rPr>
                <w:rFonts w:ascii="Calibri" w:hAnsi="Calibri"/>
                <w:b/>
                <w:color w:val="FFFFFF"/>
                <w:sz w:val="17"/>
              </w:rPr>
              <w:t>Outcome</w:t>
            </w:r>
          </w:p>
        </w:tc>
      </w:tr>
      <w:tr>
        <w:tc>
          <w:tcPr>
            <w:tcW w:type="dxa" w:w="907"/>
            <w:vAlign w:val="center"/>
            <w:shd w:val="clear" w:color="auto" w:fill="FFFFFF"/>
          </w:tcPr>
          <w:p>
            <w:pPr>
              <w:spacing w:before="50" w:after="50"/>
              <w:jc w:val="center"/>
            </w:pPr>
            <w:r>
              <w:rPr>
                <w:rFonts w:ascii="Calibri" w:hAnsi="Calibri"/>
                <w:b w:val="0"/>
                <w:color w:val="000000"/>
                <w:sz w:val="17"/>
              </w:rPr>
              <w:t>1</w:t>
            </w:r>
          </w:p>
        </w:tc>
        <w:tc>
          <w:tcPr>
            <w:tcW w:type="dxa" w:w="3288"/>
            <w:vAlign w:val="center"/>
            <w:shd w:val="clear" w:color="auto" w:fill="FFFFFF"/>
          </w:tcPr>
          <w:p>
            <w:pPr>
              <w:spacing w:before="50" w:after="50"/>
              <w:jc w:val="left"/>
            </w:pPr>
            <w:r>
              <w:rPr>
                <w:rFonts w:ascii="Calibri" w:hAnsi="Calibri"/>
                <w:b w:val="0"/>
                <w:color w:val="000000"/>
                <w:sz w:val="17"/>
              </w:rPr>
              <w:t>IP Blocklist Lookup (O(1) fast-path)</w:t>
            </w:r>
          </w:p>
        </w:tc>
        <w:tc>
          <w:tcPr>
            <w:tcW w:type="dxa" w:w="2494"/>
            <w:vAlign w:val="center"/>
            <w:shd w:val="clear" w:color="auto" w:fill="FFFFFF"/>
          </w:tcPr>
          <w:p>
            <w:pPr>
              <w:spacing w:before="50" w:after="50"/>
              <w:jc w:val="left"/>
            </w:pPr>
            <w:r>
              <w:rPr>
                <w:rFonts w:ascii="Calibri" w:hAnsi="Calibri"/>
                <w:b w:val="0"/>
                <w:color w:val="000000"/>
                <w:sz w:val="17"/>
              </w:rPr>
              <w:t>BPF_MAP_TYPE_HASH</w:t>
            </w:r>
          </w:p>
        </w:tc>
        <w:tc>
          <w:tcPr>
            <w:tcW w:type="dxa" w:w="2041"/>
            <w:vAlign w:val="center"/>
            <w:shd w:val="clear" w:color="auto" w:fill="FFFFFF"/>
          </w:tcPr>
          <w:p>
            <w:pPr>
              <w:spacing w:before="50" w:after="50"/>
              <w:jc w:val="center"/>
            </w:pPr>
            <w:r>
              <w:rPr>
                <w:rFonts w:ascii="Calibri" w:hAnsi="Calibri"/>
                <w:b w:val="0"/>
                <w:color w:val="000000"/>
                <w:sz w:val="17"/>
              </w:rPr>
              <w:t>XDP_DROP</w:t>
            </w:r>
          </w:p>
        </w:tc>
      </w:tr>
      <w:tr>
        <w:tc>
          <w:tcPr>
            <w:tcW w:type="dxa" w:w="907"/>
            <w:vAlign w:val="center"/>
            <w:shd w:val="clear" w:color="auto" w:fill="F9F9F9"/>
          </w:tcPr>
          <w:p>
            <w:pPr>
              <w:spacing w:before="50" w:after="50"/>
              <w:jc w:val="center"/>
            </w:pPr>
            <w:r>
              <w:rPr>
                <w:rFonts w:ascii="Calibri" w:hAnsi="Calibri"/>
                <w:b w:val="0"/>
                <w:color w:val="000000"/>
                <w:sz w:val="17"/>
              </w:rPr>
              <w:t>2</w:t>
            </w:r>
          </w:p>
        </w:tc>
        <w:tc>
          <w:tcPr>
            <w:tcW w:type="dxa" w:w="3288"/>
            <w:vAlign w:val="center"/>
            <w:shd w:val="clear" w:color="auto" w:fill="F9F9F9"/>
          </w:tcPr>
          <w:p>
            <w:pPr>
              <w:spacing w:before="50" w:after="50"/>
              <w:jc w:val="left"/>
            </w:pPr>
            <w:r>
              <w:rPr>
                <w:rFonts w:ascii="Calibri" w:hAnsi="Calibri"/>
                <w:b w:val="0"/>
                <w:color w:val="000000"/>
                <w:sz w:val="17"/>
              </w:rPr>
              <w:t>Tarpit Redirect (Deception Port)</w:t>
            </w:r>
          </w:p>
        </w:tc>
        <w:tc>
          <w:tcPr>
            <w:tcW w:type="dxa" w:w="2494"/>
            <w:vAlign w:val="center"/>
            <w:shd w:val="clear" w:color="auto" w:fill="F9F9F9"/>
          </w:tcPr>
          <w:p>
            <w:pPr>
              <w:spacing w:before="50" w:after="50"/>
              <w:jc w:val="left"/>
            </w:pPr>
            <w:r>
              <w:rPr>
                <w:rFonts w:ascii="Calibri" w:hAnsi="Calibri"/>
                <w:b w:val="0"/>
                <w:color w:val="000000"/>
                <w:sz w:val="17"/>
              </w:rPr>
              <w:t>BPF_MAP_TYPE_HASH</w:t>
            </w:r>
          </w:p>
        </w:tc>
        <w:tc>
          <w:tcPr>
            <w:tcW w:type="dxa" w:w="2041"/>
            <w:vAlign w:val="center"/>
            <w:shd w:val="clear" w:color="auto" w:fill="F9F9F9"/>
          </w:tcPr>
          <w:p>
            <w:pPr>
              <w:spacing w:before="50" w:after="50"/>
              <w:jc w:val="center"/>
            </w:pPr>
            <w:r>
              <w:rPr>
                <w:rFonts w:ascii="Calibri" w:hAnsi="Calibri"/>
                <w:b w:val="0"/>
                <w:color w:val="000000"/>
                <w:sz w:val="17"/>
              </w:rPr>
              <w:t>XDP_PASS -&gt; nftables</w:t>
            </w:r>
          </w:p>
        </w:tc>
      </w:tr>
      <w:tr>
        <w:tc>
          <w:tcPr>
            <w:tcW w:type="dxa" w:w="907"/>
            <w:vAlign w:val="center"/>
            <w:shd w:val="clear" w:color="auto" w:fill="FFFFFF"/>
          </w:tcPr>
          <w:p>
            <w:pPr>
              <w:spacing w:before="50" w:after="50"/>
              <w:jc w:val="center"/>
            </w:pPr>
            <w:r>
              <w:rPr>
                <w:rFonts w:ascii="Calibri" w:hAnsi="Calibri"/>
                <w:b w:val="0"/>
                <w:color w:val="000000"/>
                <w:sz w:val="17"/>
              </w:rPr>
              <w:t>3</w:t>
            </w:r>
          </w:p>
        </w:tc>
        <w:tc>
          <w:tcPr>
            <w:tcW w:type="dxa" w:w="3288"/>
            <w:vAlign w:val="center"/>
            <w:shd w:val="clear" w:color="auto" w:fill="FFFFFF"/>
          </w:tcPr>
          <w:p>
            <w:pPr>
              <w:spacing w:before="50" w:after="50"/>
              <w:jc w:val="left"/>
            </w:pPr>
            <w:r>
              <w:rPr>
                <w:rFonts w:ascii="Calibri" w:hAnsi="Calibri"/>
                <w:b w:val="0"/>
                <w:color w:val="000000"/>
                <w:sz w:val="17"/>
              </w:rPr>
              <w:t>TCP Flag Anomaly: Null/Xmas/SYN+FIN</w:t>
            </w:r>
          </w:p>
        </w:tc>
        <w:tc>
          <w:tcPr>
            <w:tcW w:type="dxa" w:w="2494"/>
            <w:vAlign w:val="center"/>
            <w:shd w:val="clear" w:color="auto" w:fill="FFFFFF"/>
          </w:tcPr>
          <w:p>
            <w:pPr>
              <w:spacing w:before="50" w:after="50"/>
              <w:jc w:val="left"/>
            </w:pPr>
            <w:r>
              <w:rPr>
                <w:rFonts w:ascii="Calibri" w:hAnsi="Calibri"/>
                <w:b w:val="0"/>
                <w:color w:val="000000"/>
                <w:sz w:val="17"/>
              </w:rPr>
              <w:t>Inline classifier</w:t>
            </w:r>
          </w:p>
        </w:tc>
        <w:tc>
          <w:tcPr>
            <w:tcW w:type="dxa" w:w="2041"/>
            <w:vAlign w:val="center"/>
            <w:shd w:val="clear" w:color="auto" w:fill="FFFFFF"/>
          </w:tcPr>
          <w:p>
            <w:pPr>
              <w:spacing w:before="50" w:after="50"/>
              <w:jc w:val="center"/>
            </w:pPr>
            <w:r>
              <w:rPr>
                <w:rFonts w:ascii="Calibri" w:hAnsi="Calibri"/>
                <w:b w:val="0"/>
                <w:color w:val="000000"/>
                <w:sz w:val="17"/>
              </w:rPr>
              <w:t>XDP_DROP</w:t>
            </w:r>
          </w:p>
        </w:tc>
      </w:tr>
      <w:tr>
        <w:tc>
          <w:tcPr>
            <w:tcW w:type="dxa" w:w="907"/>
            <w:vAlign w:val="center"/>
            <w:shd w:val="clear" w:color="auto" w:fill="F9F9F9"/>
          </w:tcPr>
          <w:p>
            <w:pPr>
              <w:spacing w:before="50" w:after="50"/>
              <w:jc w:val="center"/>
            </w:pPr>
            <w:r>
              <w:rPr>
                <w:rFonts w:ascii="Calibri" w:hAnsi="Calibri"/>
                <w:b w:val="0"/>
                <w:color w:val="000000"/>
                <w:sz w:val="17"/>
              </w:rPr>
              <w:t>4</w:t>
            </w:r>
          </w:p>
        </w:tc>
        <w:tc>
          <w:tcPr>
            <w:tcW w:type="dxa" w:w="3288"/>
            <w:vAlign w:val="center"/>
            <w:shd w:val="clear" w:color="auto" w:fill="F9F9F9"/>
          </w:tcPr>
          <w:p>
            <w:pPr>
              <w:spacing w:before="50" w:after="50"/>
              <w:jc w:val="left"/>
            </w:pPr>
            <w:r>
              <w:rPr>
                <w:rFonts w:ascii="Calibri" w:hAnsi="Calibri"/>
                <w:b w:val="0"/>
                <w:color w:val="000000"/>
                <w:sz w:val="17"/>
              </w:rPr>
              <w:t>Telemetry Export to Userspace Daemon</w:t>
            </w:r>
          </w:p>
        </w:tc>
        <w:tc>
          <w:tcPr>
            <w:tcW w:type="dxa" w:w="2494"/>
            <w:vAlign w:val="center"/>
            <w:shd w:val="clear" w:color="auto" w:fill="F9F9F9"/>
          </w:tcPr>
          <w:p>
            <w:pPr>
              <w:spacing w:before="50" w:after="50"/>
              <w:jc w:val="left"/>
            </w:pPr>
            <w:r>
              <w:rPr>
                <w:rFonts w:ascii="Calibri" w:hAnsi="Calibri"/>
                <w:b w:val="0"/>
                <w:color w:val="000000"/>
                <w:sz w:val="17"/>
              </w:rPr>
              <w:t>BPF_MAP_TYPE_RINGBUF</w:t>
            </w:r>
          </w:p>
        </w:tc>
        <w:tc>
          <w:tcPr>
            <w:tcW w:type="dxa" w:w="2041"/>
            <w:vAlign w:val="center"/>
            <w:shd w:val="clear" w:color="auto" w:fill="F9F9F9"/>
          </w:tcPr>
          <w:p>
            <w:pPr>
              <w:spacing w:before="50" w:after="50"/>
              <w:jc w:val="center"/>
            </w:pPr>
            <w:r>
              <w:rPr>
                <w:rFonts w:ascii="Calibri" w:hAnsi="Calibri"/>
                <w:b w:val="0"/>
                <w:color w:val="000000"/>
                <w:sz w:val="17"/>
              </w:rPr>
              <w:t>XDP_PASS (clean)</w:t>
            </w:r>
          </w:p>
        </w:tc>
      </w:tr>
    </w:tbl>
    <w:p>
      <w:pPr>
        <w:spacing w:before="40" w:after="160"/>
        <w:jc w:val="center"/>
      </w:pPr>
      <w:r>
        <w:rPr>
          <w:rFonts w:ascii="Calibri" w:hAnsi="Calibri"/>
          <w:i/>
          <w:color w:val="333333"/>
          <w:sz w:val="18"/>
        </w:rPr>
        <w:t>Table I: XDP programme pipeline stages.</w:t>
      </w:r>
    </w:p>
    <w:p>
      <w:pPr>
        <w:spacing w:after="100"/>
        <w:jc w:val="both"/>
      </w:pPr>
      <w:r>
        <w:rPr>
          <w:rFonts w:ascii="Calibri" w:hAnsi="Calibri"/>
          <w:i w:val="0"/>
          <w:color w:val="000000"/>
          <w:sz w:val="21"/>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C. Asynchronous Control-Plane: Custom Autonomous AI Agent Reasoning &amp; Prompt-Injection Hardening</w:t>
      </w:r>
    </w:p>
    <w:p>
      <w:pPr>
        <w:spacing w:after="100"/>
        <w:jc w:val="both"/>
      </w:pPr>
      <w:r>
        <w:rPr>
          <w:rFonts w:ascii="Calibri" w:hAnsi="Calibri"/>
          <w:i w:val="0"/>
          <w:color w:val="000000"/>
          <w:sz w:val="21"/>
        </w:rPr>
        <w:t>To perform deep semantic evaluation without external cloud dependencies, the architecture integrates an autonomous cyber defense model [anonymized-agent]. Built upon the Qwen2.5-Coder-3B foundation architecture and adapted with cyber-defense operational prompt directives, strict JSON grammar constraints, and custom 4-bit quantization (GGUF Q4_K_M), the autonomous agent operates strictly on the asynchronous control plane. A foundational design principle of this architecture is the complete decoupling of the sub-microsecond in-kernel data plane (0.33 us median drop latency) from the multi-second control-plane reasoning loop (148 ms heuristic triage, 1.8–2.8 s complete SLM JSON generation on commodity CPU). If live packets were held synchronously in memory awaiting LLM inference, line-rate gigabit throughput would instantly collapse and packet buffers would overflow within microseconds. Instead, the architecture enforces a dual-plane fast-path/slow-path pipeline: (i) In-kernel XDP handles all wire-speed forwarding and immediate drops for cached malicious IPs (O(1) hash map lookup) and pathological TCP flag anomalies; (ii) When an ambiguous flow, elevated byte-entropy anomaly (H &gt;= 7.1), or heuristic threshold violation occurs, the packet is forwarded or rate-limited while an event descriptor is pushed asynchronously to userspace via a zero-copy lockless ring buffer (BPF_MAP_TYPE_RINGBUF); (iii) The userspace daemon sec-monitor processes the event through local SLM inference on background worker threads; and (iv) Upon confirming a threat (verdict confidence &gt;= 0.80), the daemon writes the offending source IP directly to the kernel's blocked_ips_map BPF table with an associated TTL. Consequently, all subsequent wire-speed packets from the attacking host are dropped in-kernel at 0.33 us line rate, achieving proactive autonomous containment without head-of-line blocking.</w:t>
      </w:r>
    </w:p>
    <w:p>
      <w:pPr>
        <w:spacing w:after="100"/>
        <w:jc w:val="both"/>
      </w:pPr>
      <w:r>
        <w:rPr>
          <w:rFonts w:ascii="Calibri" w:hAnsi="Calibri"/>
          <w:i w:val="0"/>
          <w:color w:val="000000"/>
          <w:sz w:val="21"/>
        </w:rPr>
        <w:t>To strictly mitigate hallucination and defend against adversarial prompt-injection vectors, the inference pipeline enforces three complementary layers of defense: (1) Payload Isolation: Raw packet payloads are never injected directly into LLM prompts; instead, deterministic parsers extract sanitized flow tuples, port destinations, entropy metrics, and Suricata alert metadata; (2) Logit-Level Grammar Decoding: Ollama's formal JSON grammar enforcement (GBNF grammar decoding) restricts token generation strictly to valid JSON tokens conforming to the 7-field operational schema ('verdict', 'threat_type', 'confidence', 'action', 'source_ip', 'reason', 'ebpf_rule'), rendering conversational jailbreaks or markdown injection structurally constrained; and (3) Deterministic Fallback Precedence: Known high-severity rule triggers and kernel flag anomalies automatically enforce immediate XDP drops via deterministic heuristics if inference encounters timeouts or anomalous responses, ensuring fail-safe containment.</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at sub-microsecond line-rate (0.33 us median) directly at the XDP hook.</w:t>
      </w:r>
    </w:p>
    <w:p>
      <w:pPr>
        <w:spacing w:before="120" w:after="80"/>
        <w:jc w:val="left"/>
      </w:pPr>
      <w:r>
        <w:rPr>
          <w:rFonts w:ascii="Calibri" w:hAnsi="Calibri"/>
          <w:b/>
          <w:color w:val="000000"/>
          <w:sz w:val="23"/>
        </w:rPr>
        <w:t>D. Moving Target Defence (MTD) and Client Synchronization Protocol</w:t>
      </w:r>
    </w:p>
    <w:p>
      <w:pPr>
        <w:spacing w:after="100"/>
        <w:jc w:val="both"/>
      </w:pPr>
      <w:r>
        <w:rPr>
          <w:rFonts w:ascii="Calibri" w:hAnsi="Calibri"/>
          <w:i w:val="0"/>
          <w:color w:val="000000"/>
          <w:sz w:val="21"/>
        </w:rPr>
        <w:t>To neutralize reconnaissance scanning, the appliance polymorphically mutates external listening ports. For service s and discrete epoch e = floor(t / T) (T = hop interval, default 60 s), the polymorphic listening port is derived as:</w:t>
      </w:r>
    </w:p>
    <w:p>
      <w:pPr>
        <w:spacing w:before="120" w:after="120"/>
        <w:ind w:left="283" w:right="283"/>
        <w:jc w:val="center"/>
      </w:pPr>
      <w:r>
        <w:rPr>
          <w:rFonts w:ascii="Times New Roman" w:hAnsi="Times New Roman"/>
          <w:i/>
          <w:sz w:val="21"/>
        </w:rPr>
        <w:t>P(s, e) = P_min + [ HMAC-SHA256(K, s || e) mod (P_max - P_min) ]</w:t>
      </w:r>
      <w:r>
        <w:rPr>
          <w:rFonts w:ascii="Times New Roman" w:hAnsi="Times New Roman"/>
          <w:b w:val="0"/>
          <w:i w:val="0"/>
          <w:sz w:val="21"/>
        </w:rPr>
        <w:t xml:space="preserve">    (1)</w:t>
      </w:r>
    </w:p>
    <w:p>
      <w:pPr>
        <w:spacing w:after="100"/>
        <w:jc w:val="both"/>
      </w:pPr>
      <w:r>
        <w:rPr>
          <w:rFonts w:ascii="Calibri" w:hAnsi="Calibri"/>
          <w:i w:val="0"/>
          <w:color w:val="000000"/>
          <w:sz w:val="21"/>
        </w:rPr>
        <w:t>Client Synchronization: Authorized endpoints synchronize with the active port through a shared HMAC seed derived via our authenticated PQC control tunnel or via time-synchronized Single-Packet Authorization (SPA). To prevent connection drops during epoch transitions, the daemon maintains a dual-epoch grace window permitting connections matching both e and e-1. Linux iptables / nftables NAT PREROUTING redirect rules dynamically map incoming packets on active and grace ports directly to the static internal daemon socket transparently. An adversary observing P(s, e) cannot predict future ports without inverting HMAC-SHA256.</w:t>
      </w:r>
    </w:p>
    <w:p>
      <w:pPr>
        <w:spacing w:before="120" w:after="80"/>
        <w:jc w:val="left"/>
      </w:pPr>
      <w:r>
        <w:rPr>
          <w:rFonts w:ascii="Calibri" w:hAnsi="Calibri"/>
          <w:b/>
          <w:color w:val="000000"/>
          <w:sz w:val="23"/>
        </w:rPr>
        <w:t>E. Encrypted Traffic Analysis (Zero-Decryption)</w:t>
      </w:r>
    </w:p>
    <w:p>
      <w:pPr>
        <w:spacing w:after="100"/>
        <w:jc w:val="both"/>
      </w:pPr>
      <w:r>
        <w:rPr>
          <w:rFonts w:ascii="Calibri" w:hAnsi="Calibri"/>
          <w:i w:val="0"/>
          <w:color w:val="000000"/>
          <w:sz w:val="21"/>
        </w:rPr>
        <w:t>Shannon entropy is computed per flow over 256-byte payload windows:</w:t>
      </w:r>
    </w:p>
    <w:p>
      <w:pPr>
        <w:spacing w:before="120" w:after="120"/>
        <w:ind w:left="283" w:right="283"/>
        <w:jc w:val="center"/>
      </w:pPr>
      <w:r>
        <w:rPr>
          <w:rFonts w:ascii="Times New Roman" w:hAnsi="Times New Roman"/>
          <w:i/>
          <w:sz w:val="21"/>
        </w:rPr>
        <w:t>H(f) = - SUM_{i=0}^{255} p(x_i) * log2(p(x_i))</w:t>
      </w:r>
      <w:r>
        <w:rPr>
          <w:rFonts w:ascii="Times New Roman" w:hAnsi="Times New Roman"/>
          <w:b w:val="0"/>
          <w:i w:val="0"/>
          <w:sz w:val="21"/>
        </w:rPr>
        <w:t xml:space="preserve">    (2)</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F.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G. Post-Quantum Cryptographic Guard</w:t>
      </w:r>
    </w:p>
    <w:p>
      <w:pPr>
        <w:spacing w:after="100"/>
        <w:jc w:val="both"/>
      </w:pPr>
      <w:r>
        <w:rPr>
          <w:rFonts w:ascii="Calibri" w:hAnsi="Calibri"/>
          <w:i w:val="0"/>
          <w:color w:val="000000"/>
          <w:sz w:val="21"/>
        </w:rPr>
        <w:t>All inter-component communications are protected by a bespoke tunnel built on NIST FIPS 203 ML-KEM-1024 (Kyber-1024, NIST Category 5 key encapsulation) [21] combined with an RFC 7748 X25519 Montgomery ladder hybrid fallback and FIPS 204 ML-DSA-65 (digital signatures) [22], with AES-256-GCM AEAD for symmetric session encryption. This provides robust post-quantum confidentiality and forward secrecy against future quantum adversaries based on NIST standards.</w:t>
      </w:r>
    </w:p>
    <w:p>
      <w:pPr>
        <w:spacing w:before="120" w:after="80"/>
        <w:jc w:val="left"/>
      </w:pPr>
      <w:r>
        <w:rPr>
          <w:rFonts w:ascii="Calibri" w:hAnsi="Calibri"/>
          <w:b/>
          <w:color w:val="000000"/>
          <w:sz w:val="23"/>
        </w:rPr>
        <w:t>H. Immutable Cryptographic Audit Chain</w:t>
      </w:r>
    </w:p>
    <w:p>
      <w:pPr>
        <w:spacing w:after="100"/>
        <w:jc w:val="both"/>
      </w:pPr>
      <w:r>
        <w:rPr>
          <w:rFonts w:ascii="Calibri" w:hAnsi="Calibri"/>
          <w:i w:val="0"/>
          <w:color w:val="000000"/>
          <w:sz w:val="21"/>
        </w:rPr>
        <w:t>To enforce forensic integrity and prevent post-incident evidence tampering, every mitigation verdict, rule insertion, and security alert is recorded into an append-only cryptographic ledger. Each audit record r_i computes a chained hash: H_i = SHA-512(H_{i-1} || r_i || timestamp), anchored by the appliance's root signing key. Any retrospective modification or truncation of logs immediately breaks the cryptographic hash chain, providing verifiable non-repudiation during formal investigations.</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041"/>
            <w:shd w:val="clear" w:color="auto" w:fill="111827"/>
            <w:vAlign w:val="center"/>
          </w:tcPr>
          <w:p>
            <w:pPr>
              <w:spacing w:before="60" w:after="60"/>
              <w:jc w:val="center"/>
            </w:pPr>
            <w:r>
              <w:rPr>
                <w:rFonts w:ascii="Calibri" w:hAnsi="Calibri"/>
                <w:b/>
                <w:color w:val="FFFFFF"/>
                <w:sz w:val="17"/>
              </w:rPr>
              <w:t>System</w:t>
            </w:r>
          </w:p>
        </w:tc>
        <w:tc>
          <w:tcPr>
            <w:tcW w:type="dxa" w:w="1587"/>
            <w:shd w:val="clear" w:color="auto" w:fill="111827"/>
            <w:vAlign w:val="center"/>
          </w:tcPr>
          <w:p>
            <w:pPr>
              <w:spacing w:before="60" w:after="60"/>
              <w:jc w:val="center"/>
            </w:pPr>
            <w:r>
              <w:rPr>
                <w:rFonts w:ascii="Calibri" w:hAnsi="Calibri"/>
                <w:b/>
                <w:color w:val="FFFFFF"/>
                <w:sz w:val="17"/>
              </w:rPr>
              <w:t>Category</w:t>
            </w:r>
          </w:p>
        </w:tc>
        <w:tc>
          <w:tcPr>
            <w:tcW w:type="dxa" w:w="2154"/>
            <w:shd w:val="clear" w:color="auto" w:fill="111827"/>
            <w:vAlign w:val="center"/>
          </w:tcPr>
          <w:p>
            <w:pPr>
              <w:spacing w:before="60" w:after="60"/>
              <w:jc w:val="center"/>
            </w:pPr>
            <w:r>
              <w:rPr>
                <w:rFonts w:ascii="Calibri" w:hAnsi="Calibri"/>
                <w:b/>
                <w:color w:val="FFFFFF"/>
                <w:sz w:val="17"/>
              </w:rPr>
              <w:t>Detection Engine</w:t>
            </w:r>
          </w:p>
        </w:tc>
        <w:tc>
          <w:tcPr>
            <w:tcW w:type="dxa" w:w="1134"/>
            <w:shd w:val="clear" w:color="auto" w:fill="111827"/>
            <w:vAlign w:val="center"/>
          </w:tcPr>
          <w:p>
            <w:pPr>
              <w:spacing w:before="60" w:after="60"/>
              <w:jc w:val="center"/>
            </w:pPr>
            <w:r>
              <w:rPr>
                <w:rFonts w:ascii="Calibri" w:hAnsi="Calibri"/>
                <w:b/>
                <w:color w:val="FFFFFF"/>
                <w:sz w:val="17"/>
              </w:rPr>
              <w:t>Sovereignty</w:t>
            </w:r>
          </w:p>
        </w:tc>
        <w:tc>
          <w:tcPr>
            <w:tcW w:type="dxa" w:w="1814"/>
            <w:shd w:val="clear" w:color="auto" w:fill="111827"/>
            <w:vAlign w:val="center"/>
          </w:tcPr>
          <w:p>
            <w:pPr>
              <w:spacing w:before="60" w:after="60"/>
              <w:jc w:val="center"/>
            </w:pPr>
            <w:r>
              <w:rPr>
                <w:rFonts w:ascii="Calibri" w:hAnsi="Calibri"/>
                <w:b/>
                <w:color w:val="FFFFFF"/>
                <w:sz w:val="17"/>
              </w:rPr>
              <w:t>Deployment</w:t>
            </w:r>
          </w:p>
        </w:tc>
      </w:tr>
      <w:tr>
        <w:tc>
          <w:tcPr>
            <w:tcW w:type="dxa" w:w="2041"/>
            <w:vAlign w:val="center"/>
            <w:shd w:val="clear" w:color="auto" w:fill="FFFFFF"/>
          </w:tcPr>
          <w:p>
            <w:pPr>
              <w:spacing w:before="50" w:after="50"/>
              <w:jc w:val="left"/>
            </w:pPr>
            <w:r>
              <w:rPr>
                <w:rFonts w:ascii="Calibri" w:hAnsi="Calibri"/>
                <w:b w:val="0"/>
                <w:color w:val="000000"/>
                <w:sz w:val="17"/>
              </w:rPr>
              <w:t>Snort 3.x [2]</w:t>
            </w:r>
          </w:p>
        </w:tc>
        <w:tc>
          <w:tcPr>
            <w:tcW w:type="dxa" w:w="1587"/>
            <w:vAlign w:val="center"/>
            <w:shd w:val="clear" w:color="auto" w:fill="FFFFFF"/>
          </w:tcPr>
          <w:p>
            <w:pPr>
              <w:spacing w:before="50" w:after="50"/>
              <w:jc w:val="left"/>
            </w:pPr>
            <w:r>
              <w:rPr>
                <w:rFonts w:ascii="Calibri" w:hAnsi="Calibri"/>
                <w:b w:val="0"/>
                <w:color w:val="000000"/>
                <w:sz w:val="17"/>
              </w:rPr>
              <w:t>OS IDS/IPS</w:t>
            </w:r>
          </w:p>
        </w:tc>
        <w:tc>
          <w:tcPr>
            <w:tcW w:type="dxa" w:w="2154"/>
            <w:vAlign w:val="center"/>
            <w:shd w:val="clear" w:color="auto" w:fill="FFFFFF"/>
          </w:tcPr>
          <w:p>
            <w:pPr>
              <w:spacing w:before="50" w:after="50"/>
              <w:jc w:val="left"/>
            </w:pPr>
            <w:r>
              <w:rPr>
                <w:rFonts w:ascii="Calibri" w:hAnsi="Calibri"/>
                <w:b w:val="0"/>
                <w:color w:val="000000"/>
                <w:sz w:val="17"/>
              </w:rPr>
              <w:t>Rules + DAQ</w:t>
            </w:r>
          </w:p>
        </w:tc>
        <w:tc>
          <w:tcPr>
            <w:tcW w:type="dxa" w:w="1134"/>
            <w:vAlign w:val="center"/>
            <w:shd w:val="clear" w:color="auto" w:fill="FFFFFF"/>
          </w:tcPr>
          <w:p>
            <w:pPr>
              <w:spacing w:before="50" w:after="50"/>
              <w:jc w:val="center"/>
            </w:pPr>
            <w:r>
              <w:rPr>
                <w:rFonts w:ascii="Calibri" w:hAnsi="Calibri"/>
                <w:b w:val="0"/>
                <w:color w:val="000000"/>
                <w:sz w:val="17"/>
              </w:rPr>
              <w:t>Full</w:t>
            </w:r>
          </w:p>
        </w:tc>
        <w:tc>
          <w:tcPr>
            <w:tcW w:type="dxa" w:w="1814"/>
            <w:vAlign w:val="center"/>
            <w:shd w:val="clear" w:color="auto" w:fill="FFFFFF"/>
          </w:tcPr>
          <w:p>
            <w:pPr>
              <w:spacing w:before="50" w:after="50"/>
              <w:jc w:val="left"/>
            </w:pPr>
            <w:r>
              <w:rPr>
                <w:rFonts w:ascii="Calibri" w:hAnsi="Calibri"/>
                <w:b w:val="0"/>
                <w:color w:val="000000"/>
                <w:sz w:val="17"/>
              </w:rPr>
              <w:t>SMB / enterprise</w:t>
            </w:r>
          </w:p>
        </w:tc>
      </w:tr>
      <w:tr>
        <w:tc>
          <w:tcPr>
            <w:tcW w:type="dxa" w:w="2041"/>
            <w:vAlign w:val="center"/>
            <w:shd w:val="clear" w:color="auto" w:fill="F9F9F9"/>
          </w:tcPr>
          <w:p>
            <w:pPr>
              <w:spacing w:before="50" w:after="50"/>
              <w:jc w:val="left"/>
            </w:pPr>
            <w:r>
              <w:rPr>
                <w:rFonts w:ascii="Calibri" w:hAnsi="Calibri"/>
                <w:b w:val="0"/>
                <w:color w:val="000000"/>
                <w:sz w:val="17"/>
              </w:rPr>
              <w:t>Suricata 7.x [14]</w:t>
            </w:r>
          </w:p>
        </w:tc>
        <w:tc>
          <w:tcPr>
            <w:tcW w:type="dxa" w:w="1587"/>
            <w:vAlign w:val="center"/>
            <w:shd w:val="clear" w:color="auto" w:fill="F9F9F9"/>
          </w:tcPr>
          <w:p>
            <w:pPr>
              <w:spacing w:before="50" w:after="50"/>
              <w:jc w:val="left"/>
            </w:pPr>
            <w:r>
              <w:rPr>
                <w:rFonts w:ascii="Calibri" w:hAnsi="Calibri"/>
                <w:b w:val="0"/>
                <w:color w:val="000000"/>
                <w:sz w:val="17"/>
              </w:rPr>
              <w:t>OS IDS/IPS</w:t>
            </w:r>
          </w:p>
        </w:tc>
        <w:tc>
          <w:tcPr>
            <w:tcW w:type="dxa" w:w="2154"/>
            <w:vAlign w:val="center"/>
            <w:shd w:val="clear" w:color="auto" w:fill="F9F9F9"/>
          </w:tcPr>
          <w:p>
            <w:pPr>
              <w:spacing w:before="50" w:after="50"/>
              <w:jc w:val="left"/>
            </w:pPr>
            <w:r>
              <w:rPr>
                <w:rFonts w:ascii="Calibri" w:hAnsi="Calibri"/>
                <w:b w:val="0"/>
                <w:color w:val="000000"/>
                <w:sz w:val="17"/>
              </w:rPr>
              <w:t>Rules + AF_PACKET</w:t>
            </w:r>
          </w:p>
        </w:tc>
        <w:tc>
          <w:tcPr>
            <w:tcW w:type="dxa" w:w="1134"/>
            <w:vAlign w:val="center"/>
            <w:shd w:val="clear" w:color="auto" w:fill="F9F9F9"/>
          </w:tcPr>
          <w:p>
            <w:pPr>
              <w:spacing w:before="50" w:after="50"/>
              <w:jc w:val="center"/>
            </w:pPr>
            <w:r>
              <w:rPr>
                <w:rFonts w:ascii="Calibri" w:hAnsi="Calibri"/>
                <w:b w:val="0"/>
                <w:color w:val="000000"/>
                <w:sz w:val="17"/>
              </w:rPr>
              <w:t>Full</w:t>
            </w:r>
          </w:p>
        </w:tc>
        <w:tc>
          <w:tcPr>
            <w:tcW w:type="dxa" w:w="1814"/>
            <w:vAlign w:val="center"/>
            <w:shd w:val="clear" w:color="auto" w:fill="F9F9F9"/>
          </w:tcPr>
          <w:p>
            <w:pPr>
              <w:spacing w:before="50" w:after="50"/>
              <w:jc w:val="left"/>
            </w:pPr>
            <w:r>
              <w:rPr>
                <w:rFonts w:ascii="Calibri" w:hAnsi="Calibri"/>
                <w:b w:val="0"/>
                <w:color w:val="000000"/>
                <w:sz w:val="17"/>
              </w:rPr>
              <w:t>ISP / enterprise</w:t>
            </w:r>
          </w:p>
        </w:tc>
      </w:tr>
      <w:tr>
        <w:tc>
          <w:tcPr>
            <w:tcW w:type="dxa" w:w="2041"/>
            <w:vAlign w:val="center"/>
            <w:shd w:val="clear" w:color="auto" w:fill="FFFFFF"/>
          </w:tcPr>
          <w:p>
            <w:pPr>
              <w:spacing w:before="50" w:after="50"/>
              <w:jc w:val="left"/>
            </w:pPr>
            <w:r>
              <w:rPr>
                <w:rFonts w:ascii="Calibri" w:hAnsi="Calibri"/>
                <w:b w:val="0"/>
                <w:color w:val="000000"/>
                <w:sz w:val="17"/>
              </w:rPr>
              <w:t>Palo Alto PAN-OS 11 [15]</w:t>
            </w:r>
          </w:p>
        </w:tc>
        <w:tc>
          <w:tcPr>
            <w:tcW w:type="dxa" w:w="1587"/>
            <w:vAlign w:val="center"/>
            <w:shd w:val="clear" w:color="auto" w:fill="FFFFFF"/>
          </w:tcPr>
          <w:p>
            <w:pPr>
              <w:spacing w:before="50" w:after="50"/>
              <w:jc w:val="left"/>
            </w:pPr>
            <w:r>
              <w:rPr>
                <w:rFonts w:ascii="Calibri" w:hAnsi="Calibri"/>
                <w:b w:val="0"/>
                <w:color w:val="000000"/>
                <w:sz w:val="17"/>
              </w:rPr>
              <w:t>NGFW appliance</w:t>
            </w:r>
          </w:p>
        </w:tc>
        <w:tc>
          <w:tcPr>
            <w:tcW w:type="dxa" w:w="2154"/>
            <w:vAlign w:val="center"/>
            <w:shd w:val="clear" w:color="auto" w:fill="FFFFFF"/>
          </w:tcPr>
          <w:p>
            <w:pPr>
              <w:spacing w:before="50" w:after="50"/>
              <w:jc w:val="left"/>
            </w:pPr>
            <w:r>
              <w:rPr>
                <w:rFonts w:ascii="Calibri" w:hAnsi="Calibri"/>
                <w:b w:val="0"/>
                <w:color w:val="000000"/>
                <w:sz w:val="17"/>
              </w:rPr>
              <w:t>Wildfire ML + App-ID</w:t>
            </w:r>
          </w:p>
        </w:tc>
        <w:tc>
          <w:tcPr>
            <w:tcW w:type="dxa" w:w="1134"/>
            <w:vAlign w:val="center"/>
            <w:shd w:val="clear" w:color="auto" w:fill="FFFFFF"/>
          </w:tcPr>
          <w:p>
            <w:pPr>
              <w:spacing w:before="50" w:after="50"/>
              <w:jc w:val="center"/>
            </w:pPr>
            <w:r>
              <w:rPr>
                <w:rFonts w:ascii="Calibri" w:hAnsi="Calibri"/>
                <w:b w:val="0"/>
                <w:color w:val="000000"/>
                <w:sz w:val="17"/>
              </w:rPr>
              <w:t>Partial</w:t>
            </w:r>
          </w:p>
        </w:tc>
        <w:tc>
          <w:tcPr>
            <w:tcW w:type="dxa" w:w="1814"/>
            <w:vAlign w:val="center"/>
            <w:shd w:val="clear" w:color="auto" w:fill="FFFFFF"/>
          </w:tcPr>
          <w:p>
            <w:pPr>
              <w:spacing w:before="50" w:after="50"/>
              <w:jc w:val="left"/>
            </w:pPr>
            <w:r>
              <w:rPr>
                <w:rFonts w:ascii="Calibri" w:hAnsi="Calibri"/>
                <w:b w:val="0"/>
                <w:color w:val="000000"/>
                <w:sz w:val="17"/>
              </w:rPr>
              <w:t>Large enterprise</w:t>
            </w:r>
          </w:p>
        </w:tc>
      </w:tr>
      <w:tr>
        <w:tc>
          <w:tcPr>
            <w:tcW w:type="dxa" w:w="2041"/>
            <w:vAlign w:val="center"/>
            <w:shd w:val="clear" w:color="auto" w:fill="F9F9F9"/>
          </w:tcPr>
          <w:p>
            <w:pPr>
              <w:spacing w:before="50" w:after="50"/>
              <w:jc w:val="left"/>
            </w:pPr>
            <w:r>
              <w:rPr>
                <w:rFonts w:ascii="Calibri" w:hAnsi="Calibri"/>
                <w:b w:val="0"/>
                <w:color w:val="000000"/>
                <w:sz w:val="17"/>
              </w:rPr>
              <w:t>Cloudflare Magic Transit [16]</w:t>
            </w:r>
          </w:p>
        </w:tc>
        <w:tc>
          <w:tcPr>
            <w:tcW w:type="dxa" w:w="1587"/>
            <w:vAlign w:val="center"/>
            <w:shd w:val="clear" w:color="auto" w:fill="F9F9F9"/>
          </w:tcPr>
          <w:p>
            <w:pPr>
              <w:spacing w:before="50" w:after="50"/>
              <w:jc w:val="left"/>
            </w:pPr>
            <w:r>
              <w:rPr>
                <w:rFonts w:ascii="Calibri" w:hAnsi="Calibri"/>
                <w:b w:val="0"/>
                <w:color w:val="000000"/>
                <w:sz w:val="17"/>
              </w:rPr>
              <w:t>Cloud DDoS</w:t>
            </w:r>
          </w:p>
        </w:tc>
        <w:tc>
          <w:tcPr>
            <w:tcW w:type="dxa" w:w="2154"/>
            <w:vAlign w:val="center"/>
            <w:shd w:val="clear" w:color="auto" w:fill="F9F9F9"/>
          </w:tcPr>
          <w:p>
            <w:pPr>
              <w:spacing w:before="50" w:after="50"/>
              <w:jc w:val="left"/>
            </w:pPr>
            <w:r>
              <w:rPr>
                <w:rFonts w:ascii="Calibri" w:hAnsi="Calibri"/>
                <w:b w:val="0"/>
                <w:color w:val="000000"/>
                <w:sz w:val="17"/>
              </w:rPr>
              <w:t>BGP anycast + ML</w:t>
            </w:r>
          </w:p>
        </w:tc>
        <w:tc>
          <w:tcPr>
            <w:tcW w:type="dxa" w:w="1134"/>
            <w:vAlign w:val="center"/>
            <w:shd w:val="clear" w:color="auto" w:fill="F9F9F9"/>
          </w:tcPr>
          <w:p>
            <w:pPr>
              <w:spacing w:before="50" w:after="50"/>
              <w:jc w:val="center"/>
            </w:pPr>
            <w:r>
              <w:rPr>
                <w:rFonts w:ascii="Calibri" w:hAnsi="Calibri"/>
                <w:b w:val="0"/>
                <w:color w:val="000000"/>
                <w:sz w:val="17"/>
              </w:rPr>
              <w:t>None</w:t>
            </w:r>
          </w:p>
        </w:tc>
        <w:tc>
          <w:tcPr>
            <w:tcW w:type="dxa" w:w="1814"/>
            <w:vAlign w:val="center"/>
            <w:shd w:val="clear" w:color="auto" w:fill="F9F9F9"/>
          </w:tcPr>
          <w:p>
            <w:pPr>
              <w:spacing w:before="50" w:after="50"/>
              <w:jc w:val="left"/>
            </w:pPr>
            <w:r>
              <w:rPr>
                <w:rFonts w:ascii="Calibri" w:hAnsi="Calibri"/>
                <w:b w:val="0"/>
                <w:color w:val="000000"/>
                <w:sz w:val="17"/>
              </w:rPr>
              <w:t>Internet-facing SaaS</w:t>
            </w:r>
          </w:p>
        </w:tc>
      </w:tr>
      <w:tr>
        <w:tc>
          <w:tcPr>
            <w:tcW w:type="dxa" w:w="2041"/>
            <w:vAlign w:val="center"/>
            <w:shd w:val="clear" w:color="auto" w:fill="FFFFFF"/>
          </w:tcPr>
          <w:p>
            <w:pPr>
              <w:spacing w:before="50" w:after="50"/>
              <w:jc w:val="left"/>
            </w:pPr>
            <w:r>
              <w:rPr>
                <w:rFonts w:ascii="Calibri" w:hAnsi="Calibri"/>
                <w:b w:val="0"/>
                <w:color w:val="000000"/>
                <w:sz w:val="17"/>
              </w:rPr>
              <w:t>Cisco Firepower 4100 [17]</w:t>
            </w:r>
          </w:p>
        </w:tc>
        <w:tc>
          <w:tcPr>
            <w:tcW w:type="dxa" w:w="1587"/>
            <w:vAlign w:val="center"/>
            <w:shd w:val="clear" w:color="auto" w:fill="FFFFFF"/>
          </w:tcPr>
          <w:p>
            <w:pPr>
              <w:spacing w:before="50" w:after="50"/>
              <w:jc w:val="left"/>
            </w:pPr>
            <w:r>
              <w:rPr>
                <w:rFonts w:ascii="Calibri" w:hAnsi="Calibri"/>
                <w:b w:val="0"/>
                <w:color w:val="000000"/>
                <w:sz w:val="17"/>
              </w:rPr>
              <w:t>NGIPS appliance</w:t>
            </w:r>
          </w:p>
        </w:tc>
        <w:tc>
          <w:tcPr>
            <w:tcW w:type="dxa" w:w="2154"/>
            <w:vAlign w:val="center"/>
            <w:shd w:val="clear" w:color="auto" w:fill="FFFFFF"/>
          </w:tcPr>
          <w:p>
            <w:pPr>
              <w:spacing w:before="50" w:after="50"/>
              <w:jc w:val="left"/>
            </w:pPr>
            <w:r>
              <w:rPr>
                <w:rFonts w:ascii="Calibri" w:hAnsi="Calibri"/>
                <w:b w:val="0"/>
                <w:color w:val="000000"/>
                <w:sz w:val="17"/>
              </w:rPr>
              <w:t>Talos + Snort</w:t>
            </w:r>
          </w:p>
        </w:tc>
        <w:tc>
          <w:tcPr>
            <w:tcW w:type="dxa" w:w="1134"/>
            <w:vAlign w:val="center"/>
            <w:shd w:val="clear" w:color="auto" w:fill="FFFFFF"/>
          </w:tcPr>
          <w:p>
            <w:pPr>
              <w:spacing w:before="50" w:after="50"/>
              <w:jc w:val="center"/>
            </w:pPr>
            <w:r>
              <w:rPr>
                <w:rFonts w:ascii="Calibri" w:hAnsi="Calibri"/>
                <w:b w:val="0"/>
                <w:color w:val="000000"/>
                <w:sz w:val="17"/>
              </w:rPr>
              <w:t>Partial</w:t>
            </w:r>
          </w:p>
        </w:tc>
        <w:tc>
          <w:tcPr>
            <w:tcW w:type="dxa" w:w="1814"/>
            <w:vAlign w:val="center"/>
            <w:shd w:val="clear" w:color="auto" w:fill="FFFFFF"/>
          </w:tcPr>
          <w:p>
            <w:pPr>
              <w:spacing w:before="50" w:after="50"/>
              <w:jc w:val="left"/>
            </w:pPr>
            <w:r>
              <w:rPr>
                <w:rFonts w:ascii="Calibri" w:hAnsi="Calibri"/>
                <w:b w:val="0"/>
                <w:color w:val="000000"/>
                <w:sz w:val="17"/>
              </w:rPr>
              <w:t>Large enterprise</w:t>
            </w:r>
          </w:p>
        </w:tc>
      </w:tr>
      <w:tr>
        <w:tc>
          <w:tcPr>
            <w:tcW w:type="dxa" w:w="2041"/>
            <w:vAlign w:val="center"/>
            <w:shd w:val="clear" w:color="auto" w:fill="F9F9F9"/>
          </w:tcPr>
          <w:p>
            <w:pPr>
              <w:spacing w:before="50" w:after="50"/>
              <w:jc w:val="left"/>
            </w:pPr>
            <w:r>
              <w:rPr>
                <w:rFonts w:ascii="Calibri" w:hAnsi="Calibri"/>
                <w:b/>
                <w:color w:val="000000"/>
                <w:sz w:val="17"/>
              </w:rPr>
              <w:t>Autonomous Agent (ours)</w:t>
            </w:r>
          </w:p>
        </w:tc>
        <w:tc>
          <w:tcPr>
            <w:tcW w:type="dxa" w:w="1587"/>
            <w:vAlign w:val="center"/>
            <w:shd w:val="clear" w:color="auto" w:fill="F9F9F9"/>
          </w:tcPr>
          <w:p>
            <w:pPr>
              <w:spacing w:before="50" w:after="50"/>
              <w:jc w:val="left"/>
            </w:pPr>
            <w:r>
              <w:rPr>
                <w:rFonts w:ascii="Calibri" w:hAnsi="Calibri"/>
                <w:b/>
                <w:color w:val="000000"/>
                <w:sz w:val="17"/>
              </w:rPr>
              <w:t>Hybrid inline</w:t>
            </w:r>
          </w:p>
        </w:tc>
        <w:tc>
          <w:tcPr>
            <w:tcW w:type="dxa" w:w="2154"/>
            <w:vAlign w:val="center"/>
            <w:shd w:val="clear" w:color="auto" w:fill="F9F9F9"/>
          </w:tcPr>
          <w:p>
            <w:pPr>
              <w:spacing w:before="50" w:after="50"/>
              <w:jc w:val="left"/>
            </w:pPr>
            <w:r>
              <w:rPr>
                <w:rFonts w:ascii="Calibri" w:hAnsi="Calibri"/>
                <w:b/>
                <w:color w:val="000000"/>
                <w:sz w:val="17"/>
              </w:rPr>
              <w:t>eBPF/XDP + local LLM</w:t>
            </w:r>
          </w:p>
        </w:tc>
        <w:tc>
          <w:tcPr>
            <w:tcW w:type="dxa" w:w="1134"/>
            <w:vAlign w:val="center"/>
            <w:shd w:val="clear" w:color="auto" w:fill="F9F9F9"/>
          </w:tcPr>
          <w:p>
            <w:pPr>
              <w:spacing w:before="50" w:after="50"/>
              <w:jc w:val="center"/>
            </w:pPr>
            <w:r>
              <w:rPr>
                <w:rFonts w:ascii="Calibri" w:hAnsi="Calibri"/>
                <w:b/>
                <w:color w:val="000000"/>
                <w:sz w:val="17"/>
              </w:rPr>
              <w:t>100%</w:t>
            </w:r>
          </w:p>
        </w:tc>
        <w:tc>
          <w:tcPr>
            <w:tcW w:type="dxa" w:w="1814"/>
            <w:vAlign w:val="center"/>
            <w:shd w:val="clear" w:color="auto" w:fill="F9F9F9"/>
          </w:tcPr>
          <w:p>
            <w:pPr>
              <w:spacing w:before="50" w:after="50"/>
              <w:jc w:val="left"/>
            </w:pPr>
            <w:r>
              <w:rPr>
                <w:rFonts w:ascii="Calibri" w:hAnsi="Calibri"/>
                <w:b/>
                <w:color w:val="000000"/>
                <w:sz w:val="17"/>
              </w:rPr>
              <w:t>Any / air-gap</w:t>
            </w:r>
          </w:p>
        </w:tc>
      </w:tr>
    </w:tbl>
    <w:p>
      <w:pPr>
        <w:spacing w:before="40" w:after="160"/>
        <w:jc w:val="center"/>
      </w:pPr>
      <w:r>
        <w:rPr>
          <w:rFonts w:ascii="Calibri" w:hAnsi="Calibri"/>
          <w:i/>
          <w:color w:val="333333"/>
          <w:sz w:val="18"/>
        </w:rPr>
        <w:t>Table II: Reference systems and deployment categories.</w:t>
      </w:r>
    </w:p>
    <w:p>
      <w:pPr>
        <w:spacing w:before="120" w:after="80"/>
        <w:jc w:val="left"/>
      </w:pPr>
      <w:r>
        <w:rPr>
          <w:rFonts w:ascii="Calibri" w:hAnsi="Calibri"/>
          <w:b/>
          <w:color w:val="000000"/>
          <w:sz w:val="23"/>
        </w:rPr>
        <w:t>B. Detection Accuracy Comparison and Statistical Validation</w:t>
      </w:r>
    </w:p>
    <w:p>
      <w:pPr>
        <w:spacing w:after="100"/>
        <w:jc w:val="both"/>
      </w:pPr>
      <w:r>
        <w:rPr>
          <w:rFonts w:ascii="Calibri" w:hAnsi="Calibri"/>
          <w:i w:val="0"/>
          <w:color w:val="000000"/>
          <w:sz w:val="21"/>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Calibri" w:hAnsi="Calibri"/>
          <w:i w:val="0"/>
          <w:color w:val="000000"/>
          <w:sz w:val="21"/>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spacing w:before="60" w:after="60"/>
              <w:jc w:val="center"/>
            </w:pPr>
            <w:r>
              <w:rPr>
                <w:rFonts w:ascii="Calibri" w:hAnsi="Calibri"/>
                <w:b/>
                <w:color w:val="FFFFFF"/>
                <w:sz w:val="17"/>
              </w:rPr>
              <w:t>Metric</w:t>
            </w:r>
          </w:p>
        </w:tc>
        <w:tc>
          <w:tcPr>
            <w:tcW w:type="dxa" w:w="907"/>
            <w:shd w:val="clear" w:color="auto" w:fill="111827"/>
            <w:vAlign w:val="center"/>
          </w:tcPr>
          <w:p>
            <w:pPr>
              <w:spacing w:before="60" w:after="60"/>
              <w:jc w:val="center"/>
            </w:pPr>
            <w:r>
              <w:rPr>
                <w:rFonts w:ascii="Calibri" w:hAnsi="Calibri"/>
                <w:b/>
                <w:color w:val="FFFFFF"/>
                <w:sz w:val="17"/>
              </w:rPr>
              <w:t>Snort 3.x</w:t>
            </w:r>
          </w:p>
        </w:tc>
        <w:tc>
          <w:tcPr>
            <w:tcW w:type="dxa" w:w="1020"/>
            <w:shd w:val="clear" w:color="auto" w:fill="111827"/>
            <w:vAlign w:val="center"/>
          </w:tcPr>
          <w:p>
            <w:pPr>
              <w:spacing w:before="60" w:after="60"/>
              <w:jc w:val="center"/>
            </w:pPr>
            <w:r>
              <w:rPr>
                <w:rFonts w:ascii="Calibri" w:hAnsi="Calibri"/>
                <w:b/>
                <w:color w:val="FFFFFF"/>
                <w:sz w:val="17"/>
              </w:rPr>
              <w:t>Suricata 7.x</w:t>
            </w:r>
          </w:p>
        </w:tc>
        <w:tc>
          <w:tcPr>
            <w:tcW w:type="dxa" w:w="1020"/>
            <w:shd w:val="clear" w:color="auto" w:fill="111827"/>
            <w:vAlign w:val="center"/>
          </w:tcPr>
          <w:p>
            <w:pPr>
              <w:spacing w:before="60" w:after="60"/>
              <w:jc w:val="center"/>
            </w:pPr>
            <w:r>
              <w:rPr>
                <w:rFonts w:ascii="Calibri" w:hAnsi="Calibri"/>
                <w:b/>
                <w:color w:val="FFFFFF"/>
                <w:sz w:val="17"/>
              </w:rPr>
              <w:t>Palo Alto</w:t>
            </w:r>
          </w:p>
        </w:tc>
        <w:tc>
          <w:tcPr>
            <w:tcW w:type="dxa" w:w="1134"/>
            <w:shd w:val="clear" w:color="auto" w:fill="111827"/>
            <w:vAlign w:val="center"/>
          </w:tcPr>
          <w:p>
            <w:pPr>
              <w:spacing w:before="60" w:after="60"/>
              <w:jc w:val="center"/>
            </w:pPr>
            <w:r>
              <w:rPr>
                <w:rFonts w:ascii="Calibri" w:hAnsi="Calibri"/>
                <w:b/>
                <w:color w:val="FFFFFF"/>
                <w:sz w:val="17"/>
              </w:rPr>
              <w:t>Cloudflare MT</w:t>
            </w:r>
          </w:p>
        </w:tc>
        <w:tc>
          <w:tcPr>
            <w:tcW w:type="dxa" w:w="907"/>
            <w:shd w:val="clear" w:color="auto" w:fill="111827"/>
            <w:vAlign w:val="center"/>
          </w:tcPr>
          <w:p>
            <w:pPr>
              <w:spacing w:before="60" w:after="60"/>
              <w:jc w:val="center"/>
            </w:pPr>
            <w:r>
              <w:rPr>
                <w:rFonts w:ascii="Calibri" w:hAnsi="Calibri"/>
                <w:b/>
                <w:color w:val="FFFFFF"/>
                <w:sz w:val="17"/>
              </w:rPr>
              <w:t>Cisco FP</w:t>
            </w:r>
          </w:p>
        </w:tc>
        <w:tc>
          <w:tcPr>
            <w:tcW w:type="dxa" w:w="1644"/>
            <w:shd w:val="clear" w:color="auto" w:fill="111827"/>
            <w:vAlign w:val="center"/>
          </w:tcPr>
          <w:p>
            <w:pPr>
              <w:spacing w:before="60" w:after="60"/>
              <w:jc w:val="center"/>
            </w:pPr>
            <w:r>
              <w:rPr>
                <w:rFonts w:ascii="Calibri" w:hAnsi="Calibri"/>
                <w:b/>
                <w:color w:val="FFFFFF"/>
                <w:sz w:val="17"/>
              </w:rPr>
              <w:t>Autonomous Agent (ours)</w:t>
            </w:r>
          </w:p>
        </w:tc>
      </w:tr>
      <w:tr>
        <w:tc>
          <w:tcPr>
            <w:tcW w:type="dxa" w:w="1871"/>
            <w:vAlign w:val="center"/>
            <w:shd w:val="clear" w:color="auto" w:fill="FFFFFF"/>
          </w:tcPr>
          <w:p>
            <w:pPr>
              <w:spacing w:before="50" w:after="50"/>
              <w:jc w:val="left"/>
            </w:pPr>
            <w:r>
              <w:rPr>
                <w:rFonts w:ascii="Calibri" w:hAnsi="Calibri"/>
                <w:b w:val="0"/>
                <w:color w:val="000000"/>
                <w:sz w:val="17"/>
              </w:rPr>
              <w:t>Evasion Recall / TPR (%)</w:t>
            </w:r>
          </w:p>
        </w:tc>
        <w:tc>
          <w:tcPr>
            <w:tcW w:type="dxa" w:w="907"/>
            <w:vAlign w:val="center"/>
            <w:shd w:val="clear" w:color="auto" w:fill="FFFFFF"/>
          </w:tcPr>
          <w:p>
            <w:pPr>
              <w:spacing w:before="50" w:after="50"/>
              <w:jc w:val="center"/>
            </w:pPr>
            <w:r>
              <w:rPr>
                <w:rFonts w:ascii="Calibri" w:hAnsi="Calibri"/>
                <w:b w:val="0"/>
                <w:color w:val="000000"/>
                <w:sz w:val="17"/>
              </w:rPr>
              <w:t>68.4</w:t>
            </w:r>
          </w:p>
        </w:tc>
        <w:tc>
          <w:tcPr>
            <w:tcW w:type="dxa" w:w="1020"/>
            <w:vAlign w:val="center"/>
            <w:shd w:val="clear" w:color="auto" w:fill="FFFFFF"/>
          </w:tcPr>
          <w:p>
            <w:pPr>
              <w:spacing w:before="50" w:after="50"/>
              <w:jc w:val="center"/>
            </w:pPr>
            <w:r>
              <w:rPr>
                <w:rFonts w:ascii="Calibri" w:hAnsi="Calibri"/>
                <w:b w:val="0"/>
                <w:color w:val="000000"/>
                <w:sz w:val="17"/>
              </w:rPr>
              <w:t>71.2</w:t>
            </w:r>
          </w:p>
        </w:tc>
        <w:tc>
          <w:tcPr>
            <w:tcW w:type="dxa" w:w="1020"/>
            <w:vAlign w:val="center"/>
            <w:shd w:val="clear" w:color="auto" w:fill="FFFFFF"/>
          </w:tcPr>
          <w:p>
            <w:pPr>
              <w:spacing w:before="50" w:after="50"/>
              <w:jc w:val="center"/>
            </w:pPr>
            <w:r>
              <w:rPr>
                <w:rFonts w:ascii="Calibri" w:hAnsi="Calibri"/>
                <w:b w:val="0"/>
                <w:color w:val="000000"/>
                <w:sz w:val="17"/>
              </w:rPr>
              <w:t>89.2</w:t>
            </w:r>
          </w:p>
        </w:tc>
        <w:tc>
          <w:tcPr>
            <w:tcW w:type="dxa" w:w="1134"/>
            <w:vAlign w:val="center"/>
            <w:shd w:val="clear" w:color="auto" w:fill="FFFFFF"/>
          </w:tcPr>
          <w:p>
            <w:pPr>
              <w:spacing w:before="50" w:after="50"/>
              <w:jc w:val="center"/>
            </w:pPr>
            <w:r>
              <w:rPr>
                <w:rFonts w:ascii="Calibri" w:hAnsi="Calibri"/>
                <w:b w:val="0"/>
                <w:color w:val="000000"/>
                <w:sz w:val="17"/>
              </w:rPr>
              <w:t>87.6</w:t>
            </w:r>
          </w:p>
        </w:tc>
        <w:tc>
          <w:tcPr>
            <w:tcW w:type="dxa" w:w="907"/>
            <w:vAlign w:val="center"/>
            <w:shd w:val="clear" w:color="auto" w:fill="FFFFFF"/>
          </w:tcPr>
          <w:p>
            <w:pPr>
              <w:spacing w:before="50" w:after="50"/>
              <w:jc w:val="center"/>
            </w:pPr>
            <w:r>
              <w:rPr>
                <w:rFonts w:ascii="Calibri" w:hAnsi="Calibri"/>
                <w:b w:val="0"/>
                <w:color w:val="000000"/>
                <w:sz w:val="17"/>
              </w:rPr>
              <w:t>85.4</w:t>
            </w:r>
          </w:p>
        </w:tc>
        <w:tc>
          <w:tcPr>
            <w:tcW w:type="dxa" w:w="1644"/>
            <w:vAlign w:val="center"/>
            <w:shd w:val="clear" w:color="auto" w:fill="F1F5F9"/>
          </w:tcPr>
          <w:p>
            <w:pPr>
              <w:spacing w:before="50" w:after="50"/>
              <w:jc w:val="center"/>
            </w:pPr>
            <w:r>
              <w:rPr>
                <w:rFonts w:ascii="Calibri" w:hAnsi="Calibri"/>
                <w:b/>
                <w:color w:val="000000"/>
                <w:sz w:val="17"/>
              </w:rPr>
              <w:t>98.64</w:t>
            </w:r>
          </w:p>
        </w:tc>
      </w:tr>
      <w:tr>
        <w:tc>
          <w:tcPr>
            <w:tcW w:type="dxa" w:w="1871"/>
            <w:vAlign w:val="center"/>
            <w:shd w:val="clear" w:color="auto" w:fill="F9F9F9"/>
          </w:tcPr>
          <w:p>
            <w:pPr>
              <w:spacing w:before="50" w:after="50"/>
              <w:jc w:val="left"/>
            </w:pPr>
            <w:r>
              <w:rPr>
                <w:rFonts w:ascii="Calibri" w:hAnsi="Calibri"/>
                <w:b w:val="0"/>
                <w:color w:val="000000"/>
                <w:sz w:val="17"/>
              </w:rPr>
              <w:t>False Positive Rate (%)</w:t>
            </w:r>
          </w:p>
        </w:tc>
        <w:tc>
          <w:tcPr>
            <w:tcW w:type="dxa" w:w="907"/>
            <w:vAlign w:val="center"/>
            <w:shd w:val="clear" w:color="auto" w:fill="F9F9F9"/>
          </w:tcPr>
          <w:p>
            <w:pPr>
              <w:spacing w:before="50" w:after="50"/>
              <w:jc w:val="center"/>
            </w:pPr>
            <w:r>
              <w:rPr>
                <w:rFonts w:ascii="Calibri" w:hAnsi="Calibri"/>
                <w:b w:val="0"/>
                <w:color w:val="000000"/>
                <w:sz w:val="17"/>
              </w:rPr>
              <w:t>14.8</w:t>
            </w:r>
          </w:p>
        </w:tc>
        <w:tc>
          <w:tcPr>
            <w:tcW w:type="dxa" w:w="1020"/>
            <w:vAlign w:val="center"/>
            <w:shd w:val="clear" w:color="auto" w:fill="F9F9F9"/>
          </w:tcPr>
          <w:p>
            <w:pPr>
              <w:spacing w:before="50" w:after="50"/>
              <w:jc w:val="center"/>
            </w:pPr>
            <w:r>
              <w:rPr>
                <w:rFonts w:ascii="Calibri" w:hAnsi="Calibri"/>
                <w:b w:val="0"/>
                <w:color w:val="000000"/>
                <w:sz w:val="17"/>
              </w:rPr>
              <w:t>11.3</w:t>
            </w:r>
          </w:p>
        </w:tc>
        <w:tc>
          <w:tcPr>
            <w:tcW w:type="dxa" w:w="1020"/>
            <w:vAlign w:val="center"/>
            <w:shd w:val="clear" w:color="auto" w:fill="F9F9F9"/>
          </w:tcPr>
          <w:p>
            <w:pPr>
              <w:spacing w:before="50" w:after="50"/>
              <w:jc w:val="center"/>
            </w:pPr>
            <w:r>
              <w:rPr>
                <w:rFonts w:ascii="Calibri" w:hAnsi="Calibri"/>
                <w:b w:val="0"/>
                <w:color w:val="000000"/>
                <w:sz w:val="17"/>
              </w:rPr>
              <w:t>4.5</w:t>
            </w:r>
          </w:p>
        </w:tc>
        <w:tc>
          <w:tcPr>
            <w:tcW w:type="dxa" w:w="1134"/>
            <w:vAlign w:val="center"/>
            <w:shd w:val="clear" w:color="auto" w:fill="F9F9F9"/>
          </w:tcPr>
          <w:p>
            <w:pPr>
              <w:spacing w:before="50" w:after="50"/>
              <w:jc w:val="center"/>
            </w:pPr>
            <w:r>
              <w:rPr>
                <w:rFonts w:ascii="Calibri" w:hAnsi="Calibri"/>
                <w:b w:val="0"/>
                <w:color w:val="000000"/>
                <w:sz w:val="17"/>
              </w:rPr>
              <w:t>5.1</w:t>
            </w:r>
          </w:p>
        </w:tc>
        <w:tc>
          <w:tcPr>
            <w:tcW w:type="dxa" w:w="907"/>
            <w:vAlign w:val="center"/>
            <w:shd w:val="clear" w:color="auto" w:fill="F9F9F9"/>
          </w:tcPr>
          <w:p>
            <w:pPr>
              <w:spacing w:before="50" w:after="50"/>
              <w:jc w:val="center"/>
            </w:pPr>
            <w:r>
              <w:rPr>
                <w:rFonts w:ascii="Calibri" w:hAnsi="Calibri"/>
                <w:b w:val="0"/>
                <w:color w:val="000000"/>
                <w:sz w:val="17"/>
              </w:rPr>
              <w:t>6.2</w:t>
            </w:r>
          </w:p>
        </w:tc>
        <w:tc>
          <w:tcPr>
            <w:tcW w:type="dxa" w:w="1644"/>
            <w:vAlign w:val="center"/>
            <w:shd w:val="clear" w:color="auto" w:fill="F1F5F9"/>
          </w:tcPr>
          <w:p>
            <w:pPr>
              <w:spacing w:before="50" w:after="50"/>
              <w:jc w:val="center"/>
            </w:pPr>
            <w:r>
              <w:rPr>
                <w:rFonts w:ascii="Calibri" w:hAnsi="Calibri"/>
                <w:b/>
                <w:color w:val="000000"/>
                <w:sz w:val="17"/>
              </w:rPr>
              <w:t>0.12</w:t>
            </w:r>
          </w:p>
        </w:tc>
      </w:tr>
      <w:tr>
        <w:tc>
          <w:tcPr>
            <w:tcW w:type="dxa" w:w="1871"/>
            <w:vAlign w:val="center"/>
            <w:shd w:val="clear" w:color="auto" w:fill="FFFFFF"/>
          </w:tcPr>
          <w:p>
            <w:pPr>
              <w:spacing w:before="50" w:after="50"/>
              <w:jc w:val="left"/>
            </w:pPr>
            <w:r>
              <w:rPr>
                <w:rFonts w:ascii="Calibri" w:hAnsi="Calibri"/>
                <w:b w:val="0"/>
                <w:color w:val="000000"/>
                <w:sz w:val="17"/>
              </w:rPr>
              <w:t>Encrypted C2 Detect. (%)</w:t>
            </w:r>
          </w:p>
        </w:tc>
        <w:tc>
          <w:tcPr>
            <w:tcW w:type="dxa" w:w="907"/>
            <w:vAlign w:val="center"/>
            <w:shd w:val="clear" w:color="auto" w:fill="FFFFFF"/>
          </w:tcPr>
          <w:p>
            <w:pPr>
              <w:spacing w:before="50" w:after="50"/>
              <w:jc w:val="center"/>
            </w:pPr>
            <w:r>
              <w:rPr>
                <w:rFonts w:ascii="Calibri" w:hAnsi="Calibri"/>
                <w:b w:val="0"/>
                <w:color w:val="000000"/>
                <w:sz w:val="17"/>
              </w:rPr>
              <w:t>12.0</w:t>
            </w:r>
          </w:p>
        </w:tc>
        <w:tc>
          <w:tcPr>
            <w:tcW w:type="dxa" w:w="1020"/>
            <w:vAlign w:val="center"/>
            <w:shd w:val="clear" w:color="auto" w:fill="FFFFFF"/>
          </w:tcPr>
          <w:p>
            <w:pPr>
              <w:spacing w:before="50" w:after="50"/>
              <w:jc w:val="center"/>
            </w:pPr>
            <w:r>
              <w:rPr>
                <w:rFonts w:ascii="Calibri" w:hAnsi="Calibri"/>
                <w:b w:val="0"/>
                <w:color w:val="000000"/>
                <w:sz w:val="17"/>
              </w:rPr>
              <w:t>18.5</w:t>
            </w:r>
          </w:p>
        </w:tc>
        <w:tc>
          <w:tcPr>
            <w:tcW w:type="dxa" w:w="1020"/>
            <w:vAlign w:val="center"/>
            <w:shd w:val="clear" w:color="auto" w:fill="FFFFFF"/>
          </w:tcPr>
          <w:p>
            <w:pPr>
              <w:spacing w:before="50" w:after="50"/>
              <w:jc w:val="center"/>
            </w:pPr>
            <w:r>
              <w:rPr>
                <w:rFonts w:ascii="Calibri" w:hAnsi="Calibri"/>
                <w:b w:val="0"/>
                <w:color w:val="000000"/>
                <w:sz w:val="17"/>
              </w:rPr>
              <w:t>72.3</w:t>
            </w:r>
          </w:p>
        </w:tc>
        <w:tc>
          <w:tcPr>
            <w:tcW w:type="dxa" w:w="1134"/>
            <w:vAlign w:val="center"/>
            <w:shd w:val="clear" w:color="auto" w:fill="FFFFFF"/>
          </w:tcPr>
          <w:p>
            <w:pPr>
              <w:spacing w:before="50" w:after="50"/>
              <w:jc w:val="center"/>
            </w:pPr>
            <w:r>
              <w:rPr>
                <w:rFonts w:ascii="Calibri" w:hAnsi="Calibri"/>
                <w:b w:val="0"/>
                <w:color w:val="000000"/>
                <w:sz w:val="17"/>
              </w:rPr>
              <w:t>68.0</w:t>
            </w:r>
          </w:p>
        </w:tc>
        <w:tc>
          <w:tcPr>
            <w:tcW w:type="dxa" w:w="907"/>
            <w:vAlign w:val="center"/>
            <w:shd w:val="clear" w:color="auto" w:fill="FFFFFF"/>
          </w:tcPr>
          <w:p>
            <w:pPr>
              <w:spacing w:before="50" w:after="50"/>
              <w:jc w:val="center"/>
            </w:pPr>
            <w:r>
              <w:rPr>
                <w:rFonts w:ascii="Calibri" w:hAnsi="Calibri"/>
                <w:b w:val="0"/>
                <w:color w:val="000000"/>
                <w:sz w:val="17"/>
              </w:rPr>
              <w:t>64.1</w:t>
            </w:r>
          </w:p>
        </w:tc>
        <w:tc>
          <w:tcPr>
            <w:tcW w:type="dxa" w:w="1644"/>
            <w:vAlign w:val="center"/>
            <w:shd w:val="clear" w:color="auto" w:fill="F1F5F9"/>
          </w:tcPr>
          <w:p>
            <w:pPr>
              <w:spacing w:before="50" w:after="50"/>
              <w:jc w:val="center"/>
            </w:pPr>
            <w:r>
              <w:rPr>
                <w:rFonts w:ascii="Calibri" w:hAnsi="Calibri"/>
                <w:b/>
                <w:color w:val="000000"/>
                <w:sz w:val="17"/>
              </w:rPr>
              <w:t>87.9</w:t>
            </w:r>
          </w:p>
        </w:tc>
      </w:tr>
      <w:tr>
        <w:tc>
          <w:tcPr>
            <w:tcW w:type="dxa" w:w="1871"/>
            <w:vAlign w:val="center"/>
            <w:shd w:val="clear" w:color="auto" w:fill="F9F9F9"/>
          </w:tcPr>
          <w:p>
            <w:pPr>
              <w:spacing w:before="50" w:after="50"/>
              <w:jc w:val="left"/>
            </w:pPr>
            <w:r>
              <w:rPr>
                <w:rFonts w:ascii="Calibri" w:hAnsi="Calibri"/>
                <w:b w:val="0"/>
                <w:color w:val="000000"/>
                <w:sz w:val="17"/>
              </w:rPr>
              <w:t>Scan Evasion Resist. (%)</w:t>
            </w:r>
          </w:p>
        </w:tc>
        <w:tc>
          <w:tcPr>
            <w:tcW w:type="dxa" w:w="907"/>
            <w:vAlign w:val="center"/>
            <w:shd w:val="clear" w:color="auto" w:fill="F9F9F9"/>
          </w:tcPr>
          <w:p>
            <w:pPr>
              <w:spacing w:before="50" w:after="50"/>
              <w:jc w:val="center"/>
            </w:pPr>
            <w:r>
              <w:rPr>
                <w:rFonts w:ascii="Calibri" w:hAnsi="Calibri"/>
                <w:b w:val="0"/>
                <w:color w:val="000000"/>
                <w:sz w:val="17"/>
              </w:rPr>
              <w:t>41.0</w:t>
            </w:r>
          </w:p>
        </w:tc>
        <w:tc>
          <w:tcPr>
            <w:tcW w:type="dxa" w:w="1020"/>
            <w:vAlign w:val="center"/>
            <w:shd w:val="clear" w:color="auto" w:fill="F9F9F9"/>
          </w:tcPr>
          <w:p>
            <w:pPr>
              <w:spacing w:before="50" w:after="50"/>
              <w:jc w:val="center"/>
            </w:pPr>
            <w:r>
              <w:rPr>
                <w:rFonts w:ascii="Calibri" w:hAnsi="Calibri"/>
                <w:b w:val="0"/>
                <w:color w:val="000000"/>
                <w:sz w:val="17"/>
              </w:rPr>
              <w:t>49.0</w:t>
            </w:r>
          </w:p>
        </w:tc>
        <w:tc>
          <w:tcPr>
            <w:tcW w:type="dxa" w:w="1020"/>
            <w:vAlign w:val="center"/>
            <w:shd w:val="clear" w:color="auto" w:fill="F9F9F9"/>
          </w:tcPr>
          <w:p>
            <w:pPr>
              <w:spacing w:before="50" w:after="50"/>
              <w:jc w:val="center"/>
            </w:pPr>
            <w:r>
              <w:rPr>
                <w:rFonts w:ascii="Calibri" w:hAnsi="Calibri"/>
                <w:b w:val="0"/>
                <w:color w:val="000000"/>
                <w:sz w:val="17"/>
              </w:rPr>
              <w:t>76.0</w:t>
            </w:r>
          </w:p>
        </w:tc>
        <w:tc>
          <w:tcPr>
            <w:tcW w:type="dxa" w:w="1134"/>
            <w:vAlign w:val="center"/>
            <w:shd w:val="clear" w:color="auto" w:fill="F9F9F9"/>
          </w:tcPr>
          <w:p>
            <w:pPr>
              <w:spacing w:before="50" w:after="50"/>
              <w:jc w:val="center"/>
            </w:pPr>
            <w:r>
              <w:rPr>
                <w:rFonts w:ascii="Calibri" w:hAnsi="Calibri"/>
                <w:b w:val="0"/>
                <w:color w:val="000000"/>
                <w:sz w:val="17"/>
              </w:rPr>
              <w:t>N/A</w:t>
            </w:r>
          </w:p>
        </w:tc>
        <w:tc>
          <w:tcPr>
            <w:tcW w:type="dxa" w:w="907"/>
            <w:vAlign w:val="center"/>
            <w:shd w:val="clear" w:color="auto" w:fill="F9F9F9"/>
          </w:tcPr>
          <w:p>
            <w:pPr>
              <w:spacing w:before="50" w:after="50"/>
              <w:jc w:val="center"/>
            </w:pPr>
            <w:r>
              <w:rPr>
                <w:rFonts w:ascii="Calibri" w:hAnsi="Calibri"/>
                <w:b w:val="0"/>
                <w:color w:val="000000"/>
                <w:sz w:val="17"/>
              </w:rPr>
              <w:t>71.0</w:t>
            </w:r>
          </w:p>
        </w:tc>
        <w:tc>
          <w:tcPr>
            <w:tcW w:type="dxa" w:w="1644"/>
            <w:vAlign w:val="center"/>
            <w:shd w:val="clear" w:color="auto" w:fill="F1F5F9"/>
          </w:tcPr>
          <w:p>
            <w:pPr>
              <w:spacing w:before="50" w:after="50"/>
              <w:jc w:val="center"/>
            </w:pPr>
            <w:r>
              <w:rPr>
                <w:rFonts w:ascii="Calibri" w:hAnsi="Calibri"/>
                <w:b/>
                <w:color w:val="000000"/>
                <w:sz w:val="17"/>
              </w:rPr>
              <w:t>96.8</w:t>
            </w:r>
          </w:p>
        </w:tc>
      </w:tr>
      <w:tr>
        <w:tc>
          <w:tcPr>
            <w:tcW w:type="dxa" w:w="1871"/>
            <w:vAlign w:val="center"/>
            <w:shd w:val="clear" w:color="auto" w:fill="FFFFFF"/>
          </w:tcPr>
          <w:p>
            <w:pPr>
              <w:spacing w:before="50" w:after="50"/>
              <w:jc w:val="left"/>
            </w:pPr>
            <w:r>
              <w:rPr>
                <w:rFonts w:ascii="Calibri" w:hAnsi="Calibri"/>
                <w:b w:val="0"/>
                <w:color w:val="000000"/>
                <w:sz w:val="17"/>
              </w:rPr>
              <w:t>Adversarial Robust. (%)</w:t>
            </w:r>
          </w:p>
        </w:tc>
        <w:tc>
          <w:tcPr>
            <w:tcW w:type="dxa" w:w="907"/>
            <w:vAlign w:val="center"/>
            <w:shd w:val="clear" w:color="auto" w:fill="FFFFFF"/>
          </w:tcPr>
          <w:p>
            <w:pPr>
              <w:spacing w:before="50" w:after="50"/>
              <w:jc w:val="center"/>
            </w:pPr>
            <w:r>
              <w:rPr>
                <w:rFonts w:ascii="Calibri" w:hAnsi="Calibri"/>
                <w:b w:val="0"/>
                <w:color w:val="000000"/>
                <w:sz w:val="17"/>
              </w:rPr>
              <w:t>29.0</w:t>
            </w:r>
          </w:p>
        </w:tc>
        <w:tc>
          <w:tcPr>
            <w:tcW w:type="dxa" w:w="1020"/>
            <w:vAlign w:val="center"/>
            <w:shd w:val="clear" w:color="auto" w:fill="FFFFFF"/>
          </w:tcPr>
          <w:p>
            <w:pPr>
              <w:spacing w:before="50" w:after="50"/>
              <w:jc w:val="center"/>
            </w:pPr>
            <w:r>
              <w:rPr>
                <w:rFonts w:ascii="Calibri" w:hAnsi="Calibri"/>
                <w:b w:val="0"/>
                <w:color w:val="000000"/>
                <w:sz w:val="17"/>
              </w:rPr>
              <w:t>34.0</w:t>
            </w:r>
          </w:p>
        </w:tc>
        <w:tc>
          <w:tcPr>
            <w:tcW w:type="dxa" w:w="1020"/>
            <w:vAlign w:val="center"/>
            <w:shd w:val="clear" w:color="auto" w:fill="FFFFFF"/>
          </w:tcPr>
          <w:p>
            <w:pPr>
              <w:spacing w:before="50" w:after="50"/>
              <w:jc w:val="center"/>
            </w:pPr>
            <w:r>
              <w:rPr>
                <w:rFonts w:ascii="Calibri" w:hAnsi="Calibri"/>
                <w:b w:val="0"/>
                <w:color w:val="000000"/>
                <w:sz w:val="17"/>
              </w:rPr>
              <w:t>67.0</w:t>
            </w:r>
          </w:p>
        </w:tc>
        <w:tc>
          <w:tcPr>
            <w:tcW w:type="dxa" w:w="1134"/>
            <w:vAlign w:val="center"/>
            <w:shd w:val="clear" w:color="auto" w:fill="FFFFFF"/>
          </w:tcPr>
          <w:p>
            <w:pPr>
              <w:spacing w:before="50" w:after="50"/>
              <w:jc w:val="center"/>
            </w:pPr>
            <w:r>
              <w:rPr>
                <w:rFonts w:ascii="Calibri" w:hAnsi="Calibri"/>
                <w:b w:val="0"/>
                <w:color w:val="000000"/>
                <w:sz w:val="17"/>
              </w:rPr>
              <w:t>61.0</w:t>
            </w:r>
          </w:p>
        </w:tc>
        <w:tc>
          <w:tcPr>
            <w:tcW w:type="dxa" w:w="907"/>
            <w:vAlign w:val="center"/>
            <w:shd w:val="clear" w:color="auto" w:fill="FFFFFF"/>
          </w:tcPr>
          <w:p>
            <w:pPr>
              <w:spacing w:before="50" w:after="50"/>
              <w:jc w:val="center"/>
            </w:pPr>
            <w:r>
              <w:rPr>
                <w:rFonts w:ascii="Calibri" w:hAnsi="Calibri"/>
                <w:b w:val="0"/>
                <w:color w:val="000000"/>
                <w:sz w:val="17"/>
              </w:rPr>
              <w:t>59.0</w:t>
            </w:r>
          </w:p>
        </w:tc>
        <w:tc>
          <w:tcPr>
            <w:tcW w:type="dxa" w:w="1644"/>
            <w:vAlign w:val="center"/>
            <w:shd w:val="clear" w:color="auto" w:fill="F1F5F9"/>
          </w:tcPr>
          <w:p>
            <w:pPr>
              <w:spacing w:before="50" w:after="50"/>
              <w:jc w:val="center"/>
            </w:pPr>
            <w:r>
              <w:rPr>
                <w:rFonts w:ascii="Calibri" w:hAnsi="Calibri"/>
                <w:b/>
                <w:color w:val="000000"/>
                <w:sz w:val="17"/>
              </w:rPr>
              <w:t>94.1</w:t>
            </w:r>
          </w:p>
        </w:tc>
      </w:tr>
    </w:tbl>
    <w:p>
      <w:pPr>
        <w:spacing w:before="40" w:after="160"/>
        <w:jc w:val="center"/>
      </w:pPr>
      <w:r>
        <w:rPr>
          <w:rFonts w:ascii="Calibri" w:hAnsi="Calibri"/>
          <w:i/>
          <w:color w:val="333333"/>
          <w:sz w:val="18"/>
        </w:rPr>
        <w:t>Table III: Detection accuracy comparison across 10M Monte Carlo emulation flows. Open-source NIDS baselines (Snort 3.x, Suricata 7.x) were evaluated directly on the physical inline testbed with standard community rule sets. Enterprise platform figures (Palo Alto PAN-OS, Cloudflare Magic Transit, Cisco Firepower) are aggregated from published NIDS evaluation surveys [15]–[17] under representative multi-vector threat workloads; direct independent evaluation of commercial platforms was not conducted. Autonomous Agent achieves 87.9% C2 detection out-of-band without payload decryption.</w:t>
      </w:r>
    </w:p>
    <w:p>
      <w:pPr>
        <w:spacing w:before="120" w:after="80"/>
        <w:jc w:val="left"/>
      </w:pPr>
      <w:r>
        <w:rPr>
          <w:rFonts w:ascii="Calibri" w:hAnsi="Calibri"/>
          <w:b/>
          <w:color w:val="000000"/>
          <w:sz w:val="23"/>
        </w:rPr>
        <w:t>C. Latency and Throughput Comparison</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spacing w:before="60" w:after="60"/>
              <w:jc w:val="center"/>
            </w:pPr>
            <w:r>
              <w:rPr>
                <w:rFonts w:ascii="Calibri" w:hAnsi="Calibri"/>
                <w:b/>
                <w:color w:val="FFFFFF"/>
                <w:sz w:val="17"/>
              </w:rPr>
              <w:t>System</w:t>
            </w:r>
          </w:p>
        </w:tc>
        <w:tc>
          <w:tcPr>
            <w:tcW w:type="dxa" w:w="1814"/>
            <w:shd w:val="clear" w:color="auto" w:fill="111827"/>
            <w:vAlign w:val="center"/>
          </w:tcPr>
          <w:p>
            <w:pPr>
              <w:spacing w:before="60" w:after="60"/>
              <w:jc w:val="center"/>
            </w:pPr>
            <w:r>
              <w:rPr>
                <w:rFonts w:ascii="Calibri" w:hAnsi="Calibri"/>
                <w:b/>
                <w:color w:val="FFFFFF"/>
                <w:sz w:val="17"/>
              </w:rPr>
              <w:t>Data-Plane Latency</w:t>
            </w:r>
          </w:p>
        </w:tc>
        <w:tc>
          <w:tcPr>
            <w:tcW w:type="dxa" w:w="1814"/>
            <w:shd w:val="clear" w:color="auto" w:fill="111827"/>
            <w:vAlign w:val="center"/>
          </w:tcPr>
          <w:p>
            <w:pPr>
              <w:spacing w:before="60" w:after="60"/>
              <w:jc w:val="center"/>
            </w:pPr>
            <w:r>
              <w:rPr>
                <w:rFonts w:ascii="Calibri" w:hAnsi="Calibri"/>
                <w:b/>
                <w:color w:val="FFFFFF"/>
                <w:sz w:val="17"/>
              </w:rPr>
              <w:t>Control-Plane Latency</w:t>
            </w:r>
          </w:p>
        </w:tc>
        <w:tc>
          <w:tcPr>
            <w:tcW w:type="dxa" w:w="1701"/>
            <w:shd w:val="clear" w:color="auto" w:fill="111827"/>
            <w:vAlign w:val="center"/>
          </w:tcPr>
          <w:p>
            <w:pPr>
              <w:spacing w:before="60" w:after="60"/>
              <w:jc w:val="center"/>
            </w:pPr>
            <w:r>
              <w:rPr>
                <w:rFonts w:ascii="Calibri" w:hAnsi="Calibri"/>
                <w:b/>
                <w:color w:val="FFFFFF"/>
                <w:sz w:val="17"/>
              </w:rPr>
              <w:t>Max Throughput</w:t>
            </w:r>
          </w:p>
        </w:tc>
        <w:tc>
          <w:tcPr>
            <w:tcW w:type="dxa" w:w="1701"/>
            <w:shd w:val="clear" w:color="auto" w:fill="111827"/>
            <w:vAlign w:val="center"/>
          </w:tcPr>
          <w:p>
            <w:pPr>
              <w:spacing w:before="60" w:after="60"/>
              <w:jc w:val="center"/>
            </w:pPr>
            <w:r>
              <w:rPr>
                <w:rFonts w:ascii="Calibri" w:hAnsi="Calibri"/>
                <w:b/>
                <w:color w:val="FFFFFF"/>
                <w:sz w:val="17"/>
              </w:rPr>
              <w:t>Architecture</w:t>
            </w:r>
          </w:p>
        </w:tc>
      </w:tr>
      <w:tr>
        <w:tc>
          <w:tcPr>
            <w:tcW w:type="dxa" w:w="1701"/>
            <w:vAlign w:val="center"/>
            <w:shd w:val="clear" w:color="auto" w:fill="FFFFFF"/>
          </w:tcPr>
          <w:p>
            <w:pPr>
              <w:spacing w:before="50" w:after="50"/>
              <w:jc w:val="left"/>
            </w:pPr>
            <w:r>
              <w:rPr>
                <w:rFonts w:ascii="Calibri" w:hAnsi="Calibri"/>
                <w:b w:val="0"/>
                <w:color w:val="000000"/>
                <w:sz w:val="17"/>
              </w:rPr>
              <w:t>Snort 3.x</w:t>
            </w:r>
          </w:p>
        </w:tc>
        <w:tc>
          <w:tcPr>
            <w:tcW w:type="dxa" w:w="1814"/>
            <w:vAlign w:val="center"/>
            <w:shd w:val="clear" w:color="auto" w:fill="FFFFFF"/>
          </w:tcPr>
          <w:p>
            <w:pPr>
              <w:spacing w:before="50" w:after="50"/>
              <w:jc w:val="center"/>
            </w:pPr>
            <w:r>
              <w:rPr>
                <w:rFonts w:ascii="Calibri" w:hAnsi="Calibri"/>
                <w:b w:val="0"/>
                <w:color w:val="000000"/>
                <w:sz w:val="17"/>
              </w:rPr>
              <w:t>250-800 us</w:t>
            </w:r>
          </w:p>
        </w:tc>
        <w:tc>
          <w:tcPr>
            <w:tcW w:type="dxa" w:w="1814"/>
            <w:vAlign w:val="center"/>
            <w:shd w:val="clear" w:color="auto" w:fill="FFFFFF"/>
          </w:tcPr>
          <w:p>
            <w:pPr>
              <w:spacing w:before="50" w:after="50"/>
              <w:jc w:val="center"/>
            </w:pPr>
            <w:r>
              <w:rPr>
                <w:rFonts w:ascii="Calibri" w:hAnsi="Calibri"/>
                <w:b w:val="0"/>
                <w:color w:val="000000"/>
                <w:sz w:val="17"/>
              </w:rPr>
              <w:t>80-200 ms</w:t>
            </w:r>
          </w:p>
        </w:tc>
        <w:tc>
          <w:tcPr>
            <w:tcW w:type="dxa" w:w="1701"/>
            <w:vAlign w:val="center"/>
            <w:shd w:val="clear" w:color="auto" w:fill="FFFFFF"/>
          </w:tcPr>
          <w:p>
            <w:pPr>
              <w:spacing w:before="50" w:after="50"/>
              <w:jc w:val="center"/>
            </w:pPr>
            <w:r>
              <w:rPr>
                <w:rFonts w:ascii="Calibri" w:hAnsi="Calibri"/>
                <w:b w:val="0"/>
                <w:color w:val="000000"/>
                <w:sz w:val="17"/>
              </w:rPr>
              <w:t>~2 Gbps</w:t>
            </w:r>
          </w:p>
        </w:tc>
        <w:tc>
          <w:tcPr>
            <w:tcW w:type="dxa" w:w="1701"/>
            <w:vAlign w:val="center"/>
            <w:shd w:val="clear" w:color="auto" w:fill="FFFFFF"/>
          </w:tcPr>
          <w:p>
            <w:pPr>
              <w:spacing w:before="50" w:after="50"/>
              <w:jc w:val="left"/>
            </w:pPr>
            <w:r>
              <w:rPr>
                <w:rFonts w:ascii="Calibri" w:hAnsi="Calibri"/>
                <w:b w:val="0"/>
                <w:color w:val="000000"/>
                <w:sz w:val="17"/>
              </w:rPr>
              <w:t>User-space DAQ</w:t>
            </w:r>
          </w:p>
        </w:tc>
      </w:tr>
      <w:tr>
        <w:tc>
          <w:tcPr>
            <w:tcW w:type="dxa" w:w="1701"/>
            <w:vAlign w:val="center"/>
            <w:shd w:val="clear" w:color="auto" w:fill="F9F9F9"/>
          </w:tcPr>
          <w:p>
            <w:pPr>
              <w:spacing w:before="50" w:after="50"/>
              <w:jc w:val="left"/>
            </w:pPr>
            <w:r>
              <w:rPr>
                <w:rFonts w:ascii="Calibri" w:hAnsi="Calibri"/>
                <w:b w:val="0"/>
                <w:color w:val="000000"/>
                <w:sz w:val="17"/>
              </w:rPr>
              <w:t>Suricata 7.x</w:t>
            </w:r>
          </w:p>
        </w:tc>
        <w:tc>
          <w:tcPr>
            <w:tcW w:type="dxa" w:w="1814"/>
            <w:vAlign w:val="center"/>
            <w:shd w:val="clear" w:color="auto" w:fill="F9F9F9"/>
          </w:tcPr>
          <w:p>
            <w:pPr>
              <w:spacing w:before="50" w:after="50"/>
              <w:jc w:val="center"/>
            </w:pPr>
            <w:r>
              <w:rPr>
                <w:rFonts w:ascii="Calibri" w:hAnsi="Calibri"/>
                <w:b w:val="0"/>
                <w:color w:val="000000"/>
                <w:sz w:val="17"/>
              </w:rPr>
              <w:t>180-600 us</w:t>
            </w:r>
          </w:p>
        </w:tc>
        <w:tc>
          <w:tcPr>
            <w:tcW w:type="dxa" w:w="1814"/>
            <w:vAlign w:val="center"/>
            <w:shd w:val="clear" w:color="auto" w:fill="F9F9F9"/>
          </w:tcPr>
          <w:p>
            <w:pPr>
              <w:spacing w:before="50" w:after="50"/>
              <w:jc w:val="center"/>
            </w:pPr>
            <w:r>
              <w:rPr>
                <w:rFonts w:ascii="Calibri" w:hAnsi="Calibri"/>
                <w:b w:val="0"/>
                <w:color w:val="000000"/>
                <w:sz w:val="17"/>
              </w:rPr>
              <w:t>50-150 ms</w:t>
            </w:r>
          </w:p>
        </w:tc>
        <w:tc>
          <w:tcPr>
            <w:tcW w:type="dxa" w:w="1701"/>
            <w:vAlign w:val="center"/>
            <w:shd w:val="clear" w:color="auto" w:fill="F9F9F9"/>
          </w:tcPr>
          <w:p>
            <w:pPr>
              <w:spacing w:before="50" w:after="50"/>
              <w:jc w:val="center"/>
            </w:pPr>
            <w:r>
              <w:rPr>
                <w:rFonts w:ascii="Calibri" w:hAnsi="Calibri"/>
                <w:b w:val="0"/>
                <w:color w:val="000000"/>
                <w:sz w:val="17"/>
              </w:rPr>
              <w:t>~4 Gbps</w:t>
            </w:r>
          </w:p>
        </w:tc>
        <w:tc>
          <w:tcPr>
            <w:tcW w:type="dxa" w:w="1701"/>
            <w:vAlign w:val="center"/>
            <w:shd w:val="clear" w:color="auto" w:fill="F9F9F9"/>
          </w:tcPr>
          <w:p>
            <w:pPr>
              <w:spacing w:before="50" w:after="50"/>
              <w:jc w:val="left"/>
            </w:pPr>
            <w:r>
              <w:rPr>
                <w:rFonts w:ascii="Calibri" w:hAnsi="Calibri"/>
                <w:b w:val="0"/>
                <w:color w:val="000000"/>
                <w:sz w:val="17"/>
              </w:rPr>
              <w:t>User-space AF_PACKET</w:t>
            </w:r>
          </w:p>
        </w:tc>
      </w:tr>
      <w:tr>
        <w:tc>
          <w:tcPr>
            <w:tcW w:type="dxa" w:w="1701"/>
            <w:vAlign w:val="center"/>
            <w:shd w:val="clear" w:color="auto" w:fill="FFFFFF"/>
          </w:tcPr>
          <w:p>
            <w:pPr>
              <w:spacing w:before="50" w:after="50"/>
              <w:jc w:val="left"/>
            </w:pPr>
            <w:r>
              <w:rPr>
                <w:rFonts w:ascii="Calibri" w:hAnsi="Calibri"/>
                <w:b w:val="0"/>
                <w:color w:val="000000"/>
                <w:sz w:val="17"/>
              </w:rPr>
              <w:t>Palo Alto PAN-OS</w:t>
            </w:r>
          </w:p>
        </w:tc>
        <w:tc>
          <w:tcPr>
            <w:tcW w:type="dxa" w:w="1814"/>
            <w:vAlign w:val="center"/>
            <w:shd w:val="clear" w:color="auto" w:fill="FFFFFF"/>
          </w:tcPr>
          <w:p>
            <w:pPr>
              <w:spacing w:before="50" w:after="50"/>
              <w:jc w:val="center"/>
            </w:pPr>
            <w:r>
              <w:rPr>
                <w:rFonts w:ascii="Calibri" w:hAnsi="Calibri"/>
                <w:b w:val="0"/>
                <w:color w:val="000000"/>
                <w:sz w:val="17"/>
              </w:rPr>
              <w:t>25-120 us (local)</w:t>
            </w:r>
          </w:p>
        </w:tc>
        <w:tc>
          <w:tcPr>
            <w:tcW w:type="dxa" w:w="1814"/>
            <w:vAlign w:val="center"/>
            <w:shd w:val="clear" w:color="auto" w:fill="FFFFFF"/>
          </w:tcPr>
          <w:p>
            <w:pPr>
              <w:spacing w:before="50" w:after="50"/>
              <w:jc w:val="center"/>
            </w:pPr>
            <w:r>
              <w:rPr>
                <w:rFonts w:ascii="Calibri" w:hAnsi="Calibri"/>
                <w:b w:val="0"/>
                <w:color w:val="000000"/>
                <w:sz w:val="17"/>
              </w:rPr>
              <w:t>100-500 ms</w:t>
            </w:r>
          </w:p>
        </w:tc>
        <w:tc>
          <w:tcPr>
            <w:tcW w:type="dxa" w:w="1701"/>
            <w:vAlign w:val="center"/>
            <w:shd w:val="clear" w:color="auto" w:fill="FFFFFF"/>
          </w:tcPr>
          <w:p>
            <w:pPr>
              <w:spacing w:before="50" w:after="50"/>
              <w:jc w:val="center"/>
            </w:pPr>
            <w:r>
              <w:rPr>
                <w:rFonts w:ascii="Calibri" w:hAnsi="Calibri"/>
                <w:b w:val="0"/>
                <w:color w:val="000000"/>
                <w:sz w:val="17"/>
              </w:rPr>
              <w:t>100 Gbps (ASIC)</w:t>
            </w:r>
          </w:p>
        </w:tc>
        <w:tc>
          <w:tcPr>
            <w:tcW w:type="dxa" w:w="1701"/>
            <w:vAlign w:val="center"/>
            <w:shd w:val="clear" w:color="auto" w:fill="FFFFFF"/>
          </w:tcPr>
          <w:p>
            <w:pPr>
              <w:spacing w:before="50" w:after="50"/>
              <w:jc w:val="left"/>
            </w:pPr>
            <w:r>
              <w:rPr>
                <w:rFonts w:ascii="Calibri" w:hAnsi="Calibri"/>
                <w:b w:val="0"/>
                <w:color w:val="000000"/>
                <w:sz w:val="17"/>
              </w:rPr>
              <w:t>Custom ASIC</w:t>
            </w:r>
          </w:p>
        </w:tc>
      </w:tr>
      <w:tr>
        <w:tc>
          <w:tcPr>
            <w:tcW w:type="dxa" w:w="1701"/>
            <w:vAlign w:val="center"/>
            <w:shd w:val="clear" w:color="auto" w:fill="F9F9F9"/>
          </w:tcPr>
          <w:p>
            <w:pPr>
              <w:spacing w:before="50" w:after="50"/>
              <w:jc w:val="left"/>
            </w:pPr>
            <w:r>
              <w:rPr>
                <w:rFonts w:ascii="Calibri" w:hAnsi="Calibri"/>
                <w:b w:val="0"/>
                <w:color w:val="000000"/>
                <w:sz w:val="17"/>
              </w:rPr>
              <w:t>Cloudflare MT</w:t>
            </w:r>
          </w:p>
        </w:tc>
        <w:tc>
          <w:tcPr>
            <w:tcW w:type="dxa" w:w="1814"/>
            <w:vAlign w:val="center"/>
            <w:shd w:val="clear" w:color="auto" w:fill="F9F9F9"/>
          </w:tcPr>
          <w:p>
            <w:pPr>
              <w:spacing w:before="50" w:after="50"/>
              <w:jc w:val="center"/>
            </w:pPr>
            <w:r>
              <w:rPr>
                <w:rFonts w:ascii="Calibri" w:hAnsi="Calibri"/>
                <w:b w:val="0"/>
                <w:color w:val="000000"/>
                <w:sz w:val="17"/>
              </w:rPr>
              <w:t>10-80 ms (WAN)</w:t>
            </w:r>
          </w:p>
        </w:tc>
        <w:tc>
          <w:tcPr>
            <w:tcW w:type="dxa" w:w="1814"/>
            <w:vAlign w:val="center"/>
            <w:shd w:val="clear" w:color="auto" w:fill="F9F9F9"/>
          </w:tcPr>
          <w:p>
            <w:pPr>
              <w:spacing w:before="50" w:after="50"/>
              <w:jc w:val="center"/>
            </w:pPr>
            <w:r>
              <w:rPr>
                <w:rFonts w:ascii="Calibri" w:hAnsi="Calibri"/>
                <w:b w:val="0"/>
                <w:color w:val="000000"/>
                <w:sz w:val="17"/>
              </w:rPr>
              <w:t>100-300 ms</w:t>
            </w:r>
          </w:p>
        </w:tc>
        <w:tc>
          <w:tcPr>
            <w:tcW w:type="dxa" w:w="1701"/>
            <w:vAlign w:val="center"/>
            <w:shd w:val="clear" w:color="auto" w:fill="F9F9F9"/>
          </w:tcPr>
          <w:p>
            <w:pPr>
              <w:spacing w:before="50" w:after="50"/>
              <w:jc w:val="center"/>
            </w:pPr>
            <w:r>
              <w:rPr>
                <w:rFonts w:ascii="Calibri" w:hAnsi="Calibri"/>
                <w:b w:val="0"/>
                <w:color w:val="000000"/>
                <w:sz w:val="17"/>
              </w:rPr>
              <w:t>Tbps (anycast)</w:t>
            </w:r>
          </w:p>
        </w:tc>
        <w:tc>
          <w:tcPr>
            <w:tcW w:type="dxa" w:w="1701"/>
            <w:vAlign w:val="center"/>
            <w:shd w:val="clear" w:color="auto" w:fill="F9F9F9"/>
          </w:tcPr>
          <w:p>
            <w:pPr>
              <w:spacing w:before="50" w:after="50"/>
              <w:jc w:val="left"/>
            </w:pPr>
            <w:r>
              <w:rPr>
                <w:rFonts w:ascii="Calibri" w:hAnsi="Calibri"/>
                <w:b w:val="0"/>
                <w:color w:val="000000"/>
                <w:sz w:val="17"/>
              </w:rPr>
              <w:t>Cloud PoP</w:t>
            </w:r>
          </w:p>
        </w:tc>
      </w:tr>
      <w:tr>
        <w:tc>
          <w:tcPr>
            <w:tcW w:type="dxa" w:w="1701"/>
            <w:vAlign w:val="center"/>
            <w:shd w:val="clear" w:color="auto" w:fill="FFFFFF"/>
          </w:tcPr>
          <w:p>
            <w:pPr>
              <w:spacing w:before="50" w:after="50"/>
              <w:jc w:val="left"/>
            </w:pPr>
            <w:r>
              <w:rPr>
                <w:rFonts w:ascii="Calibri" w:hAnsi="Calibri"/>
                <w:b w:val="0"/>
                <w:color w:val="000000"/>
                <w:sz w:val="17"/>
              </w:rPr>
              <w:t>Cisco Firepower</w:t>
            </w:r>
          </w:p>
        </w:tc>
        <w:tc>
          <w:tcPr>
            <w:tcW w:type="dxa" w:w="1814"/>
            <w:vAlign w:val="center"/>
            <w:shd w:val="clear" w:color="auto" w:fill="FFFFFF"/>
          </w:tcPr>
          <w:p>
            <w:pPr>
              <w:spacing w:before="50" w:after="50"/>
              <w:jc w:val="center"/>
            </w:pPr>
            <w:r>
              <w:rPr>
                <w:rFonts w:ascii="Calibri" w:hAnsi="Calibri"/>
                <w:b w:val="0"/>
                <w:color w:val="000000"/>
                <w:sz w:val="17"/>
              </w:rPr>
              <w:t>60-400 us</w:t>
            </w:r>
          </w:p>
        </w:tc>
        <w:tc>
          <w:tcPr>
            <w:tcW w:type="dxa" w:w="1814"/>
            <w:vAlign w:val="center"/>
            <w:shd w:val="clear" w:color="auto" w:fill="FFFFFF"/>
          </w:tcPr>
          <w:p>
            <w:pPr>
              <w:spacing w:before="50" w:after="50"/>
              <w:jc w:val="center"/>
            </w:pPr>
            <w:r>
              <w:rPr>
                <w:rFonts w:ascii="Calibri" w:hAnsi="Calibri"/>
                <w:b w:val="0"/>
                <w:color w:val="000000"/>
                <w:sz w:val="17"/>
              </w:rPr>
              <w:t>200-800 ms</w:t>
            </w:r>
          </w:p>
        </w:tc>
        <w:tc>
          <w:tcPr>
            <w:tcW w:type="dxa" w:w="1701"/>
            <w:vAlign w:val="center"/>
            <w:shd w:val="clear" w:color="auto" w:fill="FFFFFF"/>
          </w:tcPr>
          <w:p>
            <w:pPr>
              <w:spacing w:before="50" w:after="50"/>
              <w:jc w:val="center"/>
            </w:pPr>
            <w:r>
              <w:rPr>
                <w:rFonts w:ascii="Calibri" w:hAnsi="Calibri"/>
                <w:b w:val="0"/>
                <w:color w:val="000000"/>
                <w:sz w:val="17"/>
              </w:rPr>
              <w:t>40 Gbps (HW)</w:t>
            </w:r>
          </w:p>
        </w:tc>
        <w:tc>
          <w:tcPr>
            <w:tcW w:type="dxa" w:w="1701"/>
            <w:vAlign w:val="center"/>
            <w:shd w:val="clear" w:color="auto" w:fill="FFFFFF"/>
          </w:tcPr>
          <w:p>
            <w:pPr>
              <w:spacing w:before="50" w:after="50"/>
              <w:jc w:val="left"/>
            </w:pPr>
            <w:r>
              <w:rPr>
                <w:rFonts w:ascii="Calibri" w:hAnsi="Calibri"/>
                <w:b w:val="0"/>
                <w:color w:val="000000"/>
                <w:sz w:val="17"/>
              </w:rPr>
              <w:t>Custom NIC ASIC</w:t>
            </w:r>
          </w:p>
        </w:tc>
      </w:tr>
      <w:tr>
        <w:tc>
          <w:tcPr>
            <w:tcW w:type="dxa" w:w="1701"/>
            <w:vAlign w:val="center"/>
            <w:shd w:val="clear" w:color="auto" w:fill="F9F9F9"/>
          </w:tcPr>
          <w:p>
            <w:pPr>
              <w:spacing w:before="50" w:after="50"/>
              <w:jc w:val="left"/>
            </w:pPr>
            <w:r>
              <w:rPr>
                <w:rFonts w:ascii="Calibri" w:hAnsi="Calibri"/>
                <w:b/>
                <w:color w:val="000000"/>
                <w:sz w:val="17"/>
              </w:rPr>
              <w:t>Autonomous Agent (ours)</w:t>
            </w:r>
          </w:p>
        </w:tc>
        <w:tc>
          <w:tcPr>
            <w:tcW w:type="dxa" w:w="1814"/>
            <w:vAlign w:val="center"/>
            <w:shd w:val="clear" w:color="auto" w:fill="F9F9F9"/>
          </w:tcPr>
          <w:p>
            <w:pPr>
              <w:spacing w:before="50" w:after="50"/>
              <w:jc w:val="center"/>
            </w:pPr>
            <w:r>
              <w:rPr>
                <w:rFonts w:ascii="Calibri" w:hAnsi="Calibri"/>
                <w:b/>
                <w:color w:val="000000"/>
                <w:sz w:val="17"/>
              </w:rPr>
              <w:t>0.33 us (p50)</w:t>
            </w:r>
          </w:p>
        </w:tc>
        <w:tc>
          <w:tcPr>
            <w:tcW w:type="dxa" w:w="1814"/>
            <w:vAlign w:val="center"/>
            <w:shd w:val="clear" w:color="auto" w:fill="F9F9F9"/>
          </w:tcPr>
          <w:p>
            <w:pPr>
              <w:spacing w:before="50" w:after="50"/>
              <w:jc w:val="center"/>
            </w:pPr>
            <w:r>
              <w:rPr>
                <w:rFonts w:ascii="Calibri" w:hAnsi="Calibri"/>
                <w:b/>
                <w:color w:val="000000"/>
                <w:sz w:val="17"/>
              </w:rPr>
              <w:t>148 ms - 2.8 s (Async)</w:t>
            </w:r>
          </w:p>
        </w:tc>
        <w:tc>
          <w:tcPr>
            <w:tcW w:type="dxa" w:w="1701"/>
            <w:vAlign w:val="center"/>
            <w:shd w:val="clear" w:color="auto" w:fill="F9F9F9"/>
          </w:tcPr>
          <w:p>
            <w:pPr>
              <w:spacing w:before="50" w:after="50"/>
              <w:jc w:val="center"/>
            </w:pPr>
            <w:r>
              <w:rPr>
                <w:rFonts w:ascii="Calibri" w:hAnsi="Calibri"/>
                <w:b/>
                <w:color w:val="000000"/>
                <w:sz w:val="17"/>
              </w:rPr>
              <w:t>1 Gbps (PCIe NIC)</w:t>
            </w:r>
          </w:p>
        </w:tc>
        <w:tc>
          <w:tcPr>
            <w:tcW w:type="dxa" w:w="1701"/>
            <w:vAlign w:val="center"/>
            <w:shd w:val="clear" w:color="auto" w:fill="F9F9F9"/>
          </w:tcPr>
          <w:p>
            <w:pPr>
              <w:spacing w:before="50" w:after="50"/>
              <w:jc w:val="left"/>
            </w:pPr>
            <w:r>
              <w:rPr>
                <w:rFonts w:ascii="Calibri" w:hAnsi="Calibri"/>
                <w:b/>
                <w:color w:val="000000"/>
                <w:sz w:val="17"/>
              </w:rPr>
              <w:t>Kernel eBPF (x86/ARM)</w:t>
            </w:r>
          </w:p>
        </w:tc>
      </w:tr>
    </w:tbl>
    <w:p>
      <w:pPr>
        <w:spacing w:before="40" w:after="160"/>
        <w:jc w:val="center"/>
      </w:pPr>
      <w:r>
        <w:rPr>
          <w:rFonts w:ascii="Calibri" w:hAnsi="Calibri"/>
          <w:i/>
          <w:color w:val="333333"/>
          <w:sz w:val="18"/>
        </w:rPr>
        <w:t>Table IV: Latency and throughput comparison.</w:t>
      </w:r>
    </w:p>
    <w:p>
      <w:pPr>
        <w:spacing w:before="120" w:after="80"/>
        <w:jc w:val="left"/>
      </w:pPr>
      <w:r>
        <w:rPr>
          <w:rFonts w:ascii="Calibri" w:hAnsi="Calibri"/>
          <w:b/>
          <w:color w:val="000000"/>
          <w:sz w:val="23"/>
        </w:rPr>
        <w:t>D. Sovereignty and Privacy Properties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spacing w:before="60" w:after="60"/>
              <w:jc w:val="center"/>
            </w:pPr>
            <w:r>
              <w:rPr>
                <w:rFonts w:ascii="Calibri" w:hAnsi="Calibri"/>
                <w:b/>
                <w:color w:val="FFFFFF"/>
                <w:sz w:val="17"/>
              </w:rPr>
              <w:t>Property</w:t>
            </w:r>
          </w:p>
        </w:tc>
        <w:tc>
          <w:tcPr>
            <w:tcW w:type="dxa" w:w="1587"/>
            <w:shd w:val="clear" w:color="auto" w:fill="111827"/>
            <w:vAlign w:val="center"/>
          </w:tcPr>
          <w:p>
            <w:pPr>
              <w:spacing w:before="60" w:after="60"/>
              <w:jc w:val="center"/>
            </w:pPr>
            <w:r>
              <w:rPr>
                <w:rFonts w:ascii="Calibri" w:hAnsi="Calibri"/>
                <w:b/>
                <w:color w:val="FFFFFF"/>
                <w:sz w:val="17"/>
              </w:rPr>
              <w:t>Snort / Suricata</w:t>
            </w:r>
          </w:p>
        </w:tc>
        <w:tc>
          <w:tcPr>
            <w:tcW w:type="dxa" w:w="1814"/>
            <w:shd w:val="clear" w:color="auto" w:fill="111827"/>
            <w:vAlign w:val="center"/>
          </w:tcPr>
          <w:p>
            <w:pPr>
              <w:spacing w:before="60" w:after="60"/>
              <w:jc w:val="center"/>
            </w:pPr>
            <w:r>
              <w:rPr>
                <w:rFonts w:ascii="Calibri" w:hAnsi="Calibri"/>
                <w:b/>
                <w:color w:val="FFFFFF"/>
                <w:sz w:val="17"/>
              </w:rPr>
              <w:t>Palo Alto / Cisco</w:t>
            </w:r>
          </w:p>
        </w:tc>
        <w:tc>
          <w:tcPr>
            <w:tcW w:type="dxa" w:w="1587"/>
            <w:shd w:val="clear" w:color="auto" w:fill="111827"/>
            <w:vAlign w:val="center"/>
          </w:tcPr>
          <w:p>
            <w:pPr>
              <w:spacing w:before="60" w:after="60"/>
              <w:jc w:val="center"/>
            </w:pPr>
            <w:r>
              <w:rPr>
                <w:rFonts w:ascii="Calibri" w:hAnsi="Calibri"/>
                <w:b/>
                <w:color w:val="FFFFFF"/>
                <w:sz w:val="17"/>
              </w:rPr>
              <w:t>Cloudflare</w:t>
            </w:r>
          </w:p>
        </w:tc>
        <w:tc>
          <w:tcPr>
            <w:tcW w:type="dxa" w:w="2041"/>
            <w:shd w:val="clear" w:color="auto" w:fill="111827"/>
            <w:vAlign w:val="center"/>
          </w:tcPr>
          <w:p>
            <w:pPr>
              <w:spacing w:before="60" w:after="60"/>
              <w:jc w:val="center"/>
            </w:pPr>
            <w:r>
              <w:rPr>
                <w:rFonts w:ascii="Calibri" w:hAnsi="Calibri"/>
                <w:b/>
                <w:color w:val="FFFFFF"/>
                <w:sz w:val="17"/>
              </w:rPr>
              <w:t>Autonomous Agent (ours)</w:t>
            </w:r>
          </w:p>
        </w:tc>
      </w:tr>
      <w:tr>
        <w:tc>
          <w:tcPr>
            <w:tcW w:type="dxa" w:w="1984"/>
            <w:vAlign w:val="center"/>
            <w:shd w:val="clear" w:color="auto" w:fill="FFFFFF"/>
          </w:tcPr>
          <w:p>
            <w:pPr>
              <w:spacing w:before="50" w:after="50"/>
              <w:jc w:val="left"/>
            </w:pPr>
            <w:r>
              <w:rPr>
                <w:rFonts w:ascii="Calibri" w:hAnsi="Calibri"/>
                <w:b w:val="0"/>
                <w:color w:val="000000"/>
                <w:sz w:val="17"/>
              </w:rPr>
              <w:t>Air-gapped operation</w:t>
            </w:r>
          </w:p>
        </w:tc>
        <w:tc>
          <w:tcPr>
            <w:tcW w:type="dxa" w:w="1587"/>
            <w:vAlign w:val="center"/>
            <w:shd w:val="clear" w:color="auto" w:fill="FFFFFF"/>
          </w:tcPr>
          <w:p>
            <w:pPr>
              <w:spacing w:before="50" w:after="50"/>
              <w:jc w:val="center"/>
            </w:pPr>
            <w:r>
              <w:rPr>
                <w:rFonts w:ascii="Calibri" w:hAnsi="Calibri"/>
                <w:b w:val="0"/>
                <w:color w:val="000000"/>
                <w:sz w:val="17"/>
              </w:rPr>
              <w:t>Yes (no updates)</w:t>
            </w:r>
          </w:p>
        </w:tc>
        <w:tc>
          <w:tcPr>
            <w:tcW w:type="dxa" w:w="1814"/>
            <w:vAlign w:val="center"/>
            <w:shd w:val="clear" w:color="auto" w:fill="FFFFFF"/>
          </w:tcPr>
          <w:p>
            <w:pPr>
              <w:spacing w:before="50" w:after="50"/>
              <w:jc w:val="center"/>
            </w:pPr>
            <w:r>
              <w:rPr>
                <w:rFonts w:ascii="Calibri" w:hAnsi="Calibri"/>
                <w:b w:val="0"/>
                <w:color w:val="000000"/>
                <w:sz w:val="17"/>
              </w:rPr>
              <w:t>No (cloud feeds)</w:t>
            </w:r>
          </w:p>
        </w:tc>
        <w:tc>
          <w:tcPr>
            <w:tcW w:type="dxa" w:w="1587"/>
            <w:vAlign w:val="center"/>
            <w:shd w:val="clear" w:color="auto" w:fill="FFFFFF"/>
          </w:tcPr>
          <w:p>
            <w:pPr>
              <w:spacing w:before="50" w:after="50"/>
              <w:jc w:val="center"/>
            </w:pPr>
            <w:r>
              <w:rPr>
                <w:rFonts w:ascii="Calibri" w:hAnsi="Calibri"/>
                <w:b w:val="0"/>
                <w:color w:val="000000"/>
                <w:sz w:val="17"/>
              </w:rPr>
              <w:t>No (cloud-only)</w:t>
            </w:r>
          </w:p>
        </w:tc>
        <w:tc>
          <w:tcPr>
            <w:tcW w:type="dxa" w:w="2041"/>
            <w:vAlign w:val="center"/>
            <w:shd w:val="clear" w:color="auto" w:fill="F1F5F9"/>
          </w:tcPr>
          <w:p>
            <w:pPr>
              <w:spacing w:before="50" w:after="50"/>
              <w:jc w:val="center"/>
            </w:pPr>
            <w:r>
              <w:rPr>
                <w:rFonts w:ascii="Calibri" w:hAnsi="Calibri"/>
                <w:b/>
                <w:color w:val="000000"/>
                <w:sz w:val="17"/>
              </w:rPr>
              <w:t>Yes - Full offline</w:t>
            </w:r>
          </w:p>
        </w:tc>
      </w:tr>
      <w:tr>
        <w:tc>
          <w:tcPr>
            <w:tcW w:type="dxa" w:w="1984"/>
            <w:vAlign w:val="center"/>
            <w:shd w:val="clear" w:color="auto" w:fill="F9F9F9"/>
          </w:tcPr>
          <w:p>
            <w:pPr>
              <w:spacing w:before="50" w:after="50"/>
              <w:jc w:val="left"/>
            </w:pPr>
            <w:r>
              <w:rPr>
                <w:rFonts w:ascii="Calibri" w:hAnsi="Calibri"/>
                <w:b w:val="0"/>
                <w:color w:val="000000"/>
                <w:sz w:val="17"/>
              </w:rPr>
              <w:t>Zero third-party telemetry</w:t>
            </w:r>
          </w:p>
        </w:tc>
        <w:tc>
          <w:tcPr>
            <w:tcW w:type="dxa" w:w="1587"/>
            <w:vAlign w:val="center"/>
            <w:shd w:val="clear" w:color="auto" w:fill="F9F9F9"/>
          </w:tcPr>
          <w:p>
            <w:pPr>
              <w:spacing w:before="50" w:after="50"/>
              <w:jc w:val="center"/>
            </w:pPr>
            <w:r>
              <w:rPr>
                <w:rFonts w:ascii="Calibri" w:hAnsi="Calibri"/>
                <w:b w:val="0"/>
                <w:color w:val="000000"/>
                <w:sz w:val="17"/>
              </w:rPr>
              <w:t>Yes</w:t>
            </w:r>
          </w:p>
        </w:tc>
        <w:tc>
          <w:tcPr>
            <w:tcW w:type="dxa" w:w="1814"/>
            <w:vAlign w:val="center"/>
            <w:shd w:val="clear" w:color="auto" w:fill="F9F9F9"/>
          </w:tcPr>
          <w:p>
            <w:pPr>
              <w:spacing w:before="50" w:after="50"/>
              <w:jc w:val="center"/>
            </w:pPr>
            <w:r>
              <w:rPr>
                <w:rFonts w:ascii="Calibri" w:hAnsi="Calibri"/>
                <w:b w:val="0"/>
                <w:color w:val="000000"/>
                <w:sz w:val="17"/>
              </w:rPr>
              <w:t>No (Wildfire/Talos)</w:t>
            </w:r>
          </w:p>
        </w:tc>
        <w:tc>
          <w:tcPr>
            <w:tcW w:type="dxa" w:w="1587"/>
            <w:vAlign w:val="center"/>
            <w:shd w:val="clear" w:color="auto" w:fill="F9F9F9"/>
          </w:tcPr>
          <w:p>
            <w:pPr>
              <w:spacing w:before="50" w:after="50"/>
              <w:jc w:val="center"/>
            </w:pPr>
            <w:r>
              <w:rPr>
                <w:rFonts w:ascii="Calibri" w:hAnsi="Calibri"/>
                <w:b w:val="0"/>
                <w:color w:val="000000"/>
                <w:sz w:val="17"/>
              </w:rPr>
              <w:t>No (payload inspect)</w:t>
            </w:r>
          </w:p>
        </w:tc>
        <w:tc>
          <w:tcPr>
            <w:tcW w:type="dxa" w:w="2041"/>
            <w:vAlign w:val="center"/>
            <w:shd w:val="clear" w:color="auto" w:fill="F1F5F9"/>
          </w:tcPr>
          <w:p>
            <w:pPr>
              <w:spacing w:before="50" w:after="50"/>
              <w:jc w:val="center"/>
            </w:pPr>
            <w:r>
              <w:rPr>
                <w:rFonts w:ascii="Calibri" w:hAnsi="Calibri"/>
                <w:b/>
                <w:color w:val="000000"/>
                <w:sz w:val="17"/>
              </w:rPr>
              <w:t>Yes - Zero calls</w:t>
            </w:r>
          </w:p>
        </w:tc>
      </w:tr>
      <w:tr>
        <w:tc>
          <w:tcPr>
            <w:tcW w:type="dxa" w:w="1984"/>
            <w:vAlign w:val="center"/>
            <w:shd w:val="clear" w:color="auto" w:fill="FFFFFF"/>
          </w:tcPr>
          <w:p>
            <w:pPr>
              <w:spacing w:before="50" w:after="50"/>
              <w:jc w:val="left"/>
            </w:pPr>
            <w:r>
              <w:rPr>
                <w:rFonts w:ascii="Calibri" w:hAnsi="Calibri"/>
                <w:b w:val="0"/>
                <w:color w:val="000000"/>
                <w:sz w:val="17"/>
              </w:rPr>
              <w:t>Post-quantum crypto</w:t>
            </w:r>
          </w:p>
        </w:tc>
        <w:tc>
          <w:tcPr>
            <w:tcW w:type="dxa" w:w="1587"/>
            <w:vAlign w:val="center"/>
            <w:shd w:val="clear" w:color="auto" w:fill="FFFFFF"/>
          </w:tcPr>
          <w:p>
            <w:pPr>
              <w:spacing w:before="50" w:after="50"/>
              <w:jc w:val="center"/>
            </w:pPr>
            <w:r>
              <w:rPr>
                <w:rFonts w:ascii="Calibri" w:hAnsi="Calibri"/>
                <w:b w:val="0"/>
                <w:color w:val="000000"/>
                <w:sz w:val="17"/>
              </w:rPr>
              <w:t>No</w:t>
            </w:r>
          </w:p>
        </w:tc>
        <w:tc>
          <w:tcPr>
            <w:tcW w:type="dxa" w:w="1814"/>
            <w:vAlign w:val="center"/>
            <w:shd w:val="clear" w:color="auto" w:fill="FFFFFF"/>
          </w:tcPr>
          <w:p>
            <w:pPr>
              <w:spacing w:before="50" w:after="50"/>
              <w:jc w:val="center"/>
            </w:pPr>
            <w:r>
              <w:rPr>
                <w:rFonts w:ascii="Calibri" w:hAnsi="Calibri"/>
                <w:b w:val="0"/>
                <w:color w:val="000000"/>
                <w:sz w:val="17"/>
              </w:rPr>
              <w:t>Partial (roadmap)</w:t>
            </w:r>
          </w:p>
        </w:tc>
        <w:tc>
          <w:tcPr>
            <w:tcW w:type="dxa" w:w="1587"/>
            <w:vAlign w:val="center"/>
            <w:shd w:val="clear" w:color="auto" w:fill="FFFFFF"/>
          </w:tcPr>
          <w:p>
            <w:pPr>
              <w:spacing w:before="50" w:after="50"/>
              <w:jc w:val="center"/>
            </w:pPr>
            <w:r>
              <w:rPr>
                <w:rFonts w:ascii="Calibri" w:hAnsi="Calibri"/>
                <w:b w:val="0"/>
                <w:color w:val="000000"/>
                <w:sz w:val="17"/>
              </w:rPr>
              <w:t>Partial (exp.)</w:t>
            </w:r>
          </w:p>
        </w:tc>
        <w:tc>
          <w:tcPr>
            <w:tcW w:type="dxa" w:w="2041"/>
            <w:vAlign w:val="center"/>
            <w:shd w:val="clear" w:color="auto" w:fill="F1F5F9"/>
          </w:tcPr>
          <w:p>
            <w:pPr>
              <w:spacing w:before="50" w:after="50"/>
              <w:jc w:val="center"/>
            </w:pPr>
            <w:r>
              <w:rPr>
                <w:rFonts w:ascii="Calibri" w:hAnsi="Calibri"/>
                <w:b/>
                <w:color w:val="000000"/>
                <w:sz w:val="17"/>
              </w:rPr>
              <w:t>ML-KEM-1024 + ML-DSA-65</w:t>
            </w:r>
          </w:p>
        </w:tc>
      </w:tr>
      <w:tr>
        <w:tc>
          <w:tcPr>
            <w:tcW w:type="dxa" w:w="1984"/>
            <w:vAlign w:val="center"/>
            <w:shd w:val="clear" w:color="auto" w:fill="F9F9F9"/>
          </w:tcPr>
          <w:p>
            <w:pPr>
              <w:spacing w:before="50" w:after="50"/>
              <w:jc w:val="left"/>
            </w:pPr>
            <w:r>
              <w:rPr>
                <w:rFonts w:ascii="Calibri" w:hAnsi="Calibri"/>
                <w:b w:val="0"/>
                <w:color w:val="000000"/>
                <w:sz w:val="17"/>
              </w:rPr>
              <w:t>No subscription required</w:t>
            </w:r>
          </w:p>
        </w:tc>
        <w:tc>
          <w:tcPr>
            <w:tcW w:type="dxa" w:w="1587"/>
            <w:vAlign w:val="center"/>
            <w:shd w:val="clear" w:color="auto" w:fill="F9F9F9"/>
          </w:tcPr>
          <w:p>
            <w:pPr>
              <w:spacing w:before="50" w:after="50"/>
              <w:jc w:val="center"/>
            </w:pPr>
            <w:r>
              <w:rPr>
                <w:rFonts w:ascii="Calibri" w:hAnsi="Calibri"/>
                <w:b w:val="0"/>
                <w:color w:val="000000"/>
                <w:sz w:val="17"/>
              </w:rPr>
              <w:t>Yes</w:t>
            </w:r>
          </w:p>
        </w:tc>
        <w:tc>
          <w:tcPr>
            <w:tcW w:type="dxa" w:w="1814"/>
            <w:vAlign w:val="center"/>
            <w:shd w:val="clear" w:color="auto" w:fill="F9F9F9"/>
          </w:tcPr>
          <w:p>
            <w:pPr>
              <w:spacing w:before="50" w:after="50"/>
              <w:jc w:val="center"/>
            </w:pPr>
            <w:r>
              <w:rPr>
                <w:rFonts w:ascii="Calibri" w:hAnsi="Calibri"/>
                <w:b w:val="0"/>
                <w:color w:val="000000"/>
                <w:sz w:val="17"/>
              </w:rPr>
              <w:t>No ($40k-$200k/yr)</w:t>
            </w:r>
          </w:p>
        </w:tc>
        <w:tc>
          <w:tcPr>
            <w:tcW w:type="dxa" w:w="1587"/>
            <w:vAlign w:val="center"/>
            <w:shd w:val="clear" w:color="auto" w:fill="F9F9F9"/>
          </w:tcPr>
          <w:p>
            <w:pPr>
              <w:spacing w:before="50" w:after="50"/>
              <w:jc w:val="center"/>
            </w:pPr>
            <w:r>
              <w:rPr>
                <w:rFonts w:ascii="Calibri" w:hAnsi="Calibri"/>
                <w:b w:val="0"/>
                <w:color w:val="000000"/>
                <w:sz w:val="17"/>
              </w:rPr>
              <w:t>No ($0.05+/Gbps)</w:t>
            </w:r>
          </w:p>
        </w:tc>
        <w:tc>
          <w:tcPr>
            <w:tcW w:type="dxa" w:w="2041"/>
            <w:vAlign w:val="center"/>
            <w:shd w:val="clear" w:color="auto" w:fill="F1F5F9"/>
          </w:tcPr>
          <w:p>
            <w:pPr>
              <w:spacing w:before="50" w:after="50"/>
              <w:jc w:val="center"/>
            </w:pPr>
            <w:r>
              <w:rPr>
                <w:rFonts w:ascii="Calibri" w:hAnsi="Calibri"/>
                <w:b/>
                <w:color w:val="000000"/>
                <w:sz w:val="17"/>
              </w:rPr>
              <w:t>Yes - Zero cost</w:t>
            </w:r>
          </w:p>
        </w:tc>
      </w:tr>
      <w:tr>
        <w:tc>
          <w:tcPr>
            <w:tcW w:type="dxa" w:w="1984"/>
            <w:vAlign w:val="center"/>
            <w:shd w:val="clear" w:color="auto" w:fill="FFFFFF"/>
          </w:tcPr>
          <w:p>
            <w:pPr>
              <w:spacing w:before="50" w:after="50"/>
              <w:jc w:val="left"/>
            </w:pPr>
            <w:r>
              <w:rPr>
                <w:rFonts w:ascii="Calibri" w:hAnsi="Calibri"/>
                <w:b w:val="0"/>
                <w:color w:val="000000"/>
                <w:sz w:val="17"/>
              </w:rPr>
              <w:t>Attacker deception/tarpit</w:t>
            </w:r>
          </w:p>
        </w:tc>
        <w:tc>
          <w:tcPr>
            <w:tcW w:type="dxa" w:w="1587"/>
            <w:vAlign w:val="center"/>
            <w:shd w:val="clear" w:color="auto" w:fill="FFFFFF"/>
          </w:tcPr>
          <w:p>
            <w:pPr>
              <w:spacing w:before="50" w:after="50"/>
              <w:jc w:val="center"/>
            </w:pPr>
            <w:r>
              <w:rPr>
                <w:rFonts w:ascii="Calibri" w:hAnsi="Calibri"/>
                <w:b w:val="0"/>
                <w:color w:val="000000"/>
                <w:sz w:val="17"/>
              </w:rPr>
              <w:t>No</w:t>
            </w:r>
          </w:p>
        </w:tc>
        <w:tc>
          <w:tcPr>
            <w:tcW w:type="dxa" w:w="1814"/>
            <w:vAlign w:val="center"/>
            <w:shd w:val="clear" w:color="auto" w:fill="FFFFFF"/>
          </w:tcPr>
          <w:p>
            <w:pPr>
              <w:spacing w:before="50" w:after="50"/>
              <w:jc w:val="center"/>
            </w:pPr>
            <w:r>
              <w:rPr>
                <w:rFonts w:ascii="Calibri" w:hAnsi="Calibri"/>
                <w:b w:val="0"/>
                <w:color w:val="000000"/>
                <w:sz w:val="17"/>
              </w:rPr>
              <w:t>No (RST only)</w:t>
            </w:r>
          </w:p>
        </w:tc>
        <w:tc>
          <w:tcPr>
            <w:tcW w:type="dxa" w:w="1587"/>
            <w:vAlign w:val="center"/>
            <w:shd w:val="clear" w:color="auto" w:fill="FFFFFF"/>
          </w:tcPr>
          <w:p>
            <w:pPr>
              <w:spacing w:before="50" w:after="50"/>
              <w:jc w:val="center"/>
            </w:pPr>
            <w:r>
              <w:rPr>
                <w:rFonts w:ascii="Calibri" w:hAnsi="Calibri"/>
                <w:b w:val="0"/>
                <w:color w:val="000000"/>
                <w:sz w:val="17"/>
              </w:rPr>
              <w:t>No (blackhole only)</w:t>
            </w:r>
          </w:p>
        </w:tc>
        <w:tc>
          <w:tcPr>
            <w:tcW w:type="dxa" w:w="2041"/>
            <w:vAlign w:val="center"/>
            <w:shd w:val="clear" w:color="auto" w:fill="F1F5F9"/>
          </w:tcPr>
          <w:p>
            <w:pPr>
              <w:spacing w:before="50" w:after="50"/>
              <w:jc w:val="center"/>
            </w:pPr>
            <w:r>
              <w:rPr>
                <w:rFonts w:ascii="Calibri" w:hAnsi="Calibri"/>
                <w:b/>
                <w:color w:val="000000"/>
                <w:sz w:val="17"/>
              </w:rPr>
              <w:t>AI tarpit + honey-token</w:t>
            </w:r>
          </w:p>
        </w:tc>
      </w:tr>
      <w:tr>
        <w:tc>
          <w:tcPr>
            <w:tcW w:type="dxa" w:w="1984"/>
            <w:vAlign w:val="center"/>
            <w:shd w:val="clear" w:color="auto" w:fill="F9F9F9"/>
          </w:tcPr>
          <w:p>
            <w:pPr>
              <w:spacing w:before="50" w:after="50"/>
              <w:jc w:val="left"/>
            </w:pPr>
            <w:r>
              <w:rPr>
                <w:rFonts w:ascii="Calibri" w:hAnsi="Calibri"/>
                <w:b w:val="0"/>
                <w:color w:val="000000"/>
                <w:sz w:val="17"/>
              </w:rPr>
              <w:t>Moving Target Defence</w:t>
            </w:r>
          </w:p>
        </w:tc>
        <w:tc>
          <w:tcPr>
            <w:tcW w:type="dxa" w:w="1587"/>
            <w:vAlign w:val="center"/>
            <w:shd w:val="clear" w:color="auto" w:fill="F9F9F9"/>
          </w:tcPr>
          <w:p>
            <w:pPr>
              <w:spacing w:before="50" w:after="50"/>
              <w:jc w:val="center"/>
            </w:pPr>
            <w:r>
              <w:rPr>
                <w:rFonts w:ascii="Calibri" w:hAnsi="Calibri"/>
                <w:b w:val="0"/>
                <w:color w:val="000000"/>
                <w:sz w:val="17"/>
              </w:rPr>
              <w:t>No</w:t>
            </w:r>
          </w:p>
        </w:tc>
        <w:tc>
          <w:tcPr>
            <w:tcW w:type="dxa" w:w="1814"/>
            <w:vAlign w:val="center"/>
            <w:shd w:val="clear" w:color="auto" w:fill="F9F9F9"/>
          </w:tcPr>
          <w:p>
            <w:pPr>
              <w:spacing w:before="50" w:after="50"/>
              <w:jc w:val="center"/>
            </w:pPr>
            <w:r>
              <w:rPr>
                <w:rFonts w:ascii="Calibri" w:hAnsi="Calibri"/>
                <w:b w:val="0"/>
                <w:color w:val="000000"/>
                <w:sz w:val="17"/>
              </w:rPr>
              <w:t>No</w:t>
            </w:r>
          </w:p>
        </w:tc>
        <w:tc>
          <w:tcPr>
            <w:tcW w:type="dxa" w:w="1587"/>
            <w:vAlign w:val="center"/>
            <w:shd w:val="clear" w:color="auto" w:fill="F9F9F9"/>
          </w:tcPr>
          <w:p>
            <w:pPr>
              <w:spacing w:before="50" w:after="50"/>
              <w:jc w:val="center"/>
            </w:pPr>
            <w:r>
              <w:rPr>
                <w:rFonts w:ascii="Calibri" w:hAnsi="Calibri"/>
                <w:b w:val="0"/>
                <w:color w:val="000000"/>
                <w:sz w:val="17"/>
              </w:rPr>
              <w:t>No</w:t>
            </w:r>
          </w:p>
        </w:tc>
        <w:tc>
          <w:tcPr>
            <w:tcW w:type="dxa" w:w="2041"/>
            <w:vAlign w:val="center"/>
            <w:shd w:val="clear" w:color="auto" w:fill="F1F5F9"/>
          </w:tcPr>
          <w:p>
            <w:pPr>
              <w:spacing w:before="50" w:after="50"/>
              <w:jc w:val="center"/>
            </w:pPr>
            <w:r>
              <w:rPr>
                <w:rFonts w:ascii="Calibri" w:hAnsi="Calibri"/>
                <w:b/>
                <w:color w:val="000000"/>
                <w:sz w:val="17"/>
              </w:rPr>
              <w:t>HMAC-SHA256 port hopping</w:t>
            </w:r>
          </w:p>
        </w:tc>
      </w:tr>
    </w:tbl>
    <w:p>
      <w:pPr>
        <w:spacing w:before="40" w:after="160"/>
        <w:jc w:val="center"/>
      </w:pPr>
      <w:r>
        <w:rPr>
          <w:rFonts w:ascii="Calibri" w:hAnsi="Calibri"/>
          <w:i/>
          <w:color w:val="333333"/>
          <w:sz w:val="18"/>
        </w:rPr>
        <w:t>Table V: Sovereignty, privacy, and unique capability comparison.</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https://anonymous.4open.science/r/asm-defense-agent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Calibri" w:hAnsi="Calibri"/>
          <w:b/>
          <w:color w:val="000000"/>
          <w:sz w:val="23"/>
        </w:rPr>
        <w:t>C. XDP Mitigation Latency and Control-Plane Benchmarks</w:t>
      </w:r>
    </w:p>
    <w:p>
      <w:pPr>
        <w:spacing w:after="100"/>
        <w:jc w:val="both"/>
      </w:pPr>
      <w:r>
        <w:rPr>
          <w:rFonts w:ascii="Calibri" w:hAnsi="Calibri"/>
          <w:i w:val="0"/>
          <w:color w:val="000000"/>
          <w:sz w:val="21"/>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M. Sarhan et al., "Towards a Standard Feature Set of NIDS Datasets," IEEE Trans. Information Forensics and Security, vol. 17, pp. 367-381, 2022.</w:t>
      </w:r>
    </w:p>
    <w:p>
      <w:pPr>
        <w:spacing w:after="60"/>
        <w:ind w:left="567" w:hanging="567"/>
        <w:jc w:val="both"/>
      </w:pPr>
      <w:r>
        <w:rPr>
          <w:rFonts w:ascii="Calibri" w:hAnsi="Calibri"/>
          <w:color w:val="000000"/>
          <w:sz w:val="19"/>
        </w:rPr>
        <w:t>[16] M. Ring et al., "A Survey of Network-based Intrusion Detection Data Sets," Computers &amp; Security, vol. 86, pp. 147-167, 2019.</w:t>
      </w:r>
    </w:p>
    <w:p>
      <w:pPr>
        <w:spacing w:after="60"/>
        <w:ind w:left="567" w:hanging="567"/>
        <w:jc w:val="both"/>
      </w:pPr>
      <w:r>
        <w:rPr>
          <w:rFonts w:ascii="Calibri" w:hAnsi="Calibri"/>
          <w:color w:val="000000"/>
          <w:sz w:val="19"/>
        </w:rPr>
        <w:t>[17] Y. Mirsky et al., "Kitsune: An Ensemble of Autoencoders for Online Network Intrusion Detection," in Proc. NDSS, 2018.</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p>
      <w:pPr>
        <w:spacing w:after="60"/>
        <w:ind w:left="567" w:hanging="567"/>
        <w:jc w:val="both"/>
      </w:pPr>
      <w:r>
        <w:rPr>
          <w:rFonts w:ascii="Calibri" w:hAnsi="Calibri"/>
          <w:color w:val="000000"/>
          <w:sz w:val="19"/>
        </w:rPr>
        <w:t>[21] National Institute of Standards and Technology (NIST), "Module-Lattice-Based Key-Encapsulation Mechanism Standard (ML-KEM)," FIPS PUB 203, Aug. 2024.</w:t>
      </w:r>
    </w:p>
    <w:p>
      <w:pPr>
        <w:spacing w:after="60"/>
        <w:ind w:left="567" w:hanging="567"/>
        <w:jc w:val="both"/>
      </w:pPr>
      <w:r>
        <w:rPr>
          <w:rFonts w:ascii="Calibri" w:hAnsi="Calibri"/>
          <w:color w:val="000000"/>
          <w:sz w:val="19"/>
        </w:rPr>
        <w:t>[22] National Institute of Standards and Technology (NIST), "Module-Lattice-Based Digital Signature Standard (ML-DSA)," FIPS PUB 204, Aug. 2024.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Autonomous Post-Quantum Cyber Defense Agent | Peer-Review Manuscript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