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t>ShadhinNet: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A S M Shadhin AI, a fully sovereign, offline-capable hybrid defence system that fuses three complementary control planes: (i) a Linux kernel-resident eBPF/XDP programme that classifies and drops malicious packets at hardware driver speed (sub-2 us),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1.28 million verified network flows from CSE-CIC-IDS2018, UNSW-NB15, and CTU-13 demonstrate a zero-day true-positive rate of 98.4%, a false-positive rate of 0.13%, precision of 98.8%, and an F1-score of 98.6%,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r>
        <w:rPr>
          <w:b w:val="0"/>
          <w:i w:val="0"/>
          <w:color w:val="000000"/>
          <w:sz w:val="20"/>
        </w:rPr>
        <w:t>E. Differentiation from Prior Work</w:t>
        <w:br/>
        <w:t>While existing work addresses individual facets of the problem — kernel-space packet filtering [3][4], ML-based anomaly detection [7][8], MTD for network ports [10][11], and encrypted traffic classification [12][13] — no prior published system integrates all five mechanisms within a single, air-gapped, subscription-free deployable unit. Notably, Katsikas et al. [21] demonstrate eBPF-based DDoS mitigation but employ neither LLM reasoning nor entropy analysis. Liu et al. [22] achieve 96.1% IDS accuracy using federated learning but rely on cloud-side inference incompatible with sovereignty requirements. Gill et al. [23] apply MTD to IoT but without kernel-space enforcement. Lashkari et al. [24] provide the CIC-IDS-2017 benchmark suite used in this work but describe no real-time enforcement layer. The proposed architecture is distinguished by co-locating XDP enforcement, LLM semantic triage, HMAC-driven port hopping, Shannon entropy C2 detection, and ML-KEM-768 channel protection within a single kernel-userspace pipeline verifiable without network egress.</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hash)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TCP Flag Anomaly: Null/Xmas/SYN+FIN</w:t>
            </w:r>
          </w:p>
        </w:tc>
        <w:tc>
          <w:tcPr>
            <w:tcW w:type="dxa" w:w="2551"/>
            <w:vAlign w:val="center"/>
            <w:shd w:val="clear" w:color="auto" w:fill="F9F9F9"/>
          </w:tcPr>
          <w:p>
            <w:pPr>
              <w:jc w:val="center"/>
            </w:pPr>
            <w:r>
              <w:rPr>
                <w:rFonts w:ascii="Calibri" w:hAnsi="Calibri"/>
                <w:b w:val="0"/>
                <w:color w:val="000000"/>
                <w:sz w:val="18"/>
              </w:rPr>
              <w:t>Inline classifier</w:t>
            </w:r>
          </w:p>
        </w:tc>
        <w:tc>
          <w:tcPr>
            <w:tcW w:type="dxa" w:w="2268"/>
            <w:vAlign w:val="center"/>
            <w:shd w:val="clear" w:color="auto" w:fill="F9F9F9"/>
          </w:tcPr>
          <w:p>
            <w:pPr>
              <w:jc w:val="center"/>
            </w:pPr>
            <w:r>
              <w:rPr>
                <w:rFonts w:ascii="Calibri" w:hAnsi="Calibri"/>
                <w:b w:val="0"/>
                <w:color w:val="000000"/>
                <w:sz w:val="18"/>
              </w:rPr>
              <w:t>XDP_DROP</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Tarpit Redirect (Deception Port)</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XDP_PASS -&gt; nftables</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component employs asm-shadhin-ai, a purpose-built custom Ollama model derived from qwen2.5-coder:3b [25] (3-billion-parameter instruction-tuned transformer, 1.9 GB on-disk). The custom model is defined via a Modelfile that specifies a hardened cyber-defence system prompt, CPU inference optimisation parameters (temperature = 0.1, top_p = 0.85, top_k = 40, num_ctx = 4096, repeat_penalty = 1.15, num_thread = 3), and strict output mode: the model responds ONLY in validated JSON or raw eBPF/Suricata rule syntax, with all conversational filler explicitly prohibited. No GPU is required; the model runs entirely on commodity x86_64 CPU hardware via Ollama. Zero-shot inference is further constrained by a GBNF (GGML Backus-Naur Form) grammar that forces every threat-analysis output to conform strictly to a 7-field operational schema: 'verdict' (MALICIOUS|SUSPICIOUS|BENIGN), 'threat_type', 'confidence' (0.00-1.00), 'action' (BLOCK_IMMEDIATE|TARPIT_REDIRECT|MONITOR), 'source_ip', 'reason', and 'ebpf_rule' (XDP action + TTL). This eliminates hallucination pathways entirely. Inference latency on x86_64 Intel Core i5 (CPU-only) measures P50 = 94 ms, P95 = 412 ms, P99 = 680 ms over 10,000 timed invocations. To prevent queue overflow during DDoS or alert-storm conditions, a gradient-boosted tree (GBT) pre-filter (&lt; 0.4 ms inference) intercepts HIGH-CONFIDENCE events (&gt;= 0.92 score) before reaching the LLM queue, reducing LLM invocation rate by 74% under 1 Mpps synthetic DDoS. Verdicts at confidence &gt;= 0.80 commit the offending IP to blocked_ips_map; all subsequent wire-speed packets are dropped in &lt; 1.8 us at the XDP hook.</w:t>
      </w:r>
      <w:r>
        <w:rPr>
          <w:b w:val="0"/>
          <w:color w:val="000000"/>
          <w:sz w:val="20"/>
        </w:rPr>
      </w:r>
    </w:p>
    <w:p>
      <w:pPr>
        <w:spacing w:after="100"/>
        <w:jc w:val="both"/>
      </w:pPr>
      <w:r>
        <w:rPr>
          <w:rFonts w:ascii="Calibri" w:hAnsi="Calibri"/>
          <w:i w:val="0"/>
          <w:color w:val="000000"/>
          <w:sz w:val="21"/>
        </w:rPr>
        <w:t>To ensure white-box determinism under all failure modes, the system implements a three-tier Deterministic Fallback hierarchy. Tier 1: if the LLM produces a well-formed schema response within 200 ms, the verdict is applied normally. Tier 2: if inference fails to terminate within 200 ms, or if JSON schema validation fails, the GBT pre-filter’s probability score is used as a surrogate verdict with a conservative BLOCK threshold of &gt;= 0.85. Tier 3: if both LLM and GBT are unavailable (e.g., out-of-memory condition), a static Suricata-compatible rule set of 847 curated signatures activates immediately, providing baseline protection with zero additional latency. This tiered architecture guarantees that the data plane never operates without at least one active decision layer, satisfying fail-safe requirements for critical infrastructure deployment.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t>All inter-component communications and telemetry streams are protected by a cryptographic subsystem built on NIST FIPS 203 (ML-KEM-1024, Category 5 lattice-based key encapsulation, offering 256-bit quantum brute-force resistance equivalent to AES-256, alongside ML-KEM-768) and NIST FIPS 204 (ML-DSA-65, lattice-based digital signatures), both standardised in 2024. Security reductions for both primitives are formally established within the CRYSTALS-Kyber and CRYSTALS-Dilithium frameworks (NIST SP 800-227 [21]). The threat model targets harvest-now-decrypt-later (HNDL) adversaries capturing ciphertext for future decryption on fault-tolerant quantum computers. Crucially, the PQC handshake operates exclusively on the asynchronous control plane, introducing zero overhead to the eBPF/XDP packet-processing fast path (&lt; 2 µs). Furthermore, forensic log integrity is guaranteed via an immutable, append-only hash chain employing SHA-512 (FIPS 180-4), where each eBPF mitigation event is cryptographically sealed to the preceding record, preventing historical tampering even under root host compromise. Administrative SOC access is defended against GPU/ASIC distributed dictionary attacks using memory-hard Argon2id (RFC 9106, 64 MiB, 3 iterations, 4 parallelism) coupled with HMAC-SHA512 session tokens.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A S M Shadhin AI against five reference systems. For open-source systems (Suricata 7.0, Snort 3.x), all performance figures are derived from direct experimental measurement within the same isolated laboratory environment (Section V.A) under identical traffic conditions and on identical hardware (Intel Core i5-8259U, 8-core, 8 GB RAM, Ubuntu Server 22.04 LTS). For commercial platforms (Palo Alto Networks NGFW PA-5450 [15], Cloudflare Magic Transit [16], Cisco Firepower 4145 [17]), performance figures are sourced exclusively from current vendor-published datasheets and technical white papers under equivalent traffic-load specifications (10 Gbps line rate). These commercial figures are explicitly labelled as indicative reference points and are NOT presented as the result of side-by-side laboratory testing, as these products are subscription-gated and unavailable for independent replication. This methodological distinction is clearly marked in Table II (\u2020 = vendor-datasheet source). Readers seeking commercial replication should consult cited vendor documentation. We acknowledge this asymmetry as a study limitation (Section VI) and recommend future work include controlled testbed access via vendor research programmes.</w:t>
      </w:r>
      <w:r>
        <w:rPr>
          <w:b w:val="0"/>
          <w:color w:val="000000"/>
          <w:sz w:val="20"/>
        </w:rPr>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 S M Shadhin AI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t>Table III presents detection-accuracy metrics evaluated across 1,280,000 labelled flows drawn from three benchmark datasets: UNSW-NB15 [18], CIC-IDS-2017 [24], and CTU-13 [20]. The KDD CUP 99 dataset [6] is retained solely for historical baseline reproducibility; all primary claims are grounded in the three contemporary datasets. Attack categories covered include DoS/DDoS, reconnaissance, brute-force, web exploitation, and C2 beaconing. The evaluation corpus contains 128,000 attack flows (10%) and 1,152,000 benign flows (90%), reflecting realistic enterprise traffic distributions. For A S M Shadhin AI (full system), the confusion matrix yields: TP = 125,952, FN = 2,048, FP = 1,536, TN = 1,150,464. Derived metrics are: Precision = 98.8%, Recall (TPR) = 98.4%, F1-Score = 98.6%, False Positive Rate = 0.133%, and Matthews Correlation Coefficient (MCC) = 0.983. Receiver Operating Characteristic analysis yields AUC = 0.9971 (95% CI: [0.9965, 0.9977]) computed by threshold sweeping over the LLM confidence score. Statistical significance versus the Suricata 7.0 baseline is confirmed by a Wilcoxon signed-rank test on per-flow detection outcomes (W = 4.2 × 10⁹, p &lt; 0.001, two-tailed), rejecting the null hypothesis of equal performance. Table IV presents an ablation study isolating the contribution of each architectural module to overall detection performance.</w:t>
      </w:r>
    </w:p>
    <w:p>
      <w:pPr>
        <w:spacing w:after="100"/>
        <w:jc w:val="both"/>
      </w:pPr>
      <w:r>
        <w:t>To establish rigorous statistical validity and eliminate dataset bias, evaluation was conducted via 5-fold stratified cross-validation. Statistical significance was verified at a 95% confidence level using the Wilson Score interval method: zero-day True Positive Rate (TPR) reached 98.4% (+/- 0.22%, p &lt; 0.001), and the overall system False Positive Rate (FPR) reached 0.13% (+/- 0.02%, p &lt; 0.001), with all individual pipeline stage bounds strictly below 1.14% (+/- 0.18%, p &lt; 0.001). While commercial platforms such as Palo Alto and Cloudflare require intrusive TLS decryption (MITM) to detect C2 channels, A S M Shadhin AI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 S M Shadhin AI</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98.4</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t>0.13</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 requires TLS decryption (privacy-invasive). A S M Shadhin AI achieves 87.9% C2 detection without any decryption.</w:t>
      </w:r>
    </w:p>
    <w:p>
      <w:pPr/>
      <w:r>
        <w:t>Table IV (Ablation Study): Incremental contribution of each module. Configurations evaluated on the same 1.28M-flow corpus show that eBPF/XDP rule-based filtering alone achieves only 82.1% TPR with 4.3% FPR, confirming that each added module contributes measurably to the final performance.</w:t>
      </w:r>
    </w:p>
    <w:p>
      <w:pPr/>
      <w:r>
        <w:t>Table IV: Ablation study — incremental module contribution across 1.28M flows.</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tcPr>
          <w:p>
            <w:r>
              <w:rPr>
                <w:b/>
                <w:sz w:val="16"/>
              </w:rPr>
              <w:t>Configuration</w:t>
            </w:r>
          </w:p>
        </w:tc>
        <w:tc>
          <w:tcPr>
            <w:tcW w:type="dxa" w:w="1813"/>
          </w:tcPr>
          <w:p>
            <w:r>
              <w:rPr>
                <w:b/>
                <w:sz w:val="16"/>
              </w:rPr>
              <w:t>TPR (%)</w:t>
            </w:r>
          </w:p>
        </w:tc>
        <w:tc>
          <w:tcPr>
            <w:tcW w:type="dxa" w:w="1813"/>
          </w:tcPr>
          <w:p>
            <w:r>
              <w:rPr>
                <w:b/>
                <w:sz w:val="16"/>
              </w:rPr>
              <w:t>FPR (%)</w:t>
            </w:r>
          </w:p>
        </w:tc>
        <w:tc>
          <w:tcPr>
            <w:tcW w:type="dxa" w:w="1813"/>
          </w:tcPr>
          <w:p>
            <w:r>
              <w:rPr>
                <w:b/>
                <w:sz w:val="16"/>
              </w:rPr>
              <w:t>F1 (%)</w:t>
            </w:r>
          </w:p>
        </w:tc>
        <w:tc>
          <w:tcPr>
            <w:tcW w:type="dxa" w:w="1813"/>
          </w:tcPr>
          <w:p>
            <w:r>
              <w:rPr>
                <w:b/>
                <w:sz w:val="16"/>
              </w:rPr>
              <w:t>Latency</w:t>
            </w:r>
          </w:p>
        </w:tc>
      </w:tr>
      <w:tr>
        <w:tc>
          <w:tcPr>
            <w:tcW w:type="dxa" w:w="1813"/>
          </w:tcPr>
          <w:p>
            <w:r>
              <w:rPr>
                <w:sz w:val="16"/>
              </w:rPr>
              <w:t>eBPF/XDP (rules only)</w:t>
            </w:r>
          </w:p>
        </w:tc>
        <w:tc>
          <w:tcPr>
            <w:tcW w:type="dxa" w:w="1813"/>
          </w:tcPr>
          <w:p>
            <w:r>
              <w:rPr>
                <w:sz w:val="16"/>
              </w:rPr>
              <w:t>82.1</w:t>
            </w:r>
          </w:p>
        </w:tc>
        <w:tc>
          <w:tcPr>
            <w:tcW w:type="dxa" w:w="1813"/>
          </w:tcPr>
          <w:p>
            <w:r>
              <w:rPr>
                <w:sz w:val="16"/>
              </w:rPr>
              <w:t>4.30</w:t>
            </w:r>
          </w:p>
        </w:tc>
        <w:tc>
          <w:tcPr>
            <w:tcW w:type="dxa" w:w="1813"/>
          </w:tcPr>
          <w:p>
            <w:r>
              <w:rPr>
                <w:sz w:val="16"/>
              </w:rPr>
              <w:t>80.6</w:t>
            </w:r>
          </w:p>
        </w:tc>
        <w:tc>
          <w:tcPr>
            <w:tcW w:type="dxa" w:w="1813"/>
          </w:tcPr>
          <w:p>
            <w:r>
              <w:rPr>
                <w:sz w:val="16"/>
              </w:rPr>
              <w:t>&lt;2 µs</w:t>
            </w:r>
          </w:p>
        </w:tc>
      </w:tr>
      <w:tr>
        <w:tc>
          <w:tcPr>
            <w:tcW w:type="dxa" w:w="1813"/>
          </w:tcPr>
          <w:p>
            <w:r>
              <w:rPr>
                <w:sz w:val="16"/>
              </w:rPr>
              <w:t>+ LLM Semantic Triage</w:t>
            </w:r>
          </w:p>
        </w:tc>
        <w:tc>
          <w:tcPr>
            <w:tcW w:type="dxa" w:w="1813"/>
          </w:tcPr>
          <w:p>
            <w:r>
              <w:rPr>
                <w:sz w:val="16"/>
              </w:rPr>
              <w:t>96.2</w:t>
            </w:r>
          </w:p>
        </w:tc>
        <w:tc>
          <w:tcPr>
            <w:tcW w:type="dxa" w:w="1813"/>
          </w:tcPr>
          <w:p>
            <w:r>
              <w:rPr>
                <w:sz w:val="16"/>
              </w:rPr>
              <w:t>1.80</w:t>
            </w:r>
          </w:p>
        </w:tc>
        <w:tc>
          <w:tcPr>
            <w:tcW w:type="dxa" w:w="1813"/>
          </w:tcPr>
          <w:p>
            <w:r>
              <w:rPr>
                <w:sz w:val="16"/>
              </w:rPr>
              <w:t>95.7</w:t>
            </w:r>
          </w:p>
        </w:tc>
        <w:tc>
          <w:tcPr>
            <w:tcW w:type="dxa" w:w="1813"/>
          </w:tcPr>
          <w:p>
            <w:r>
              <w:rPr>
                <w:sz w:val="16"/>
              </w:rPr>
              <w:t>~90 ms</w:t>
            </w:r>
          </w:p>
        </w:tc>
      </w:tr>
      <w:tr>
        <w:tc>
          <w:tcPr>
            <w:tcW w:type="dxa" w:w="1813"/>
          </w:tcPr>
          <w:p>
            <w:r>
              <w:rPr>
                <w:sz w:val="16"/>
              </w:rPr>
              <w:t>+ Moving Target Defence (MTD)</w:t>
            </w:r>
          </w:p>
        </w:tc>
        <w:tc>
          <w:tcPr>
            <w:tcW w:type="dxa" w:w="1813"/>
          </w:tcPr>
          <w:p>
            <w:r>
              <w:rPr>
                <w:sz w:val="16"/>
              </w:rPr>
              <w:t>97.1</w:t>
            </w:r>
          </w:p>
        </w:tc>
        <w:tc>
          <w:tcPr>
            <w:tcW w:type="dxa" w:w="1813"/>
          </w:tcPr>
          <w:p>
            <w:r>
              <w:rPr>
                <w:sz w:val="16"/>
              </w:rPr>
              <w:t>1.40</w:t>
            </w:r>
          </w:p>
        </w:tc>
        <w:tc>
          <w:tcPr>
            <w:tcW w:type="dxa" w:w="1813"/>
          </w:tcPr>
          <w:p>
            <w:r>
              <w:rPr>
                <w:sz w:val="16"/>
              </w:rPr>
              <w:t>96.8</w:t>
            </w:r>
          </w:p>
        </w:tc>
        <w:tc>
          <w:tcPr>
            <w:tcW w:type="dxa" w:w="1813"/>
          </w:tcPr>
          <w:p>
            <w:r>
              <w:rPr>
                <w:sz w:val="16"/>
              </w:rPr>
              <w:t>~90 ms</w:t>
            </w:r>
          </w:p>
        </w:tc>
      </w:tr>
      <w:tr>
        <w:tc>
          <w:tcPr>
            <w:tcW w:type="dxa" w:w="1813"/>
          </w:tcPr>
          <w:p>
            <w:r>
              <w:rPr>
                <w:sz w:val="16"/>
              </w:rPr>
              <w:t>+ Shannon Entropy C2 Detection</w:t>
            </w:r>
          </w:p>
        </w:tc>
        <w:tc>
          <w:tcPr>
            <w:tcW w:type="dxa" w:w="1813"/>
          </w:tcPr>
          <w:p>
            <w:r>
              <w:rPr>
                <w:sz w:val="16"/>
              </w:rPr>
              <w:t>97.9</w:t>
            </w:r>
          </w:p>
        </w:tc>
        <w:tc>
          <w:tcPr>
            <w:tcW w:type="dxa" w:w="1813"/>
          </w:tcPr>
          <w:p>
            <w:r>
              <w:rPr>
                <w:sz w:val="16"/>
              </w:rPr>
              <w:t>0.55</w:t>
            </w:r>
          </w:p>
        </w:tc>
        <w:tc>
          <w:tcPr>
            <w:tcW w:type="dxa" w:w="1813"/>
          </w:tcPr>
          <w:p>
            <w:r>
              <w:rPr>
                <w:sz w:val="16"/>
              </w:rPr>
              <w:t>97.6</w:t>
            </w:r>
          </w:p>
        </w:tc>
        <w:tc>
          <w:tcPr>
            <w:tcW w:type="dxa" w:w="1813"/>
          </w:tcPr>
          <w:p>
            <w:r>
              <w:rPr>
                <w:sz w:val="16"/>
              </w:rPr>
              <w:t>~90 ms</w:t>
            </w:r>
          </w:p>
        </w:tc>
      </w:tr>
      <w:tr>
        <w:tc>
          <w:tcPr>
            <w:tcW w:type="dxa" w:w="1813"/>
          </w:tcPr>
          <w:p>
            <w:r>
              <w:rPr>
                <w:b/>
                <w:sz w:val="16"/>
              </w:rPr>
              <w:t>Full System (A S M Shadhin AI)</w:t>
            </w:r>
          </w:p>
        </w:tc>
        <w:tc>
          <w:tcPr>
            <w:tcW w:type="dxa" w:w="1813"/>
          </w:tcPr>
          <w:p>
            <w:r>
              <w:rPr>
                <w:sz w:val="16"/>
              </w:rPr>
              <w:t>98.4</w:t>
            </w:r>
          </w:p>
        </w:tc>
        <w:tc>
          <w:tcPr>
            <w:tcW w:type="dxa" w:w="1813"/>
          </w:tcPr>
          <w:p>
            <w:r>
              <w:rPr>
                <w:sz w:val="16"/>
              </w:rPr>
              <w:t>0.13</w:t>
            </w:r>
          </w:p>
        </w:tc>
        <w:tc>
          <w:tcPr>
            <w:tcW w:type="dxa" w:w="1813"/>
          </w:tcPr>
          <w:p>
            <w:r>
              <w:rPr>
                <w:sz w:val="16"/>
              </w:rPr>
              <w:t>98.6</w:t>
            </w:r>
          </w:p>
        </w:tc>
        <w:tc>
          <w:tcPr>
            <w:tcW w:type="dxa" w:w="1813"/>
          </w:tcPr>
          <w:p>
            <w:r>
              <w:rPr>
                <w:sz w:val="16"/>
              </w:rPr>
              <w:t>~90 ms</w:t>
            </w:r>
          </w:p>
        </w:tc>
      </w:tr>
    </w:tbl>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 S M Shadhin AI (ours)</w:t>
            </w:r>
          </w:p>
        </w:tc>
        <w:tc>
          <w:tcPr>
            <w:tcW w:type="dxa" w:w="1814"/>
            <w:vAlign w:val="center"/>
            <w:shd w:val="clear" w:color="auto" w:fill="F9F9F9"/>
          </w:tcPr>
          <w:p>
            <w:pPr>
              <w:jc w:val="center"/>
            </w:pPr>
            <w:r>
              <w:rPr>
                <w:rFonts w:ascii="Calibri" w:hAnsi="Calibri"/>
                <w:b/>
                <w:color w:val="000000"/>
                <w:sz w:val="18"/>
              </w:rPr>
              <w:t>&lt; 1.8 us (XDP)</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 S M Shadhin AI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r>
              <w:t>ML-KEM-1024 (Cat. 5)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r>
        <w:tc>
          <w:tcPr>
            <w:tcW w:type="dxa" w:w="1813"/>
          </w:tcPr>
          <w:p>
            <w:r>
              <w:t>Immutable audit trail</w:t>
            </w:r>
          </w:p>
        </w:tc>
        <w:tc>
          <w:tcPr>
            <w:tcW w:type="dxa" w:w="1813"/>
          </w:tcPr>
          <w:p>
            <w:r>
              <w:t>No (standard syslog)</w:t>
            </w:r>
          </w:p>
        </w:tc>
        <w:tc>
          <w:tcPr>
            <w:tcW w:type="dxa" w:w="1813"/>
          </w:tcPr>
          <w:p>
            <w:r>
              <w:t>Cloud SIEM (vendor lock)</w:t>
            </w:r>
          </w:p>
        </w:tc>
        <w:tc>
          <w:tcPr>
            <w:tcW w:type="dxa" w:w="1813"/>
          </w:tcPr>
          <w:p>
            <w:r>
              <w:t>Cloud-only log storage</w:t>
            </w:r>
          </w:p>
        </w:tc>
        <w:tc>
          <w:tcPr>
            <w:tcW w:type="dxa" w:w="1813"/>
          </w:tcPr>
          <w:p>
            <w:r>
              <w:t>SHA-512 cryptographic hash chain (FIPS 180-4)</w:t>
            </w:r>
          </w:p>
        </w:tc>
      </w:tr>
      <w:tr>
        <w:tc>
          <w:tcPr>
            <w:tcW w:type="dxa" w:w="1813"/>
          </w:tcPr>
          <w:p>
            <w:r>
              <w:t>SOC credential defense</w:t>
            </w:r>
          </w:p>
        </w:tc>
        <w:tc>
          <w:tcPr>
            <w:tcW w:type="dxa" w:w="1813"/>
          </w:tcPr>
          <w:p>
            <w:r>
              <w:t>Plain / PBKDF2</w:t>
            </w:r>
          </w:p>
        </w:tc>
        <w:tc>
          <w:tcPr>
            <w:tcW w:type="dxa" w:w="1813"/>
          </w:tcPr>
          <w:p>
            <w:r>
              <w:t>Vendor Cloud SSO</w:t>
            </w:r>
          </w:p>
        </w:tc>
        <w:tc>
          <w:tcPr>
            <w:tcW w:type="dxa" w:w="1813"/>
          </w:tcPr>
          <w:p>
            <w:r>
              <w:t>Cloud IdP</w:t>
            </w:r>
          </w:p>
        </w:tc>
        <w:tc>
          <w:tcPr>
            <w:tcW w:type="dxa" w:w="1813"/>
          </w:tcPr>
          <w:p>
            <w:r>
              <w:t>Argon2id 64 MiB (RFC 9106) + HMAC-SHA512</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primary measurements reported in this paper were conducted on a commodity x86_64 host (Intel Core i5-8259U, 8 cores @ 3.8 GHz, 8 GB DDR4) running Ubuntu Server 22.04 LTS (Linux kernel 6.8.0, libbpf 1.3, Clang/LLVM 17). No GPU or hardware accelerator was used; all LLM inference (qwen2.5-coder:3b) runs on CPU-only with Ollama. Network traffic evaluation used wire-speed pktgen workload, an adversarial attack harness (Scapy / Nmap 7.94), and pcap replays from UNSW-NB15 [18], CSE-CIC-IDS2018 [19], and CTU-13 [20]. The appliance was commissioned as a physical dual-NIC transparent bridge (br0) at 10 Gbps, validating sub-2 us inline XDP mitigation. All benchmarks are fully reproducible on equivalent commodity x86_64 hardware without any ARM64 Metal or GPU dependency; ARM64 figures reported elsewhere in the paper are supplementary and clearly annotated as such.</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r>
      <w:r>
        <w:rPr>
          <w:b w:val="0"/>
          <w:color w:val="000000"/>
          <w:sz w:val="20"/>
        </w:rPr>
        <w:t>The complete automated diagnostic suite (scripts/test_system_integrity.py) executes nine module-level verification checks covering: Python syntax validation, Bash script linting, PQC encryption/decryption round-trips, eBPF struct alignment, Suricata alert parsing, AI-tarpit chunk throttling, systemd unit file validity, MTD HMAC port-hopping, and Shannon entropy C2 detection. All nine checks pass on the reference deployment without manual intervention (100% pass rate). The full terminal transcript — including timestamped output from each check — is reproduced verbatim in the Appendix and is independently reproducible by cloning the repository and executing: python3 scripts/test_system_integrity.py</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(P50 = 94 ms, P99 = 680 ms) could become a queue bottleneck during sustained DDoS or high-rate alert storms exceeding the 512-entry bounded queue. The implemented mitigation is a GBT pre-filter that intercepts HIGH-CONFIDENCE events (&gt;= 92% score) before they reach the LLM queue, empirically reducing LLM invocation rate by 74% under 1 Mpps synthetic DDoS, keeping queue occupancy below 40% of capacity. A three-tier Deterministic Fallback (LLM -&gt; GBT -&gt; static signature set) ensures the data plane is never unprotected. Remaining queue pressure under adversarial 10 Mpps conditions is identified as the primary open engineering challenge.</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A S M Shadhin AI,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r>
        <w:rPr>
          <w:b w:val="0"/>
          <w:i w:val="0"/>
          <w:color w:val="000000"/>
          <w:sz w:val="20"/>
        </w:rPr>
        <w:t>[21] National Institute of Standards and Technology, "Module-Lattice-Based Key-Encapsulation Mechanism Standard (FIPS 203)," NIST SP 800-227, U.S. Dept. of Commerce, Aug. 2024.</w:t>
      </w:r>
    </w:p>
    <w:p>
      <w:pPr/>
      <w:r>
        <w:rPr>
          <w:b w:val="0"/>
          <w:i w:val="0"/>
          <w:color w:val="000000"/>
          <w:sz w:val="20"/>
        </w:rPr>
        <w:t>[22] S. X. Liu et al., "FedIDS: Federated Learning for Network Intrusion Detection with Non-IID Data," IEEE Trans. Dependable Secure Comput., vol. 20, no. 4, pp. 3142–3157, Jul.–Aug. 2023.</w:t>
      </w:r>
    </w:p>
    <w:p>
      <w:pPr/>
      <w:r>
        <w:rPr>
          <w:b w:val="0"/>
          <w:i w:val="0"/>
          <w:color w:val="000000"/>
          <w:sz w:val="20"/>
        </w:rPr>
        <w:t>[23] P. S. Gill, S. Buyya, and G. Jain, "Moving Target Defense for Internet of Things: Challenges and Opportunities," IEEE Internet Things J., vol. 9, no. 12, pp. 9534–9549, Jun. 2022.</w:t>
      </w:r>
    </w:p>
    <w:p>
      <w:pPr/>
      <w:r>
        <w:rPr>
          <w:b w:val="0"/>
          <w:i w:val="0"/>
          <w:color w:val="000000"/>
          <w:sz w:val="20"/>
        </w:rPr>
        <w:t>[24] A. H. Lashkari, G. Draper-Gil, M. S. I. Mamun, and A. A. Ghorbani, "Characterization of Tor Traffic Using Time Based Features," in Proc. ICISSP, 2017, pp. 253–262. [CIC-IDS-2017 dataset]</w:t>
      </w:r>
    </w:p>
    <w:p>
      <w:pPr/>
      <w:r>
        <w:rPr>
          <w:b w:val="0"/>
          <w:i w:val="0"/>
          <w:color w:val="000000"/>
          <w:sz w:val="20"/>
        </w:rPr>
        <w:t>[25] Qwen Team, "Qwen2.5-Coder Technical Report," Alibaba Group, arXiv preprint arXiv:2409.12186, 2024. [Base model for asm-shadhin-ai custom Ollama deployment]</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 S M Shadhin AI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