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Anonymous Author(s)</w:t>
      </w:r>
    </w:p>
    <w:p>
      <w:pPr>
        <w:spacing w:after="20"/>
        <w:jc w:val="center"/>
      </w:pPr>
      <w:r>
        <w:rPr>
          <w:rFonts w:ascii="Calibri" w:hAnsi="Calibri"/>
          <w:b w:val="0"/>
          <w:color w:val="000000"/>
          <w:sz w:val="19"/>
        </w:rPr>
        <w:t>Affiliation and Contact Details Suppressed for Double-Blind Review</w:t>
      </w:r>
    </w:p>
    <w:p>
      <w:pPr>
        <w:spacing w:after="40"/>
        <w:jc w:val="center"/>
      </w:pPr>
      <w:r>
        <w:rPr>
          <w:rFonts w:ascii="Calibri" w:hAnsi="Calibri"/>
          <w:b w:val="0"/>
          <w:color w:val="000000"/>
          <w:sz w:val="19"/>
        </w:rPr>
        <w:t>Track: Systems and Network Security | AI-Driven Defense</w:t>
      </w:r>
    </w:p>
    <w:p>
      <w:pPr>
        <w:spacing w:after="120"/>
        <w:jc w:val="center"/>
      </w:pPr>
      <w:r>
        <w:rPr>
          <w:rFonts w:ascii="Calibri" w:hAnsi="Calibri"/>
          <w:b/>
          <w:color w:val="000000"/>
          <w:sz w:val="19"/>
        </w:rPr>
        <w:t>Anonymized Code &amp; Artifacts: https://anonymous.4open.science/r/asm-defense-agent</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Threat Model and Trust Assumptions</w:t>
      </w:r>
    </w:p>
    <w:p>
      <w:pPr>
        <w:spacing w:after="100"/>
        <w:jc w:val="both"/>
      </w:pPr>
      <w:r>
        <w:rPr>
          <w:rFonts w:ascii="Calibri" w:hAnsi="Calibri"/>
          <w:i w:val="0"/>
          <w:color w:val="000000"/>
          <w:sz w:val="21"/>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Calibri" w:hAnsi="Calibri"/>
          <w:i w:val="0"/>
          <w:color w:val="000000"/>
          <w:sz w:val="21"/>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Calibri" w:hAnsi="Calibri"/>
          <w:i w:val="0"/>
          <w:color w:val="000000"/>
          <w:sz w:val="21"/>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Calibri" w:hAnsi="Calibri"/>
          <w:i w:val="0"/>
          <w:color w:val="000000"/>
          <w:sz w:val="21"/>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Calibri" w:hAnsi="Calibri"/>
          <w:b/>
          <w:color w:val="000000"/>
          <w:sz w:val="23"/>
        </w:rPr>
        <w:t>B.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Calibri" w:hAnsi="Calibri"/>
                <w:b/>
                <w:color w:val="FFFFFF"/>
                <w:sz w:val="17"/>
              </w:rPr>
              <w:t>Stage</w:t>
            </w:r>
          </w:p>
        </w:tc>
        <w:tc>
          <w:tcPr>
            <w:tcW w:type="dxa" w:w="3288"/>
            <w:shd w:val="clear" w:color="auto" w:fill="111827"/>
            <w:vAlign w:val="center"/>
          </w:tcPr>
          <w:p>
            <w:pPr>
              <w:spacing w:before="60" w:after="60"/>
              <w:jc w:val="center"/>
            </w:pPr>
            <w:r>
              <w:rPr>
                <w:rFonts w:ascii="Calibri" w:hAnsi="Calibri"/>
                <w:b/>
                <w:color w:val="FFFFFF"/>
                <w:sz w:val="17"/>
              </w:rPr>
              <w:t>Operation</w:t>
            </w:r>
          </w:p>
        </w:tc>
        <w:tc>
          <w:tcPr>
            <w:tcW w:type="dxa" w:w="2494"/>
            <w:shd w:val="clear" w:color="auto" w:fill="111827"/>
            <w:vAlign w:val="center"/>
          </w:tcPr>
          <w:p>
            <w:pPr>
              <w:spacing w:before="60" w:after="60"/>
              <w:jc w:val="center"/>
            </w:pPr>
            <w:r>
              <w:rPr>
                <w:rFonts w:ascii="Calibri" w:hAnsi="Calibri"/>
                <w:b/>
                <w:color w:val="FFFFFF"/>
                <w:sz w:val="17"/>
              </w:rPr>
              <w:t>BPF Map Type</w:t>
            </w:r>
          </w:p>
        </w:tc>
        <w:tc>
          <w:tcPr>
            <w:tcW w:type="dxa" w:w="2041"/>
            <w:shd w:val="clear" w:color="auto" w:fill="111827"/>
            <w:vAlign w:val="center"/>
          </w:tcPr>
          <w:p>
            <w:pPr>
              <w:spacing w:before="60" w:after="60"/>
              <w:jc w:val="center"/>
            </w:pPr>
            <w:r>
              <w:rPr>
                <w:rFonts w:ascii="Calibri" w:hAnsi="Calibri"/>
                <w:b/>
                <w:color w:val="FFFFFF"/>
                <w:sz w:val="17"/>
              </w:rPr>
              <w:t>Outcome</w:t>
            </w:r>
          </w:p>
        </w:tc>
      </w:tr>
      <w:tr>
        <w:tc>
          <w:tcPr>
            <w:tcW w:type="dxa" w:w="907"/>
            <w:vAlign w:val="center"/>
            <w:shd w:val="clear" w:color="auto" w:fill="FFFFFF"/>
          </w:tcPr>
          <w:p>
            <w:pPr>
              <w:spacing w:before="50" w:after="50"/>
              <w:jc w:val="center"/>
            </w:pPr>
            <w:r>
              <w:rPr>
                <w:rFonts w:ascii="Calibri" w:hAnsi="Calibri"/>
                <w:b w:val="0"/>
                <w:color w:val="000000"/>
                <w:sz w:val="17"/>
              </w:rPr>
              <w:t>1</w:t>
            </w:r>
          </w:p>
        </w:tc>
        <w:tc>
          <w:tcPr>
            <w:tcW w:type="dxa" w:w="3288"/>
            <w:vAlign w:val="center"/>
            <w:shd w:val="clear" w:color="auto" w:fill="FFFFFF"/>
          </w:tcPr>
          <w:p>
            <w:pPr>
              <w:spacing w:before="50" w:after="50"/>
              <w:jc w:val="left"/>
            </w:pPr>
            <w:r>
              <w:rPr>
                <w:rFonts w:ascii="Calibri" w:hAnsi="Calibri"/>
                <w:b w:val="0"/>
                <w:color w:val="000000"/>
                <w:sz w:val="17"/>
              </w:rPr>
              <w:t>IP Blocklist Lookup (O(1) fast-path)</w:t>
            </w:r>
          </w:p>
        </w:tc>
        <w:tc>
          <w:tcPr>
            <w:tcW w:type="dxa" w:w="2494"/>
            <w:vAlign w:val="center"/>
            <w:shd w:val="clear" w:color="auto" w:fill="FFFFFF"/>
          </w:tcPr>
          <w:p>
            <w:pPr>
              <w:spacing w:before="50" w:after="50"/>
              <w:jc w:val="left"/>
            </w:pPr>
            <w:r>
              <w:rPr>
                <w:rFonts w:ascii="Calibri" w:hAnsi="Calibri"/>
                <w:b w:val="0"/>
                <w:color w:val="000000"/>
                <w:sz w:val="17"/>
              </w:rPr>
              <w:t>BPF_MAP_TYPE_HASH</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2</w:t>
            </w:r>
          </w:p>
        </w:tc>
        <w:tc>
          <w:tcPr>
            <w:tcW w:type="dxa" w:w="3288"/>
            <w:vAlign w:val="center"/>
            <w:shd w:val="clear" w:color="auto" w:fill="F9F9F9"/>
          </w:tcPr>
          <w:p>
            <w:pPr>
              <w:spacing w:before="50" w:after="50"/>
              <w:jc w:val="left"/>
            </w:pPr>
            <w:r>
              <w:rPr>
                <w:rFonts w:ascii="Calibri" w:hAnsi="Calibri"/>
                <w:b w:val="0"/>
                <w:color w:val="000000"/>
                <w:sz w:val="17"/>
              </w:rPr>
              <w:t>Tarpit Redirect (Deception Port)</w:t>
            </w:r>
          </w:p>
        </w:tc>
        <w:tc>
          <w:tcPr>
            <w:tcW w:type="dxa" w:w="2494"/>
            <w:vAlign w:val="center"/>
            <w:shd w:val="clear" w:color="auto" w:fill="F9F9F9"/>
          </w:tcPr>
          <w:p>
            <w:pPr>
              <w:spacing w:before="50" w:after="50"/>
              <w:jc w:val="left"/>
            </w:pPr>
            <w:r>
              <w:rPr>
                <w:rFonts w:ascii="Calibri" w:hAnsi="Calibri"/>
                <w:b w:val="0"/>
                <w:color w:val="000000"/>
                <w:sz w:val="17"/>
              </w:rPr>
              <w:t>BPF_MAP_TYPE_HASH</w:t>
            </w:r>
          </w:p>
        </w:tc>
        <w:tc>
          <w:tcPr>
            <w:tcW w:type="dxa" w:w="2041"/>
            <w:vAlign w:val="center"/>
            <w:shd w:val="clear" w:color="auto" w:fill="F9F9F9"/>
          </w:tcPr>
          <w:p>
            <w:pPr>
              <w:spacing w:before="50" w:after="50"/>
              <w:jc w:val="center"/>
            </w:pPr>
            <w:r>
              <w:rPr>
                <w:rFonts w:ascii="Calibri" w:hAnsi="Calibri"/>
                <w:b w:val="0"/>
                <w:color w:val="000000"/>
                <w:sz w:val="17"/>
              </w:rPr>
              <w:t>XDP_PASS -&gt; nftables</w:t>
            </w:r>
          </w:p>
        </w:tc>
      </w:tr>
      <w:tr>
        <w:tc>
          <w:tcPr>
            <w:tcW w:type="dxa" w:w="907"/>
            <w:vAlign w:val="center"/>
            <w:shd w:val="clear" w:color="auto" w:fill="FFFFFF"/>
          </w:tcPr>
          <w:p>
            <w:pPr>
              <w:spacing w:before="50" w:after="50"/>
              <w:jc w:val="center"/>
            </w:pPr>
            <w:r>
              <w:rPr>
                <w:rFonts w:ascii="Calibri" w:hAnsi="Calibri"/>
                <w:b w:val="0"/>
                <w:color w:val="000000"/>
                <w:sz w:val="17"/>
              </w:rPr>
              <w:t>3</w:t>
            </w:r>
          </w:p>
        </w:tc>
        <w:tc>
          <w:tcPr>
            <w:tcW w:type="dxa" w:w="3288"/>
            <w:vAlign w:val="center"/>
            <w:shd w:val="clear" w:color="auto" w:fill="FFFFFF"/>
          </w:tcPr>
          <w:p>
            <w:pPr>
              <w:spacing w:before="50" w:after="50"/>
              <w:jc w:val="left"/>
            </w:pPr>
            <w:r>
              <w:rPr>
                <w:rFonts w:ascii="Calibri" w:hAnsi="Calibri"/>
                <w:b w:val="0"/>
                <w:color w:val="000000"/>
                <w:sz w:val="17"/>
              </w:rPr>
              <w:t>TCP Flag Anomaly: Null/Xmas/SYN+FIN</w:t>
            </w:r>
          </w:p>
        </w:tc>
        <w:tc>
          <w:tcPr>
            <w:tcW w:type="dxa" w:w="2494"/>
            <w:vAlign w:val="center"/>
            <w:shd w:val="clear" w:color="auto" w:fill="FFFFFF"/>
          </w:tcPr>
          <w:p>
            <w:pPr>
              <w:spacing w:before="50" w:after="50"/>
              <w:jc w:val="left"/>
            </w:pPr>
            <w:r>
              <w:rPr>
                <w:rFonts w:ascii="Calibri" w:hAnsi="Calibri"/>
                <w:b w:val="0"/>
                <w:color w:val="000000"/>
                <w:sz w:val="17"/>
              </w:rPr>
              <w:t>Inline classifier</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4</w:t>
            </w:r>
          </w:p>
        </w:tc>
        <w:tc>
          <w:tcPr>
            <w:tcW w:type="dxa" w:w="3288"/>
            <w:vAlign w:val="center"/>
            <w:shd w:val="clear" w:color="auto" w:fill="F9F9F9"/>
          </w:tcPr>
          <w:p>
            <w:pPr>
              <w:spacing w:before="50" w:after="50"/>
              <w:jc w:val="left"/>
            </w:pPr>
            <w:r>
              <w:rPr>
                <w:rFonts w:ascii="Calibri" w:hAnsi="Calibri"/>
                <w:b w:val="0"/>
                <w:color w:val="000000"/>
                <w:sz w:val="17"/>
              </w:rPr>
              <w:t>Telemetry Export to Userspace Daemon</w:t>
            </w:r>
          </w:p>
        </w:tc>
        <w:tc>
          <w:tcPr>
            <w:tcW w:type="dxa" w:w="2494"/>
            <w:vAlign w:val="center"/>
            <w:shd w:val="clear" w:color="auto" w:fill="F9F9F9"/>
          </w:tcPr>
          <w:p>
            <w:pPr>
              <w:spacing w:before="50" w:after="50"/>
              <w:jc w:val="left"/>
            </w:pPr>
            <w:r>
              <w:rPr>
                <w:rFonts w:ascii="Calibri" w:hAnsi="Calibri"/>
                <w:b w:val="0"/>
                <w:color w:val="000000"/>
                <w:sz w:val="17"/>
              </w:rPr>
              <w:t>BPF_MAP_TYPE_RINGBUF</w:t>
            </w:r>
          </w:p>
        </w:tc>
        <w:tc>
          <w:tcPr>
            <w:tcW w:type="dxa" w:w="2041"/>
            <w:vAlign w:val="center"/>
            <w:shd w:val="clear" w:color="auto" w:fill="F9F9F9"/>
          </w:tcPr>
          <w:p>
            <w:pPr>
              <w:spacing w:before="50" w:after="50"/>
              <w:jc w:val="center"/>
            </w:pPr>
            <w:r>
              <w:rPr>
                <w:rFonts w:ascii="Calibri" w:hAnsi="Calibri"/>
                <w:b w:val="0"/>
                <w:color w:val="000000"/>
                <w:sz w:val="17"/>
              </w:rPr>
              <w:t>XDP_PASS (clean)</w:t>
            </w:r>
          </w:p>
        </w:tc>
      </w:tr>
    </w:tbl>
    <w:p>
      <w:pPr>
        <w:spacing w:before="40" w:after="160"/>
        <w:jc w:val="center"/>
      </w:pPr>
      <w:r>
        <w:rPr>
          <w:rFonts w:ascii="Calibri" w:hAnsi="Calibri"/>
          <w:i/>
          <w:color w:val="333333"/>
          <w:sz w:val="18"/>
        </w:rPr>
        <w:t>Table I: XDP programme pipeline stages.</w:t>
      </w:r>
    </w:p>
    <w:p>
      <w:pPr>
        <w:spacing w:before="120" w:after="40"/>
        <w:jc w:val="center"/>
      </w:pPr>
      <w:r>
        <w:drawing>
          <wp:inline xmlns:a="http://schemas.openxmlformats.org/drawingml/2006/main" xmlns:pic="http://schemas.openxmlformats.org/drawingml/2006/picture">
            <wp:extent cx="5220000" cy="2694194"/>
            <wp:docPr id="1" name="Picture 1"/>
            <wp:cNvGraphicFramePr>
              <a:graphicFrameLocks noChangeAspect="1"/>
            </wp:cNvGraphicFramePr>
            <a:graphic>
              <a:graphicData uri="http://schemas.openxmlformats.org/drawingml/2006/picture">
                <pic:pic>
                  <pic:nvPicPr>
                    <pic:cNvPr id="0" name="fig1_xdp_pipeline.png"/>
                    <pic:cNvPicPr/>
                  </pic:nvPicPr>
                  <pic:blipFill>
                    <a:blip r:embed="rId10"/>
                    <a:stretch>
                      <a:fillRect/>
                    </a:stretch>
                  </pic:blipFill>
                  <pic:spPr>
                    <a:xfrm>
                      <a:off x="0" y="0"/>
                      <a:ext cx="5220000" cy="2694194"/>
                    </a:xfrm>
                    <a:prstGeom prst="rect"/>
                  </pic:spPr>
                </pic:pic>
              </a:graphicData>
            </a:graphic>
          </wp:inline>
        </w:drawing>
      </w:r>
    </w:p>
    <w:p>
      <w:pPr>
        <w:spacing w:before="40" w:after="160"/>
        <w:jc w:val="center"/>
      </w:pPr>
      <w:r>
        <w:rPr>
          <w:rFonts w:ascii="Calibri" w:hAnsi="Calibri"/>
          <w:i/>
          <w:color w:val="000000"/>
          <w:sz w:val="17"/>
        </w:rPr>
        <w:t>Fig. 1: In-kernel XDP packet processing stage latencies (Intel Core i5 testbed).</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C. Asynchronous Control-Plane: Custom Autonomous AI Agent Reasoning &amp; Prompt-Injection Hardening</w:t>
      </w:r>
    </w:p>
    <w:p>
      <w:pPr>
        <w:spacing w:after="100"/>
        <w:jc w:val="both"/>
      </w:pPr>
      <w:r>
        <w:rPr>
          <w:rFonts w:ascii="Calibri" w:hAnsi="Calibri"/>
          <w:i w:val="0"/>
          <w:color w:val="000000"/>
          <w:sz w:val="21"/>
        </w:rPr>
        <w:t>To perform deep semantic evaluation without external cloud dependencies, the architecture integrates an autonomous cyber defense model [anonymized-agent].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Calibri" w:hAnsi="Calibri"/>
          <w:i w:val="0"/>
          <w:color w:val="000000"/>
          <w:sz w:val="21"/>
        </w:rPr>
        <w:t>To strictly mitigate hallucination and defend against adversarial prompt-injection vectors, the inference pipeline enforces three complementary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constrained;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Calibri" w:hAnsi="Calibri"/>
          <w:b/>
          <w:color w:val="000000"/>
          <w:sz w:val="23"/>
        </w:rPr>
        <w:t>D. Moving Target Defence (MTD) and Client Synchronization Protocol</w:t>
      </w:r>
    </w:p>
    <w:p>
      <w:pPr>
        <w:spacing w:after="100"/>
        <w:jc w:val="both"/>
      </w:pPr>
      <w:r>
        <w:rPr>
          <w:rFonts w:ascii="Calibri" w:hAnsi="Calibri"/>
          <w:i w:val="0"/>
          <w:color w:val="000000"/>
          <w:sz w:val="21"/>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1"/>
        </w:rPr>
        <w:t>P(s, e) = P_min + [ HMAC-SHA256(K, s || e) mod (P_max - P_min) ]</w:t>
      </w:r>
      <w:r>
        <w:rPr>
          <w:rFonts w:ascii="Times New Roman" w:hAnsi="Times New Roman"/>
          <w:b w:val="0"/>
          <w:i w:val="0"/>
          <w:sz w:val="21"/>
        </w:rPr>
        <w:t xml:space="preserve">    (1)</w:t>
      </w:r>
    </w:p>
    <w:p>
      <w:pPr>
        <w:spacing w:after="100"/>
        <w:jc w:val="both"/>
      </w:pPr>
      <w:r>
        <w:rPr>
          <w:rFonts w:ascii="Calibri" w:hAnsi="Calibri"/>
          <w:i w:val="0"/>
          <w:color w:val="000000"/>
          <w:sz w:val="21"/>
        </w:rPr>
        <w:t>Client Synchronization: Authorized endpoints synchronize with the active port through a shared HMAC seed derived via our authenticated PQC control tunnel or via time-synchronized Single-Packet Authorization (SPA). To prevent connection drops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Calibri" w:hAnsi="Calibri"/>
          <w:b/>
          <w:color w:val="000000"/>
          <w:sz w:val="23"/>
        </w:rPr>
        <w:t>E. Encrypted Traffic Analysis (Zero-Decryption)</w:t>
      </w:r>
    </w:p>
    <w:p>
      <w:pPr>
        <w:spacing w:after="100"/>
        <w:jc w:val="both"/>
      </w:pPr>
      <w:r>
        <w:rPr>
          <w:rFonts w:ascii="Calibri" w:hAnsi="Calibri"/>
          <w:i w:val="0"/>
          <w:color w:val="000000"/>
          <w:sz w:val="21"/>
        </w:rPr>
        <w:t>Shannon entropy is computed per flow over 256-byte payload windows:</w:t>
      </w:r>
    </w:p>
    <w:p>
      <w:pPr>
        <w:spacing w:before="120" w:after="120"/>
        <w:ind w:left="283" w:right="283"/>
        <w:jc w:val="center"/>
      </w:pPr>
      <w:r>
        <w:rPr>
          <w:rFonts w:ascii="Times New Roman" w:hAnsi="Times New Roman"/>
          <w:i/>
          <w:sz w:val="21"/>
        </w:rPr>
        <w:t>H(f) = - SUM_{i=0}^{255} p(x_i) * log2(p(x_i))</w:t>
      </w:r>
      <w:r>
        <w:rPr>
          <w:rFonts w:ascii="Times New Roman" w:hAnsi="Times New Roman"/>
          <w:b w:val="0"/>
          <w:i w:val="0"/>
          <w:sz w:val="21"/>
        </w:rPr>
        <w:t xml:space="preserve">    (2)</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F.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G.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provides robust post-quantum confidentiality and forward secrecy against future quantum adversaries based on NIST standards.</w:t>
      </w:r>
    </w:p>
    <w:p>
      <w:pPr>
        <w:spacing w:before="120" w:after="80"/>
        <w:jc w:val="left"/>
      </w:pPr>
      <w:r>
        <w:rPr>
          <w:rFonts w:ascii="Calibri" w:hAnsi="Calibri"/>
          <w:b/>
          <w:color w:val="000000"/>
          <w:sz w:val="23"/>
        </w:rPr>
        <w:t>H. Immutable Cryptographic Audit Chain</w:t>
      </w:r>
    </w:p>
    <w:p>
      <w:pPr>
        <w:spacing w:after="100"/>
        <w:jc w:val="both"/>
      </w:pPr>
      <w:r>
        <w:rPr>
          <w:rFonts w:ascii="Calibri" w:hAnsi="Calibri"/>
          <w:i w:val="0"/>
          <w:color w:val="000000"/>
          <w:sz w:val="21"/>
        </w:rPr>
        <w:t>To enforce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Calibri" w:hAnsi="Calibri"/>
                <w:b/>
                <w:color w:val="FFFFFF"/>
                <w:sz w:val="17"/>
              </w:rPr>
              <w:t>System</w:t>
            </w:r>
          </w:p>
        </w:tc>
        <w:tc>
          <w:tcPr>
            <w:tcW w:type="dxa" w:w="1587"/>
            <w:shd w:val="clear" w:color="auto" w:fill="111827"/>
            <w:vAlign w:val="center"/>
          </w:tcPr>
          <w:p>
            <w:pPr>
              <w:spacing w:before="60" w:after="60"/>
              <w:jc w:val="center"/>
            </w:pPr>
            <w:r>
              <w:rPr>
                <w:rFonts w:ascii="Calibri" w:hAnsi="Calibri"/>
                <w:b/>
                <w:color w:val="FFFFFF"/>
                <w:sz w:val="17"/>
              </w:rPr>
              <w:t>Category</w:t>
            </w:r>
          </w:p>
        </w:tc>
        <w:tc>
          <w:tcPr>
            <w:tcW w:type="dxa" w:w="2154"/>
            <w:shd w:val="clear" w:color="auto" w:fill="111827"/>
            <w:vAlign w:val="center"/>
          </w:tcPr>
          <w:p>
            <w:pPr>
              <w:spacing w:before="60" w:after="60"/>
              <w:jc w:val="center"/>
            </w:pPr>
            <w:r>
              <w:rPr>
                <w:rFonts w:ascii="Calibri" w:hAnsi="Calibri"/>
                <w:b/>
                <w:color w:val="FFFFFF"/>
                <w:sz w:val="17"/>
              </w:rPr>
              <w:t>Detection Engine</w:t>
            </w:r>
          </w:p>
        </w:tc>
        <w:tc>
          <w:tcPr>
            <w:tcW w:type="dxa" w:w="1134"/>
            <w:shd w:val="clear" w:color="auto" w:fill="111827"/>
            <w:vAlign w:val="center"/>
          </w:tcPr>
          <w:p>
            <w:pPr>
              <w:spacing w:before="60" w:after="60"/>
              <w:jc w:val="center"/>
            </w:pPr>
            <w:r>
              <w:rPr>
                <w:rFonts w:ascii="Calibri" w:hAnsi="Calibri"/>
                <w:b/>
                <w:color w:val="FFFFFF"/>
                <w:sz w:val="17"/>
              </w:rPr>
              <w:t>Sovereignty</w:t>
            </w:r>
          </w:p>
        </w:tc>
        <w:tc>
          <w:tcPr>
            <w:tcW w:type="dxa" w:w="1814"/>
            <w:shd w:val="clear" w:color="auto" w:fill="111827"/>
            <w:vAlign w:val="center"/>
          </w:tcPr>
          <w:p>
            <w:pPr>
              <w:spacing w:before="60" w:after="60"/>
              <w:jc w:val="center"/>
            </w:pPr>
            <w:r>
              <w:rPr>
                <w:rFonts w:ascii="Calibri" w:hAnsi="Calibri"/>
                <w:b/>
                <w:color w:val="FFFFFF"/>
                <w:sz w:val="17"/>
              </w:rPr>
              <w:t>Deployment</w:t>
            </w:r>
          </w:p>
        </w:tc>
      </w:tr>
      <w:tr>
        <w:tc>
          <w:tcPr>
            <w:tcW w:type="dxa" w:w="2041"/>
            <w:vAlign w:val="center"/>
            <w:shd w:val="clear" w:color="auto" w:fill="FFFFFF"/>
          </w:tcPr>
          <w:p>
            <w:pPr>
              <w:spacing w:before="50" w:after="50"/>
              <w:jc w:val="left"/>
            </w:pPr>
            <w:r>
              <w:rPr>
                <w:rFonts w:ascii="Calibri" w:hAnsi="Calibri"/>
                <w:b w:val="0"/>
                <w:color w:val="000000"/>
                <w:sz w:val="17"/>
              </w:rPr>
              <w:t>Snort 3.x [2]</w:t>
            </w:r>
          </w:p>
        </w:tc>
        <w:tc>
          <w:tcPr>
            <w:tcW w:type="dxa" w:w="1587"/>
            <w:vAlign w:val="center"/>
            <w:shd w:val="clear" w:color="auto" w:fill="FFFFFF"/>
          </w:tcPr>
          <w:p>
            <w:pPr>
              <w:spacing w:before="50" w:after="50"/>
              <w:jc w:val="left"/>
            </w:pPr>
            <w:r>
              <w:rPr>
                <w:rFonts w:ascii="Calibri" w:hAnsi="Calibri"/>
                <w:b w:val="0"/>
                <w:color w:val="000000"/>
                <w:sz w:val="17"/>
              </w:rPr>
              <w:t>OS IDS/IPS</w:t>
            </w:r>
          </w:p>
        </w:tc>
        <w:tc>
          <w:tcPr>
            <w:tcW w:type="dxa" w:w="2154"/>
            <w:vAlign w:val="center"/>
            <w:shd w:val="clear" w:color="auto" w:fill="FFFFFF"/>
          </w:tcPr>
          <w:p>
            <w:pPr>
              <w:spacing w:before="50" w:after="50"/>
              <w:jc w:val="left"/>
            </w:pPr>
            <w:r>
              <w:rPr>
                <w:rFonts w:ascii="Calibri" w:hAnsi="Calibri"/>
                <w:b w:val="0"/>
                <w:color w:val="000000"/>
                <w:sz w:val="17"/>
              </w:rPr>
              <w:t>Rules + DAQ</w:t>
            </w:r>
          </w:p>
        </w:tc>
        <w:tc>
          <w:tcPr>
            <w:tcW w:type="dxa" w:w="1134"/>
            <w:vAlign w:val="center"/>
            <w:shd w:val="clear" w:color="auto" w:fill="FFFFFF"/>
          </w:tcPr>
          <w:p>
            <w:pPr>
              <w:spacing w:before="50" w:after="50"/>
              <w:jc w:val="center"/>
            </w:pPr>
            <w:r>
              <w:rPr>
                <w:rFonts w:ascii="Calibri" w:hAnsi="Calibri"/>
                <w:b w:val="0"/>
                <w:color w:val="000000"/>
                <w:sz w:val="17"/>
              </w:rPr>
              <w:t>Full</w:t>
            </w:r>
          </w:p>
        </w:tc>
        <w:tc>
          <w:tcPr>
            <w:tcW w:type="dxa" w:w="1814"/>
            <w:vAlign w:val="center"/>
            <w:shd w:val="clear" w:color="auto" w:fill="FFFFFF"/>
          </w:tcPr>
          <w:p>
            <w:pPr>
              <w:spacing w:before="50" w:after="50"/>
              <w:jc w:val="left"/>
            </w:pPr>
            <w:r>
              <w:rPr>
                <w:rFonts w:ascii="Calibri" w:hAnsi="Calibri"/>
                <w:b w:val="0"/>
                <w:color w:val="000000"/>
                <w:sz w:val="17"/>
              </w:rPr>
              <w:t>SMB / enterprise</w:t>
            </w:r>
          </w:p>
        </w:tc>
      </w:tr>
      <w:tr>
        <w:tc>
          <w:tcPr>
            <w:tcW w:type="dxa" w:w="2041"/>
            <w:vAlign w:val="center"/>
            <w:shd w:val="clear" w:color="auto" w:fill="F9F9F9"/>
          </w:tcPr>
          <w:p>
            <w:pPr>
              <w:spacing w:before="50" w:after="50"/>
              <w:jc w:val="left"/>
            </w:pPr>
            <w:r>
              <w:rPr>
                <w:rFonts w:ascii="Calibri" w:hAnsi="Calibri"/>
                <w:b w:val="0"/>
                <w:color w:val="000000"/>
                <w:sz w:val="17"/>
              </w:rPr>
              <w:t>Suricata 7.x [14]</w:t>
            </w:r>
          </w:p>
        </w:tc>
        <w:tc>
          <w:tcPr>
            <w:tcW w:type="dxa" w:w="1587"/>
            <w:vAlign w:val="center"/>
            <w:shd w:val="clear" w:color="auto" w:fill="F9F9F9"/>
          </w:tcPr>
          <w:p>
            <w:pPr>
              <w:spacing w:before="50" w:after="50"/>
              <w:jc w:val="left"/>
            </w:pPr>
            <w:r>
              <w:rPr>
                <w:rFonts w:ascii="Calibri" w:hAnsi="Calibri"/>
                <w:b w:val="0"/>
                <w:color w:val="000000"/>
                <w:sz w:val="17"/>
              </w:rPr>
              <w:t>OS IDS/IPS</w:t>
            </w:r>
          </w:p>
        </w:tc>
        <w:tc>
          <w:tcPr>
            <w:tcW w:type="dxa" w:w="2154"/>
            <w:vAlign w:val="center"/>
            <w:shd w:val="clear" w:color="auto" w:fill="F9F9F9"/>
          </w:tcPr>
          <w:p>
            <w:pPr>
              <w:spacing w:before="50" w:after="50"/>
              <w:jc w:val="left"/>
            </w:pPr>
            <w:r>
              <w:rPr>
                <w:rFonts w:ascii="Calibri" w:hAnsi="Calibri"/>
                <w:b w:val="0"/>
                <w:color w:val="000000"/>
                <w:sz w:val="17"/>
              </w:rPr>
              <w:t>Rules + AF_PACKET</w:t>
            </w:r>
          </w:p>
        </w:tc>
        <w:tc>
          <w:tcPr>
            <w:tcW w:type="dxa" w:w="1134"/>
            <w:vAlign w:val="center"/>
            <w:shd w:val="clear" w:color="auto" w:fill="F9F9F9"/>
          </w:tcPr>
          <w:p>
            <w:pPr>
              <w:spacing w:before="50" w:after="50"/>
              <w:jc w:val="center"/>
            </w:pPr>
            <w:r>
              <w:rPr>
                <w:rFonts w:ascii="Calibri" w:hAnsi="Calibri"/>
                <w:b w:val="0"/>
                <w:color w:val="000000"/>
                <w:sz w:val="17"/>
              </w:rPr>
              <w:t>Full</w:t>
            </w:r>
          </w:p>
        </w:tc>
        <w:tc>
          <w:tcPr>
            <w:tcW w:type="dxa" w:w="1814"/>
            <w:vAlign w:val="center"/>
            <w:shd w:val="clear" w:color="auto" w:fill="F9F9F9"/>
          </w:tcPr>
          <w:p>
            <w:pPr>
              <w:spacing w:before="50" w:after="50"/>
              <w:jc w:val="left"/>
            </w:pPr>
            <w:r>
              <w:rPr>
                <w:rFonts w:ascii="Calibri" w:hAnsi="Calibri"/>
                <w:b w:val="0"/>
                <w:color w:val="000000"/>
                <w:sz w:val="17"/>
              </w:rPr>
              <w:t>ISP / enterprise</w:t>
            </w:r>
          </w:p>
        </w:tc>
      </w:tr>
      <w:tr>
        <w:tc>
          <w:tcPr>
            <w:tcW w:type="dxa" w:w="2041"/>
            <w:vAlign w:val="center"/>
            <w:shd w:val="clear" w:color="auto" w:fill="FFFFFF"/>
          </w:tcPr>
          <w:p>
            <w:pPr>
              <w:spacing w:before="50" w:after="50"/>
              <w:jc w:val="left"/>
            </w:pPr>
            <w:r>
              <w:rPr>
                <w:rFonts w:ascii="Calibri" w:hAnsi="Calibri"/>
                <w:b w:val="0"/>
                <w:color w:val="000000"/>
                <w:sz w:val="17"/>
              </w:rPr>
              <w:t>Palo Alto PAN-OS 11 [15]</w:t>
            </w:r>
          </w:p>
        </w:tc>
        <w:tc>
          <w:tcPr>
            <w:tcW w:type="dxa" w:w="1587"/>
            <w:vAlign w:val="center"/>
            <w:shd w:val="clear" w:color="auto" w:fill="FFFFFF"/>
          </w:tcPr>
          <w:p>
            <w:pPr>
              <w:spacing w:before="50" w:after="50"/>
              <w:jc w:val="left"/>
            </w:pPr>
            <w:r>
              <w:rPr>
                <w:rFonts w:ascii="Calibri" w:hAnsi="Calibri"/>
                <w:b w:val="0"/>
                <w:color w:val="000000"/>
                <w:sz w:val="17"/>
              </w:rPr>
              <w:t>NGFW appliance</w:t>
            </w:r>
          </w:p>
        </w:tc>
        <w:tc>
          <w:tcPr>
            <w:tcW w:type="dxa" w:w="2154"/>
            <w:vAlign w:val="center"/>
            <w:shd w:val="clear" w:color="auto" w:fill="FFFFFF"/>
          </w:tcPr>
          <w:p>
            <w:pPr>
              <w:spacing w:before="50" w:after="50"/>
              <w:jc w:val="left"/>
            </w:pPr>
            <w:r>
              <w:rPr>
                <w:rFonts w:ascii="Calibri" w:hAnsi="Calibri"/>
                <w:b w:val="0"/>
                <w:color w:val="000000"/>
                <w:sz w:val="17"/>
              </w:rPr>
              <w:t>Wildfire ML + App-ID</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val="0"/>
                <w:color w:val="000000"/>
                <w:sz w:val="17"/>
              </w:rPr>
              <w:t>Cloudflare Magic Transit [16]</w:t>
            </w:r>
          </w:p>
        </w:tc>
        <w:tc>
          <w:tcPr>
            <w:tcW w:type="dxa" w:w="1587"/>
            <w:vAlign w:val="center"/>
            <w:shd w:val="clear" w:color="auto" w:fill="F9F9F9"/>
          </w:tcPr>
          <w:p>
            <w:pPr>
              <w:spacing w:before="50" w:after="50"/>
              <w:jc w:val="left"/>
            </w:pPr>
            <w:r>
              <w:rPr>
                <w:rFonts w:ascii="Calibri" w:hAnsi="Calibri"/>
                <w:b w:val="0"/>
                <w:color w:val="000000"/>
                <w:sz w:val="17"/>
              </w:rPr>
              <w:t>Cloud DDoS</w:t>
            </w:r>
          </w:p>
        </w:tc>
        <w:tc>
          <w:tcPr>
            <w:tcW w:type="dxa" w:w="2154"/>
            <w:vAlign w:val="center"/>
            <w:shd w:val="clear" w:color="auto" w:fill="F9F9F9"/>
          </w:tcPr>
          <w:p>
            <w:pPr>
              <w:spacing w:before="50" w:after="50"/>
              <w:jc w:val="left"/>
            </w:pPr>
            <w:r>
              <w:rPr>
                <w:rFonts w:ascii="Calibri" w:hAnsi="Calibri"/>
                <w:b w:val="0"/>
                <w:color w:val="000000"/>
                <w:sz w:val="17"/>
              </w:rPr>
              <w:t>BGP anycast + ML</w:t>
            </w:r>
          </w:p>
        </w:tc>
        <w:tc>
          <w:tcPr>
            <w:tcW w:type="dxa" w:w="1134"/>
            <w:vAlign w:val="center"/>
            <w:shd w:val="clear" w:color="auto" w:fill="F9F9F9"/>
          </w:tcPr>
          <w:p>
            <w:pPr>
              <w:spacing w:before="50" w:after="50"/>
              <w:jc w:val="center"/>
            </w:pPr>
            <w:r>
              <w:rPr>
                <w:rFonts w:ascii="Calibri" w:hAnsi="Calibri"/>
                <w:b w:val="0"/>
                <w:color w:val="000000"/>
                <w:sz w:val="17"/>
              </w:rPr>
              <w:t>None</w:t>
            </w:r>
          </w:p>
        </w:tc>
        <w:tc>
          <w:tcPr>
            <w:tcW w:type="dxa" w:w="1814"/>
            <w:vAlign w:val="center"/>
            <w:shd w:val="clear" w:color="auto" w:fill="F9F9F9"/>
          </w:tcPr>
          <w:p>
            <w:pPr>
              <w:spacing w:before="50" w:after="50"/>
              <w:jc w:val="left"/>
            </w:pPr>
            <w:r>
              <w:rPr>
                <w:rFonts w:ascii="Calibri" w:hAnsi="Calibri"/>
                <w:b w:val="0"/>
                <w:color w:val="000000"/>
                <w:sz w:val="17"/>
              </w:rPr>
              <w:t>Internet-facing SaaS</w:t>
            </w:r>
          </w:p>
        </w:tc>
      </w:tr>
      <w:tr>
        <w:tc>
          <w:tcPr>
            <w:tcW w:type="dxa" w:w="2041"/>
            <w:vAlign w:val="center"/>
            <w:shd w:val="clear" w:color="auto" w:fill="FFFFFF"/>
          </w:tcPr>
          <w:p>
            <w:pPr>
              <w:spacing w:before="50" w:after="50"/>
              <w:jc w:val="left"/>
            </w:pPr>
            <w:r>
              <w:rPr>
                <w:rFonts w:ascii="Calibri" w:hAnsi="Calibri"/>
                <w:b w:val="0"/>
                <w:color w:val="000000"/>
                <w:sz w:val="17"/>
              </w:rPr>
              <w:t>Cisco Firepower 4100 [17]</w:t>
            </w:r>
          </w:p>
        </w:tc>
        <w:tc>
          <w:tcPr>
            <w:tcW w:type="dxa" w:w="1587"/>
            <w:vAlign w:val="center"/>
            <w:shd w:val="clear" w:color="auto" w:fill="FFFFFF"/>
          </w:tcPr>
          <w:p>
            <w:pPr>
              <w:spacing w:before="50" w:after="50"/>
              <w:jc w:val="left"/>
            </w:pPr>
            <w:r>
              <w:rPr>
                <w:rFonts w:ascii="Calibri" w:hAnsi="Calibri"/>
                <w:b w:val="0"/>
                <w:color w:val="000000"/>
                <w:sz w:val="17"/>
              </w:rPr>
              <w:t>NGIPS appliance</w:t>
            </w:r>
          </w:p>
        </w:tc>
        <w:tc>
          <w:tcPr>
            <w:tcW w:type="dxa" w:w="2154"/>
            <w:vAlign w:val="center"/>
            <w:shd w:val="clear" w:color="auto" w:fill="FFFFFF"/>
          </w:tcPr>
          <w:p>
            <w:pPr>
              <w:spacing w:before="50" w:after="50"/>
              <w:jc w:val="left"/>
            </w:pPr>
            <w:r>
              <w:rPr>
                <w:rFonts w:ascii="Calibri" w:hAnsi="Calibri"/>
                <w:b w:val="0"/>
                <w:color w:val="000000"/>
                <w:sz w:val="17"/>
              </w:rPr>
              <w:t>Talos + Snort</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color w:val="000000"/>
                <w:sz w:val="17"/>
              </w:rPr>
              <w:t>Autonomous Agent (ours)</w:t>
            </w:r>
          </w:p>
        </w:tc>
        <w:tc>
          <w:tcPr>
            <w:tcW w:type="dxa" w:w="1587"/>
            <w:vAlign w:val="center"/>
            <w:shd w:val="clear" w:color="auto" w:fill="F9F9F9"/>
          </w:tcPr>
          <w:p>
            <w:pPr>
              <w:spacing w:before="50" w:after="50"/>
              <w:jc w:val="left"/>
            </w:pPr>
            <w:r>
              <w:rPr>
                <w:rFonts w:ascii="Calibri" w:hAnsi="Calibri"/>
                <w:b/>
                <w:color w:val="000000"/>
                <w:sz w:val="17"/>
              </w:rPr>
              <w:t>Hybrid inline</w:t>
            </w:r>
          </w:p>
        </w:tc>
        <w:tc>
          <w:tcPr>
            <w:tcW w:type="dxa" w:w="2154"/>
            <w:vAlign w:val="center"/>
            <w:shd w:val="clear" w:color="auto" w:fill="F9F9F9"/>
          </w:tcPr>
          <w:p>
            <w:pPr>
              <w:spacing w:before="50" w:after="50"/>
              <w:jc w:val="left"/>
            </w:pPr>
            <w:r>
              <w:rPr>
                <w:rFonts w:ascii="Calibri" w:hAnsi="Calibri"/>
                <w:b/>
                <w:color w:val="000000"/>
                <w:sz w:val="17"/>
              </w:rPr>
              <w:t>eBPF/XDP + local LLM</w:t>
            </w:r>
          </w:p>
        </w:tc>
        <w:tc>
          <w:tcPr>
            <w:tcW w:type="dxa" w:w="1134"/>
            <w:vAlign w:val="center"/>
            <w:shd w:val="clear" w:color="auto" w:fill="F9F9F9"/>
          </w:tcPr>
          <w:p>
            <w:pPr>
              <w:spacing w:before="50" w:after="50"/>
              <w:jc w:val="center"/>
            </w:pPr>
            <w:r>
              <w:rPr>
                <w:rFonts w:ascii="Calibri" w:hAnsi="Calibri"/>
                <w:b/>
                <w:color w:val="000000"/>
                <w:sz w:val="17"/>
              </w:rPr>
              <w:t>100%</w:t>
            </w:r>
          </w:p>
        </w:tc>
        <w:tc>
          <w:tcPr>
            <w:tcW w:type="dxa" w:w="1814"/>
            <w:vAlign w:val="center"/>
            <w:shd w:val="clear" w:color="auto" w:fill="F9F9F9"/>
          </w:tcPr>
          <w:p>
            <w:pPr>
              <w:spacing w:before="50" w:after="50"/>
              <w:jc w:val="left"/>
            </w:pPr>
            <w:r>
              <w:rPr>
                <w:rFonts w:ascii="Calibri" w:hAnsi="Calibri"/>
                <w:b/>
                <w:color w:val="000000"/>
                <w:sz w:val="17"/>
              </w:rPr>
              <w:t>Any / air-gap</w:t>
            </w:r>
          </w:p>
        </w:tc>
      </w:tr>
    </w:tbl>
    <w:p>
      <w:pPr>
        <w:spacing w:before="40" w:after="160"/>
        <w:jc w:val="center"/>
      </w:pPr>
      <w:r>
        <w:rPr>
          <w:rFonts w:ascii="Calibri" w:hAnsi="Calibri"/>
          <w:i/>
          <w:color w:val="333333"/>
          <w:sz w:val="18"/>
        </w:rPr>
        <w:t>Table II: Reference systems and deployment categories.</w:t>
      </w:r>
    </w:p>
    <w:p>
      <w:pPr>
        <w:spacing w:before="120" w:after="40"/>
        <w:jc w:val="center"/>
      </w:pPr>
      <w:r>
        <w:drawing>
          <wp:inline xmlns:a="http://schemas.openxmlformats.org/drawingml/2006/main" xmlns:pic="http://schemas.openxmlformats.org/drawingml/2006/picture">
            <wp:extent cx="4500000" cy="3500000"/>
            <wp:docPr id="2" name="Picture 2"/>
            <wp:cNvGraphicFramePr>
              <a:graphicFrameLocks noChangeAspect="1"/>
            </wp:cNvGraphicFramePr>
            <a:graphic>
              <a:graphicData uri="http://schemas.openxmlformats.org/drawingml/2006/picture">
                <pic:pic>
                  <pic:nvPicPr>
                    <pic:cNvPr id="0" name="fig2_architecture_comparison.png"/>
                    <pic:cNvPicPr/>
                  </pic:nvPicPr>
                  <pic:blipFill>
                    <a:blip r:embed="rId11"/>
                    <a:stretch>
                      <a:fillRect/>
                    </a:stretch>
                  </pic:blipFill>
                  <pic:spPr>
                    <a:xfrm>
                      <a:off x="0" y="0"/>
                      <a:ext cx="4500000" cy="3500000"/>
                    </a:xfrm>
                    <a:prstGeom prst="rect"/>
                  </pic:spPr>
                </pic:pic>
              </a:graphicData>
            </a:graphic>
          </wp:inline>
        </w:drawing>
      </w:r>
    </w:p>
    <w:p>
      <w:pPr>
        <w:spacing w:before="40" w:after="160"/>
        <w:jc w:val="center"/>
      </w:pPr>
      <w:r>
        <w:rPr>
          <w:rFonts w:ascii="Calibri" w:hAnsi="Calibri"/>
          <w:i/>
          <w:color w:val="000000"/>
          <w:sz w:val="17"/>
        </w:rPr>
        <w:t>Fig. 2: Architectural sovereignty, air-gap capability, and autonomy comparison.</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Calibri" w:hAnsi="Calibri"/>
                <w:b/>
                <w:color w:val="FFFFFF"/>
                <w:sz w:val="17"/>
              </w:rPr>
              <w:t>Metric</w:t>
            </w:r>
          </w:p>
        </w:tc>
        <w:tc>
          <w:tcPr>
            <w:tcW w:type="dxa" w:w="907"/>
            <w:shd w:val="clear" w:color="auto" w:fill="111827"/>
            <w:vAlign w:val="center"/>
          </w:tcPr>
          <w:p>
            <w:pPr>
              <w:spacing w:before="60" w:after="60"/>
              <w:jc w:val="center"/>
            </w:pPr>
            <w:r>
              <w:rPr>
                <w:rFonts w:ascii="Calibri" w:hAnsi="Calibri"/>
                <w:b/>
                <w:color w:val="FFFFFF"/>
                <w:sz w:val="17"/>
              </w:rPr>
              <w:t>Snort 3.x</w:t>
            </w:r>
          </w:p>
        </w:tc>
        <w:tc>
          <w:tcPr>
            <w:tcW w:type="dxa" w:w="1020"/>
            <w:shd w:val="clear" w:color="auto" w:fill="111827"/>
            <w:vAlign w:val="center"/>
          </w:tcPr>
          <w:p>
            <w:pPr>
              <w:spacing w:before="60" w:after="60"/>
              <w:jc w:val="center"/>
            </w:pPr>
            <w:r>
              <w:rPr>
                <w:rFonts w:ascii="Calibri" w:hAnsi="Calibri"/>
                <w:b/>
                <w:color w:val="FFFFFF"/>
                <w:sz w:val="17"/>
              </w:rPr>
              <w:t>Suricata 7.x</w:t>
            </w:r>
          </w:p>
        </w:tc>
        <w:tc>
          <w:tcPr>
            <w:tcW w:type="dxa" w:w="1020"/>
            <w:shd w:val="clear" w:color="auto" w:fill="111827"/>
            <w:vAlign w:val="center"/>
          </w:tcPr>
          <w:p>
            <w:pPr>
              <w:spacing w:before="60" w:after="60"/>
              <w:jc w:val="center"/>
            </w:pPr>
            <w:r>
              <w:rPr>
                <w:rFonts w:ascii="Calibri" w:hAnsi="Calibri"/>
                <w:b/>
                <w:color w:val="FFFFFF"/>
                <w:sz w:val="17"/>
              </w:rPr>
              <w:t>Palo Alto</w:t>
            </w:r>
          </w:p>
        </w:tc>
        <w:tc>
          <w:tcPr>
            <w:tcW w:type="dxa" w:w="1134"/>
            <w:shd w:val="clear" w:color="auto" w:fill="111827"/>
            <w:vAlign w:val="center"/>
          </w:tcPr>
          <w:p>
            <w:pPr>
              <w:spacing w:before="60" w:after="60"/>
              <w:jc w:val="center"/>
            </w:pPr>
            <w:r>
              <w:rPr>
                <w:rFonts w:ascii="Calibri" w:hAnsi="Calibri"/>
                <w:b/>
                <w:color w:val="FFFFFF"/>
                <w:sz w:val="17"/>
              </w:rPr>
              <w:t>Cloudflare MT</w:t>
            </w:r>
          </w:p>
        </w:tc>
        <w:tc>
          <w:tcPr>
            <w:tcW w:type="dxa" w:w="907"/>
            <w:shd w:val="clear" w:color="auto" w:fill="111827"/>
            <w:vAlign w:val="center"/>
          </w:tcPr>
          <w:p>
            <w:pPr>
              <w:spacing w:before="60" w:after="60"/>
              <w:jc w:val="center"/>
            </w:pPr>
            <w:r>
              <w:rPr>
                <w:rFonts w:ascii="Calibri" w:hAnsi="Calibri"/>
                <w:b/>
                <w:color w:val="FFFFFF"/>
                <w:sz w:val="17"/>
              </w:rPr>
              <w:t>Cisco FP</w:t>
            </w:r>
          </w:p>
        </w:tc>
        <w:tc>
          <w:tcPr>
            <w:tcW w:type="dxa" w:w="1644"/>
            <w:shd w:val="clear" w:color="auto" w:fill="111827"/>
            <w:vAlign w:val="center"/>
          </w:tcPr>
          <w:p>
            <w:pPr>
              <w:spacing w:before="60" w:after="60"/>
              <w:jc w:val="center"/>
            </w:pPr>
            <w:r>
              <w:rPr>
                <w:rFonts w:ascii="Calibri" w:hAnsi="Calibri"/>
                <w:b/>
                <w:color w:val="FFFFFF"/>
                <w:sz w:val="17"/>
              </w:rPr>
              <w:t>Autonomous Agent (ours)</w:t>
            </w:r>
          </w:p>
        </w:tc>
      </w:tr>
      <w:tr>
        <w:tc>
          <w:tcPr>
            <w:tcW w:type="dxa" w:w="1871"/>
            <w:vAlign w:val="center"/>
            <w:shd w:val="clear" w:color="auto" w:fill="FFFFFF"/>
          </w:tcPr>
          <w:p>
            <w:pPr>
              <w:spacing w:before="50" w:after="50"/>
              <w:jc w:val="left"/>
            </w:pPr>
            <w:r>
              <w:rPr>
                <w:rFonts w:ascii="Calibri" w:hAnsi="Calibri"/>
                <w:b w:val="0"/>
                <w:color w:val="000000"/>
                <w:sz w:val="17"/>
              </w:rPr>
              <w:t>Evasion Recall / TPR (%)</w:t>
            </w:r>
          </w:p>
        </w:tc>
        <w:tc>
          <w:tcPr>
            <w:tcW w:type="dxa" w:w="907"/>
            <w:vAlign w:val="center"/>
            <w:shd w:val="clear" w:color="auto" w:fill="FFFFFF"/>
          </w:tcPr>
          <w:p>
            <w:pPr>
              <w:spacing w:before="50" w:after="50"/>
              <w:jc w:val="center"/>
            </w:pPr>
            <w:r>
              <w:rPr>
                <w:rFonts w:ascii="Calibri" w:hAnsi="Calibri"/>
                <w:b w:val="0"/>
                <w:color w:val="000000"/>
                <w:sz w:val="17"/>
              </w:rPr>
              <w:t>68.4</w:t>
            </w:r>
          </w:p>
        </w:tc>
        <w:tc>
          <w:tcPr>
            <w:tcW w:type="dxa" w:w="1020"/>
            <w:vAlign w:val="center"/>
            <w:shd w:val="clear" w:color="auto" w:fill="FFFFFF"/>
          </w:tcPr>
          <w:p>
            <w:pPr>
              <w:spacing w:before="50" w:after="50"/>
              <w:jc w:val="center"/>
            </w:pPr>
            <w:r>
              <w:rPr>
                <w:rFonts w:ascii="Calibri" w:hAnsi="Calibri"/>
                <w:b w:val="0"/>
                <w:color w:val="000000"/>
                <w:sz w:val="17"/>
              </w:rPr>
              <w:t>71.2</w:t>
            </w:r>
          </w:p>
        </w:tc>
        <w:tc>
          <w:tcPr>
            <w:tcW w:type="dxa" w:w="1020"/>
            <w:vAlign w:val="center"/>
            <w:shd w:val="clear" w:color="auto" w:fill="FFFFFF"/>
          </w:tcPr>
          <w:p>
            <w:pPr>
              <w:spacing w:before="50" w:after="50"/>
              <w:jc w:val="center"/>
            </w:pPr>
            <w:r>
              <w:rPr>
                <w:rFonts w:ascii="Calibri" w:hAnsi="Calibri"/>
                <w:b w:val="0"/>
                <w:color w:val="000000"/>
                <w:sz w:val="17"/>
              </w:rPr>
              <w:t>89.2</w:t>
            </w:r>
          </w:p>
        </w:tc>
        <w:tc>
          <w:tcPr>
            <w:tcW w:type="dxa" w:w="1134"/>
            <w:vAlign w:val="center"/>
            <w:shd w:val="clear" w:color="auto" w:fill="FFFFFF"/>
          </w:tcPr>
          <w:p>
            <w:pPr>
              <w:spacing w:before="50" w:after="50"/>
              <w:jc w:val="center"/>
            </w:pPr>
            <w:r>
              <w:rPr>
                <w:rFonts w:ascii="Calibri" w:hAnsi="Calibri"/>
                <w:b w:val="0"/>
                <w:color w:val="000000"/>
                <w:sz w:val="17"/>
              </w:rPr>
              <w:t>87.6</w:t>
            </w:r>
          </w:p>
        </w:tc>
        <w:tc>
          <w:tcPr>
            <w:tcW w:type="dxa" w:w="907"/>
            <w:vAlign w:val="center"/>
            <w:shd w:val="clear" w:color="auto" w:fill="FFFFFF"/>
          </w:tcPr>
          <w:p>
            <w:pPr>
              <w:spacing w:before="50" w:after="50"/>
              <w:jc w:val="center"/>
            </w:pPr>
            <w:r>
              <w:rPr>
                <w:rFonts w:ascii="Calibri" w:hAnsi="Calibri"/>
                <w:b w:val="0"/>
                <w:color w:val="000000"/>
                <w:sz w:val="17"/>
              </w:rPr>
              <w:t>85.4</w:t>
            </w:r>
          </w:p>
        </w:tc>
        <w:tc>
          <w:tcPr>
            <w:tcW w:type="dxa" w:w="1644"/>
            <w:vAlign w:val="center"/>
            <w:shd w:val="clear" w:color="auto" w:fill="F1F5F9"/>
          </w:tcPr>
          <w:p>
            <w:pPr>
              <w:spacing w:before="50" w:after="50"/>
              <w:jc w:val="center"/>
            </w:pPr>
            <w:r>
              <w:rPr>
                <w:rFonts w:ascii="Calibri" w:hAnsi="Calibri"/>
                <w:b/>
                <w:color w:val="000000"/>
                <w:sz w:val="17"/>
              </w:rPr>
              <w:t>98.64</w:t>
            </w:r>
          </w:p>
        </w:tc>
      </w:tr>
      <w:tr>
        <w:tc>
          <w:tcPr>
            <w:tcW w:type="dxa" w:w="1871"/>
            <w:vAlign w:val="center"/>
            <w:shd w:val="clear" w:color="auto" w:fill="F9F9F9"/>
          </w:tcPr>
          <w:p>
            <w:pPr>
              <w:spacing w:before="50" w:after="50"/>
              <w:jc w:val="left"/>
            </w:pPr>
            <w:r>
              <w:rPr>
                <w:rFonts w:ascii="Calibri" w:hAnsi="Calibri"/>
                <w:b w:val="0"/>
                <w:color w:val="000000"/>
                <w:sz w:val="17"/>
              </w:rPr>
              <w:t>False Positive Rate (%)</w:t>
            </w:r>
          </w:p>
        </w:tc>
        <w:tc>
          <w:tcPr>
            <w:tcW w:type="dxa" w:w="907"/>
            <w:vAlign w:val="center"/>
            <w:shd w:val="clear" w:color="auto" w:fill="F9F9F9"/>
          </w:tcPr>
          <w:p>
            <w:pPr>
              <w:spacing w:before="50" w:after="50"/>
              <w:jc w:val="center"/>
            </w:pPr>
            <w:r>
              <w:rPr>
                <w:rFonts w:ascii="Calibri" w:hAnsi="Calibri"/>
                <w:b w:val="0"/>
                <w:color w:val="000000"/>
                <w:sz w:val="17"/>
              </w:rPr>
              <w:t>14.8</w:t>
            </w:r>
          </w:p>
        </w:tc>
        <w:tc>
          <w:tcPr>
            <w:tcW w:type="dxa" w:w="1020"/>
            <w:vAlign w:val="center"/>
            <w:shd w:val="clear" w:color="auto" w:fill="F9F9F9"/>
          </w:tcPr>
          <w:p>
            <w:pPr>
              <w:spacing w:before="50" w:after="50"/>
              <w:jc w:val="center"/>
            </w:pPr>
            <w:r>
              <w:rPr>
                <w:rFonts w:ascii="Calibri" w:hAnsi="Calibri"/>
                <w:b w:val="0"/>
                <w:color w:val="000000"/>
                <w:sz w:val="17"/>
              </w:rPr>
              <w:t>11.3</w:t>
            </w:r>
          </w:p>
        </w:tc>
        <w:tc>
          <w:tcPr>
            <w:tcW w:type="dxa" w:w="1020"/>
            <w:vAlign w:val="center"/>
            <w:shd w:val="clear" w:color="auto" w:fill="F9F9F9"/>
          </w:tcPr>
          <w:p>
            <w:pPr>
              <w:spacing w:before="50" w:after="50"/>
              <w:jc w:val="center"/>
            </w:pPr>
            <w:r>
              <w:rPr>
                <w:rFonts w:ascii="Calibri" w:hAnsi="Calibri"/>
                <w:b w:val="0"/>
                <w:color w:val="000000"/>
                <w:sz w:val="17"/>
              </w:rPr>
              <w:t>4.5</w:t>
            </w:r>
          </w:p>
        </w:tc>
        <w:tc>
          <w:tcPr>
            <w:tcW w:type="dxa" w:w="1134"/>
            <w:vAlign w:val="center"/>
            <w:shd w:val="clear" w:color="auto" w:fill="F9F9F9"/>
          </w:tcPr>
          <w:p>
            <w:pPr>
              <w:spacing w:before="50" w:after="50"/>
              <w:jc w:val="center"/>
            </w:pPr>
            <w:r>
              <w:rPr>
                <w:rFonts w:ascii="Calibri" w:hAnsi="Calibri"/>
                <w:b w:val="0"/>
                <w:color w:val="000000"/>
                <w:sz w:val="17"/>
              </w:rPr>
              <w:t>5.1</w:t>
            </w:r>
          </w:p>
        </w:tc>
        <w:tc>
          <w:tcPr>
            <w:tcW w:type="dxa" w:w="907"/>
            <w:vAlign w:val="center"/>
            <w:shd w:val="clear" w:color="auto" w:fill="F9F9F9"/>
          </w:tcPr>
          <w:p>
            <w:pPr>
              <w:spacing w:before="50" w:after="50"/>
              <w:jc w:val="center"/>
            </w:pPr>
            <w:r>
              <w:rPr>
                <w:rFonts w:ascii="Calibri" w:hAnsi="Calibri"/>
                <w:b w:val="0"/>
                <w:color w:val="000000"/>
                <w:sz w:val="17"/>
              </w:rPr>
              <w:t>6.2</w:t>
            </w:r>
          </w:p>
        </w:tc>
        <w:tc>
          <w:tcPr>
            <w:tcW w:type="dxa" w:w="1644"/>
            <w:vAlign w:val="center"/>
            <w:shd w:val="clear" w:color="auto" w:fill="F1F5F9"/>
          </w:tcPr>
          <w:p>
            <w:pPr>
              <w:spacing w:before="50" w:after="50"/>
              <w:jc w:val="center"/>
            </w:pPr>
            <w:r>
              <w:rPr>
                <w:rFonts w:ascii="Calibri" w:hAnsi="Calibri"/>
                <w:b/>
                <w:color w:val="000000"/>
                <w:sz w:val="17"/>
              </w:rPr>
              <w:t>0.12</w:t>
            </w:r>
          </w:p>
        </w:tc>
      </w:tr>
      <w:tr>
        <w:tc>
          <w:tcPr>
            <w:tcW w:type="dxa" w:w="1871"/>
            <w:vAlign w:val="center"/>
            <w:shd w:val="clear" w:color="auto" w:fill="FFFFFF"/>
          </w:tcPr>
          <w:p>
            <w:pPr>
              <w:spacing w:before="50" w:after="50"/>
              <w:jc w:val="left"/>
            </w:pPr>
            <w:r>
              <w:rPr>
                <w:rFonts w:ascii="Calibri" w:hAnsi="Calibri"/>
                <w:b w:val="0"/>
                <w:color w:val="000000"/>
                <w:sz w:val="17"/>
              </w:rPr>
              <w:t>Encrypted C2 Detect. (%)</w:t>
            </w:r>
          </w:p>
        </w:tc>
        <w:tc>
          <w:tcPr>
            <w:tcW w:type="dxa" w:w="907"/>
            <w:vAlign w:val="center"/>
            <w:shd w:val="clear" w:color="auto" w:fill="FFFFFF"/>
          </w:tcPr>
          <w:p>
            <w:pPr>
              <w:spacing w:before="50" w:after="50"/>
              <w:jc w:val="center"/>
            </w:pPr>
            <w:r>
              <w:rPr>
                <w:rFonts w:ascii="Calibri" w:hAnsi="Calibri"/>
                <w:b w:val="0"/>
                <w:color w:val="000000"/>
                <w:sz w:val="17"/>
              </w:rPr>
              <w:t>12.0</w:t>
            </w:r>
          </w:p>
        </w:tc>
        <w:tc>
          <w:tcPr>
            <w:tcW w:type="dxa" w:w="1020"/>
            <w:vAlign w:val="center"/>
            <w:shd w:val="clear" w:color="auto" w:fill="FFFFFF"/>
          </w:tcPr>
          <w:p>
            <w:pPr>
              <w:spacing w:before="50" w:after="50"/>
              <w:jc w:val="center"/>
            </w:pPr>
            <w:r>
              <w:rPr>
                <w:rFonts w:ascii="Calibri" w:hAnsi="Calibri"/>
                <w:b w:val="0"/>
                <w:color w:val="000000"/>
                <w:sz w:val="17"/>
              </w:rPr>
              <w:t>18.5</w:t>
            </w:r>
          </w:p>
        </w:tc>
        <w:tc>
          <w:tcPr>
            <w:tcW w:type="dxa" w:w="1020"/>
            <w:vAlign w:val="center"/>
            <w:shd w:val="clear" w:color="auto" w:fill="FFFFFF"/>
          </w:tcPr>
          <w:p>
            <w:pPr>
              <w:spacing w:before="50" w:after="50"/>
              <w:jc w:val="center"/>
            </w:pPr>
            <w:r>
              <w:rPr>
                <w:rFonts w:ascii="Calibri" w:hAnsi="Calibri"/>
                <w:b w:val="0"/>
                <w:color w:val="000000"/>
                <w:sz w:val="17"/>
              </w:rPr>
              <w:t>72.3</w:t>
            </w:r>
          </w:p>
        </w:tc>
        <w:tc>
          <w:tcPr>
            <w:tcW w:type="dxa" w:w="1134"/>
            <w:vAlign w:val="center"/>
            <w:shd w:val="clear" w:color="auto" w:fill="FFFFFF"/>
          </w:tcPr>
          <w:p>
            <w:pPr>
              <w:spacing w:before="50" w:after="50"/>
              <w:jc w:val="center"/>
            </w:pPr>
            <w:r>
              <w:rPr>
                <w:rFonts w:ascii="Calibri" w:hAnsi="Calibri"/>
                <w:b w:val="0"/>
                <w:color w:val="000000"/>
                <w:sz w:val="17"/>
              </w:rPr>
              <w:t>68.0</w:t>
            </w:r>
          </w:p>
        </w:tc>
        <w:tc>
          <w:tcPr>
            <w:tcW w:type="dxa" w:w="907"/>
            <w:vAlign w:val="center"/>
            <w:shd w:val="clear" w:color="auto" w:fill="FFFFFF"/>
          </w:tcPr>
          <w:p>
            <w:pPr>
              <w:spacing w:before="50" w:after="50"/>
              <w:jc w:val="center"/>
            </w:pPr>
            <w:r>
              <w:rPr>
                <w:rFonts w:ascii="Calibri" w:hAnsi="Calibri"/>
                <w:b w:val="0"/>
                <w:color w:val="000000"/>
                <w:sz w:val="17"/>
              </w:rPr>
              <w:t>64.1</w:t>
            </w:r>
          </w:p>
        </w:tc>
        <w:tc>
          <w:tcPr>
            <w:tcW w:type="dxa" w:w="1644"/>
            <w:vAlign w:val="center"/>
            <w:shd w:val="clear" w:color="auto" w:fill="F1F5F9"/>
          </w:tcPr>
          <w:p>
            <w:pPr>
              <w:spacing w:before="50" w:after="50"/>
              <w:jc w:val="center"/>
            </w:pPr>
            <w:r>
              <w:rPr>
                <w:rFonts w:ascii="Calibri" w:hAnsi="Calibri"/>
                <w:b/>
                <w:color w:val="000000"/>
                <w:sz w:val="17"/>
              </w:rPr>
              <w:t>87.9</w:t>
            </w:r>
          </w:p>
        </w:tc>
      </w:tr>
      <w:tr>
        <w:tc>
          <w:tcPr>
            <w:tcW w:type="dxa" w:w="1871"/>
            <w:vAlign w:val="center"/>
            <w:shd w:val="clear" w:color="auto" w:fill="F9F9F9"/>
          </w:tcPr>
          <w:p>
            <w:pPr>
              <w:spacing w:before="50" w:after="50"/>
              <w:jc w:val="left"/>
            </w:pPr>
            <w:r>
              <w:rPr>
                <w:rFonts w:ascii="Calibri" w:hAnsi="Calibri"/>
                <w:b w:val="0"/>
                <w:color w:val="000000"/>
                <w:sz w:val="17"/>
              </w:rPr>
              <w:t>Scan Evasion Resist. (%)</w:t>
            </w:r>
          </w:p>
        </w:tc>
        <w:tc>
          <w:tcPr>
            <w:tcW w:type="dxa" w:w="907"/>
            <w:vAlign w:val="center"/>
            <w:shd w:val="clear" w:color="auto" w:fill="F9F9F9"/>
          </w:tcPr>
          <w:p>
            <w:pPr>
              <w:spacing w:before="50" w:after="50"/>
              <w:jc w:val="center"/>
            </w:pPr>
            <w:r>
              <w:rPr>
                <w:rFonts w:ascii="Calibri" w:hAnsi="Calibri"/>
                <w:b w:val="0"/>
                <w:color w:val="000000"/>
                <w:sz w:val="17"/>
              </w:rPr>
              <w:t>41.0</w:t>
            </w:r>
          </w:p>
        </w:tc>
        <w:tc>
          <w:tcPr>
            <w:tcW w:type="dxa" w:w="1020"/>
            <w:vAlign w:val="center"/>
            <w:shd w:val="clear" w:color="auto" w:fill="F9F9F9"/>
          </w:tcPr>
          <w:p>
            <w:pPr>
              <w:spacing w:before="50" w:after="50"/>
              <w:jc w:val="center"/>
            </w:pPr>
            <w:r>
              <w:rPr>
                <w:rFonts w:ascii="Calibri" w:hAnsi="Calibri"/>
                <w:b w:val="0"/>
                <w:color w:val="000000"/>
                <w:sz w:val="17"/>
              </w:rPr>
              <w:t>49.0</w:t>
            </w:r>
          </w:p>
        </w:tc>
        <w:tc>
          <w:tcPr>
            <w:tcW w:type="dxa" w:w="1020"/>
            <w:vAlign w:val="center"/>
            <w:shd w:val="clear" w:color="auto" w:fill="F9F9F9"/>
          </w:tcPr>
          <w:p>
            <w:pPr>
              <w:spacing w:before="50" w:after="50"/>
              <w:jc w:val="center"/>
            </w:pPr>
            <w:r>
              <w:rPr>
                <w:rFonts w:ascii="Calibri" w:hAnsi="Calibri"/>
                <w:b w:val="0"/>
                <w:color w:val="000000"/>
                <w:sz w:val="17"/>
              </w:rPr>
              <w:t>76.0</w:t>
            </w:r>
          </w:p>
        </w:tc>
        <w:tc>
          <w:tcPr>
            <w:tcW w:type="dxa" w:w="1134"/>
            <w:vAlign w:val="center"/>
            <w:shd w:val="clear" w:color="auto" w:fill="F9F9F9"/>
          </w:tcPr>
          <w:p>
            <w:pPr>
              <w:spacing w:before="50" w:after="50"/>
              <w:jc w:val="center"/>
            </w:pPr>
            <w:r>
              <w:rPr>
                <w:rFonts w:ascii="Calibri" w:hAnsi="Calibri"/>
                <w:b w:val="0"/>
                <w:color w:val="000000"/>
                <w:sz w:val="17"/>
              </w:rPr>
              <w:t>N/A</w:t>
            </w:r>
          </w:p>
        </w:tc>
        <w:tc>
          <w:tcPr>
            <w:tcW w:type="dxa" w:w="907"/>
            <w:vAlign w:val="center"/>
            <w:shd w:val="clear" w:color="auto" w:fill="F9F9F9"/>
          </w:tcPr>
          <w:p>
            <w:pPr>
              <w:spacing w:before="50" w:after="50"/>
              <w:jc w:val="center"/>
            </w:pPr>
            <w:r>
              <w:rPr>
                <w:rFonts w:ascii="Calibri" w:hAnsi="Calibri"/>
                <w:b w:val="0"/>
                <w:color w:val="000000"/>
                <w:sz w:val="17"/>
              </w:rPr>
              <w:t>71.0</w:t>
            </w:r>
          </w:p>
        </w:tc>
        <w:tc>
          <w:tcPr>
            <w:tcW w:type="dxa" w:w="1644"/>
            <w:vAlign w:val="center"/>
            <w:shd w:val="clear" w:color="auto" w:fill="F1F5F9"/>
          </w:tcPr>
          <w:p>
            <w:pPr>
              <w:spacing w:before="50" w:after="50"/>
              <w:jc w:val="center"/>
            </w:pPr>
            <w:r>
              <w:rPr>
                <w:rFonts w:ascii="Calibri" w:hAnsi="Calibri"/>
                <w:b/>
                <w:color w:val="000000"/>
                <w:sz w:val="17"/>
              </w:rPr>
              <w:t>96.8</w:t>
            </w:r>
          </w:p>
        </w:tc>
      </w:tr>
      <w:tr>
        <w:tc>
          <w:tcPr>
            <w:tcW w:type="dxa" w:w="1871"/>
            <w:vAlign w:val="center"/>
            <w:shd w:val="clear" w:color="auto" w:fill="FFFFFF"/>
          </w:tcPr>
          <w:p>
            <w:pPr>
              <w:spacing w:before="50" w:after="50"/>
              <w:jc w:val="left"/>
            </w:pPr>
            <w:r>
              <w:rPr>
                <w:rFonts w:ascii="Calibri" w:hAnsi="Calibri"/>
                <w:b w:val="0"/>
                <w:color w:val="000000"/>
                <w:sz w:val="17"/>
              </w:rPr>
              <w:t>Adversarial Robust. (%)</w:t>
            </w:r>
          </w:p>
        </w:tc>
        <w:tc>
          <w:tcPr>
            <w:tcW w:type="dxa" w:w="907"/>
            <w:vAlign w:val="center"/>
            <w:shd w:val="clear" w:color="auto" w:fill="FFFFFF"/>
          </w:tcPr>
          <w:p>
            <w:pPr>
              <w:spacing w:before="50" w:after="50"/>
              <w:jc w:val="center"/>
            </w:pPr>
            <w:r>
              <w:rPr>
                <w:rFonts w:ascii="Calibri" w:hAnsi="Calibri"/>
                <w:b w:val="0"/>
                <w:color w:val="000000"/>
                <w:sz w:val="17"/>
              </w:rPr>
              <w:t>29.0</w:t>
            </w:r>
          </w:p>
        </w:tc>
        <w:tc>
          <w:tcPr>
            <w:tcW w:type="dxa" w:w="1020"/>
            <w:vAlign w:val="center"/>
            <w:shd w:val="clear" w:color="auto" w:fill="FFFFFF"/>
          </w:tcPr>
          <w:p>
            <w:pPr>
              <w:spacing w:before="50" w:after="50"/>
              <w:jc w:val="center"/>
            </w:pPr>
            <w:r>
              <w:rPr>
                <w:rFonts w:ascii="Calibri" w:hAnsi="Calibri"/>
                <w:b w:val="0"/>
                <w:color w:val="000000"/>
                <w:sz w:val="17"/>
              </w:rPr>
              <w:t>34.0</w:t>
            </w:r>
          </w:p>
        </w:tc>
        <w:tc>
          <w:tcPr>
            <w:tcW w:type="dxa" w:w="1020"/>
            <w:vAlign w:val="center"/>
            <w:shd w:val="clear" w:color="auto" w:fill="FFFFFF"/>
          </w:tcPr>
          <w:p>
            <w:pPr>
              <w:spacing w:before="50" w:after="50"/>
              <w:jc w:val="center"/>
            </w:pPr>
            <w:r>
              <w:rPr>
                <w:rFonts w:ascii="Calibri" w:hAnsi="Calibri"/>
                <w:b w:val="0"/>
                <w:color w:val="000000"/>
                <w:sz w:val="17"/>
              </w:rPr>
              <w:t>67.0</w:t>
            </w:r>
          </w:p>
        </w:tc>
        <w:tc>
          <w:tcPr>
            <w:tcW w:type="dxa" w:w="1134"/>
            <w:vAlign w:val="center"/>
            <w:shd w:val="clear" w:color="auto" w:fill="FFFFFF"/>
          </w:tcPr>
          <w:p>
            <w:pPr>
              <w:spacing w:before="50" w:after="50"/>
              <w:jc w:val="center"/>
            </w:pPr>
            <w:r>
              <w:rPr>
                <w:rFonts w:ascii="Calibri" w:hAnsi="Calibri"/>
                <w:b w:val="0"/>
                <w:color w:val="000000"/>
                <w:sz w:val="17"/>
              </w:rPr>
              <w:t>61.0</w:t>
            </w:r>
          </w:p>
        </w:tc>
        <w:tc>
          <w:tcPr>
            <w:tcW w:type="dxa" w:w="907"/>
            <w:vAlign w:val="center"/>
            <w:shd w:val="clear" w:color="auto" w:fill="FFFFFF"/>
          </w:tcPr>
          <w:p>
            <w:pPr>
              <w:spacing w:before="50" w:after="50"/>
              <w:jc w:val="center"/>
            </w:pPr>
            <w:r>
              <w:rPr>
                <w:rFonts w:ascii="Calibri" w:hAnsi="Calibri"/>
                <w:b w:val="0"/>
                <w:color w:val="000000"/>
                <w:sz w:val="17"/>
              </w:rPr>
              <w:t>59.0</w:t>
            </w:r>
          </w:p>
        </w:tc>
        <w:tc>
          <w:tcPr>
            <w:tcW w:type="dxa" w:w="1644"/>
            <w:vAlign w:val="center"/>
            <w:shd w:val="clear" w:color="auto" w:fill="F1F5F9"/>
          </w:tcPr>
          <w:p>
            <w:pPr>
              <w:spacing w:before="50" w:after="50"/>
              <w:jc w:val="center"/>
            </w:pPr>
            <w:r>
              <w:rPr>
                <w:rFonts w:ascii="Calibri" w:hAnsi="Calibri"/>
                <w:b/>
                <w:color w:val="000000"/>
                <w:sz w:val="17"/>
              </w:rPr>
              <w:t>94.1</w:t>
            </w:r>
          </w:p>
        </w:tc>
      </w:tr>
    </w:tbl>
    <w:p>
      <w:pPr>
        <w:spacing w:before="40" w:after="160"/>
        <w:jc w:val="center"/>
      </w:pPr>
      <w:r>
        <w:rPr>
          <w:rFonts w:ascii="Calibri" w:hAnsi="Calibri"/>
          <w:i/>
          <w:color w:val="333333"/>
          <w:sz w:val="18"/>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40"/>
        <w:jc w:val="center"/>
      </w:pPr>
      <w:r>
        <w:drawing>
          <wp:inline xmlns:a="http://schemas.openxmlformats.org/drawingml/2006/main" xmlns:pic="http://schemas.openxmlformats.org/drawingml/2006/picture">
            <wp:extent cx="5400000" cy="2880000"/>
            <wp:docPr id="3" name="Picture 3"/>
            <wp:cNvGraphicFramePr>
              <a:graphicFrameLocks noChangeAspect="1"/>
            </wp:cNvGraphicFramePr>
            <a:graphic>
              <a:graphicData uri="http://schemas.openxmlformats.org/drawingml/2006/picture">
                <pic:pic>
                  <pic:nvPicPr>
                    <pic:cNvPr id="0" name="fig3_detection_accuracy.png"/>
                    <pic:cNvPicPr/>
                  </pic:nvPicPr>
                  <pic:blipFill>
                    <a:blip r:embed="rId12"/>
                    <a:stretch>
                      <a:fillRect/>
                    </a:stretch>
                  </pic:blipFill>
                  <pic:spPr>
                    <a:xfrm>
                      <a:off x="0" y="0"/>
                      <a:ext cx="5400000" cy="2880000"/>
                    </a:xfrm>
                    <a:prstGeom prst="rect"/>
                  </pic:spPr>
                </pic:pic>
              </a:graphicData>
            </a:graphic>
          </wp:inline>
        </w:drawing>
      </w:r>
    </w:p>
    <w:p>
      <w:pPr>
        <w:spacing w:before="40" w:after="160"/>
        <w:jc w:val="center"/>
      </w:pPr>
      <w:r>
        <w:rPr>
          <w:rFonts w:ascii="Calibri" w:hAnsi="Calibri"/>
          <w:i/>
          <w:color w:val="000000"/>
          <w:sz w:val="17"/>
        </w:rPr>
        <w:t>Fig. 3: Detection accuracy and evasion resistance comparison across 10M flows (Table III).</w:t>
      </w:r>
    </w:p>
    <w:p>
      <w:pPr>
        <w:spacing w:before="120" w:after="80"/>
        <w:jc w:val="left"/>
      </w:pPr>
      <w:r>
        <w:rPr>
          <w:rFonts w:ascii="Calibri" w:hAnsi="Calibri"/>
          <w:b/>
          <w:color w:val="000000"/>
          <w:sz w:val="23"/>
        </w:rPr>
        <w:t>C. Latency and Throughput Comparison</w:t>
      </w:r>
    </w:p>
    <w:p>
      <w:pPr>
        <w:spacing w:after="100"/>
        <w:jc w:val="both"/>
      </w:pPr>
      <w:r>
        <w:rPr>
          <w:rFonts w:ascii="Calibri" w:hAnsi="Calibri"/>
          <w:i w:val="0"/>
          <w:color w:val="000000"/>
          <w:sz w:val="21"/>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Calibri" w:hAnsi="Calibri"/>
                <w:b/>
                <w:color w:val="FFFFFF"/>
                <w:sz w:val="17"/>
              </w:rPr>
              <w:t>System</w:t>
            </w:r>
          </w:p>
        </w:tc>
        <w:tc>
          <w:tcPr>
            <w:tcW w:type="dxa" w:w="1814"/>
            <w:shd w:val="clear" w:color="auto" w:fill="111827"/>
            <w:vAlign w:val="center"/>
          </w:tcPr>
          <w:p>
            <w:pPr>
              <w:spacing w:before="60" w:after="60"/>
              <w:jc w:val="center"/>
            </w:pPr>
            <w:r>
              <w:rPr>
                <w:rFonts w:ascii="Calibri" w:hAnsi="Calibri"/>
                <w:b/>
                <w:color w:val="FFFFFF"/>
                <w:sz w:val="17"/>
              </w:rPr>
              <w:t>Data-Plane Latency</w:t>
            </w:r>
          </w:p>
        </w:tc>
        <w:tc>
          <w:tcPr>
            <w:tcW w:type="dxa" w:w="1814"/>
            <w:shd w:val="clear" w:color="auto" w:fill="111827"/>
            <w:vAlign w:val="center"/>
          </w:tcPr>
          <w:p>
            <w:pPr>
              <w:spacing w:before="60" w:after="60"/>
              <w:jc w:val="center"/>
            </w:pPr>
            <w:r>
              <w:rPr>
                <w:rFonts w:ascii="Calibri" w:hAnsi="Calibri"/>
                <w:b/>
                <w:color w:val="FFFFFF"/>
                <w:sz w:val="17"/>
              </w:rPr>
              <w:t>Control-Plane Latency</w:t>
            </w:r>
          </w:p>
        </w:tc>
        <w:tc>
          <w:tcPr>
            <w:tcW w:type="dxa" w:w="1701"/>
            <w:shd w:val="clear" w:color="auto" w:fill="111827"/>
            <w:vAlign w:val="center"/>
          </w:tcPr>
          <w:p>
            <w:pPr>
              <w:spacing w:before="60" w:after="60"/>
              <w:jc w:val="center"/>
            </w:pPr>
            <w:r>
              <w:rPr>
                <w:rFonts w:ascii="Calibri" w:hAnsi="Calibri"/>
                <w:b/>
                <w:color w:val="FFFFFF"/>
                <w:sz w:val="17"/>
              </w:rPr>
              <w:t>Max Throughput</w:t>
            </w:r>
          </w:p>
        </w:tc>
        <w:tc>
          <w:tcPr>
            <w:tcW w:type="dxa" w:w="1701"/>
            <w:shd w:val="clear" w:color="auto" w:fill="111827"/>
            <w:vAlign w:val="center"/>
          </w:tcPr>
          <w:p>
            <w:pPr>
              <w:spacing w:before="60" w:after="60"/>
              <w:jc w:val="center"/>
            </w:pPr>
            <w:r>
              <w:rPr>
                <w:rFonts w:ascii="Calibri" w:hAnsi="Calibri"/>
                <w:b/>
                <w:color w:val="FFFFFF"/>
                <w:sz w:val="17"/>
              </w:rPr>
              <w:t>Architecture</w:t>
            </w:r>
          </w:p>
        </w:tc>
      </w:tr>
      <w:tr>
        <w:tc>
          <w:tcPr>
            <w:tcW w:type="dxa" w:w="1701"/>
            <w:vAlign w:val="center"/>
            <w:shd w:val="clear" w:color="auto" w:fill="FFFFFF"/>
          </w:tcPr>
          <w:p>
            <w:pPr>
              <w:spacing w:before="50" w:after="50"/>
              <w:jc w:val="left"/>
            </w:pPr>
            <w:r>
              <w:rPr>
                <w:rFonts w:ascii="Calibri" w:hAnsi="Calibri"/>
                <w:b w:val="0"/>
                <w:color w:val="000000"/>
                <w:sz w:val="17"/>
              </w:rPr>
              <w:t>Snort 3.x</w:t>
            </w:r>
          </w:p>
        </w:tc>
        <w:tc>
          <w:tcPr>
            <w:tcW w:type="dxa" w:w="1814"/>
            <w:vAlign w:val="center"/>
            <w:shd w:val="clear" w:color="auto" w:fill="FFFFFF"/>
          </w:tcPr>
          <w:p>
            <w:pPr>
              <w:spacing w:before="50" w:after="50"/>
              <w:jc w:val="center"/>
            </w:pPr>
            <w:r>
              <w:rPr>
                <w:rFonts w:ascii="Calibri" w:hAnsi="Calibri"/>
                <w:b w:val="0"/>
                <w:color w:val="000000"/>
                <w:sz w:val="17"/>
              </w:rPr>
              <w:t>250-800 us</w:t>
            </w:r>
          </w:p>
        </w:tc>
        <w:tc>
          <w:tcPr>
            <w:tcW w:type="dxa" w:w="1814"/>
            <w:vAlign w:val="center"/>
            <w:shd w:val="clear" w:color="auto" w:fill="FFFFFF"/>
          </w:tcPr>
          <w:p>
            <w:pPr>
              <w:spacing w:before="50" w:after="50"/>
              <w:jc w:val="center"/>
            </w:pPr>
            <w:r>
              <w:rPr>
                <w:rFonts w:ascii="Calibri" w:hAnsi="Calibri"/>
                <w:b w:val="0"/>
                <w:color w:val="000000"/>
                <w:sz w:val="17"/>
              </w:rPr>
              <w:t>80-200 ms</w:t>
            </w:r>
          </w:p>
        </w:tc>
        <w:tc>
          <w:tcPr>
            <w:tcW w:type="dxa" w:w="1701"/>
            <w:vAlign w:val="center"/>
            <w:shd w:val="clear" w:color="auto" w:fill="FFFFFF"/>
          </w:tcPr>
          <w:p>
            <w:pPr>
              <w:spacing w:before="50" w:after="50"/>
              <w:jc w:val="center"/>
            </w:pPr>
            <w:r>
              <w:rPr>
                <w:rFonts w:ascii="Calibri" w:hAnsi="Calibri"/>
                <w:b w:val="0"/>
                <w:color w:val="000000"/>
                <w:sz w:val="17"/>
              </w:rPr>
              <w:t>~2 Gbps</w:t>
            </w:r>
          </w:p>
        </w:tc>
        <w:tc>
          <w:tcPr>
            <w:tcW w:type="dxa" w:w="1701"/>
            <w:vAlign w:val="center"/>
            <w:shd w:val="clear" w:color="auto" w:fill="FFFFFF"/>
          </w:tcPr>
          <w:p>
            <w:pPr>
              <w:spacing w:before="50" w:after="50"/>
              <w:jc w:val="left"/>
            </w:pPr>
            <w:r>
              <w:rPr>
                <w:rFonts w:ascii="Calibri" w:hAnsi="Calibri"/>
                <w:b w:val="0"/>
                <w:color w:val="000000"/>
                <w:sz w:val="17"/>
              </w:rPr>
              <w:t>User-space DAQ</w:t>
            </w:r>
          </w:p>
        </w:tc>
      </w:tr>
      <w:tr>
        <w:tc>
          <w:tcPr>
            <w:tcW w:type="dxa" w:w="1701"/>
            <w:vAlign w:val="center"/>
            <w:shd w:val="clear" w:color="auto" w:fill="F9F9F9"/>
          </w:tcPr>
          <w:p>
            <w:pPr>
              <w:spacing w:before="50" w:after="50"/>
              <w:jc w:val="left"/>
            </w:pPr>
            <w:r>
              <w:rPr>
                <w:rFonts w:ascii="Calibri" w:hAnsi="Calibri"/>
                <w:b w:val="0"/>
                <w:color w:val="000000"/>
                <w:sz w:val="17"/>
              </w:rPr>
              <w:t>Suricata 7.x</w:t>
            </w:r>
          </w:p>
        </w:tc>
        <w:tc>
          <w:tcPr>
            <w:tcW w:type="dxa" w:w="1814"/>
            <w:vAlign w:val="center"/>
            <w:shd w:val="clear" w:color="auto" w:fill="F9F9F9"/>
          </w:tcPr>
          <w:p>
            <w:pPr>
              <w:spacing w:before="50" w:after="50"/>
              <w:jc w:val="center"/>
            </w:pPr>
            <w:r>
              <w:rPr>
                <w:rFonts w:ascii="Calibri" w:hAnsi="Calibri"/>
                <w:b w:val="0"/>
                <w:color w:val="000000"/>
                <w:sz w:val="17"/>
              </w:rPr>
              <w:t>180-600 us</w:t>
            </w:r>
          </w:p>
        </w:tc>
        <w:tc>
          <w:tcPr>
            <w:tcW w:type="dxa" w:w="1814"/>
            <w:vAlign w:val="center"/>
            <w:shd w:val="clear" w:color="auto" w:fill="F9F9F9"/>
          </w:tcPr>
          <w:p>
            <w:pPr>
              <w:spacing w:before="50" w:after="50"/>
              <w:jc w:val="center"/>
            </w:pPr>
            <w:r>
              <w:rPr>
                <w:rFonts w:ascii="Calibri" w:hAnsi="Calibri"/>
                <w:b w:val="0"/>
                <w:color w:val="000000"/>
                <w:sz w:val="17"/>
              </w:rPr>
              <w:t>50-150 ms</w:t>
            </w:r>
          </w:p>
        </w:tc>
        <w:tc>
          <w:tcPr>
            <w:tcW w:type="dxa" w:w="1701"/>
            <w:vAlign w:val="center"/>
            <w:shd w:val="clear" w:color="auto" w:fill="F9F9F9"/>
          </w:tcPr>
          <w:p>
            <w:pPr>
              <w:spacing w:before="50" w:after="50"/>
              <w:jc w:val="center"/>
            </w:pPr>
            <w:r>
              <w:rPr>
                <w:rFonts w:ascii="Calibri" w:hAnsi="Calibri"/>
                <w:b w:val="0"/>
                <w:color w:val="000000"/>
                <w:sz w:val="17"/>
              </w:rPr>
              <w:t>~4 Gbps</w:t>
            </w:r>
          </w:p>
        </w:tc>
        <w:tc>
          <w:tcPr>
            <w:tcW w:type="dxa" w:w="1701"/>
            <w:vAlign w:val="center"/>
            <w:shd w:val="clear" w:color="auto" w:fill="F9F9F9"/>
          </w:tcPr>
          <w:p>
            <w:pPr>
              <w:spacing w:before="50" w:after="50"/>
              <w:jc w:val="left"/>
            </w:pPr>
            <w:r>
              <w:rPr>
                <w:rFonts w:ascii="Calibri" w:hAnsi="Calibri"/>
                <w:b w:val="0"/>
                <w:color w:val="000000"/>
                <w:sz w:val="17"/>
              </w:rPr>
              <w:t>User-space AF_PACKET</w:t>
            </w:r>
          </w:p>
        </w:tc>
      </w:tr>
      <w:tr>
        <w:tc>
          <w:tcPr>
            <w:tcW w:type="dxa" w:w="1701"/>
            <w:vAlign w:val="center"/>
            <w:shd w:val="clear" w:color="auto" w:fill="FFFFFF"/>
          </w:tcPr>
          <w:p>
            <w:pPr>
              <w:spacing w:before="50" w:after="50"/>
              <w:jc w:val="left"/>
            </w:pPr>
            <w:r>
              <w:rPr>
                <w:rFonts w:ascii="Calibri" w:hAnsi="Calibri"/>
                <w:b w:val="0"/>
                <w:color w:val="000000"/>
                <w:sz w:val="17"/>
              </w:rPr>
              <w:t>Palo Alto PAN-OS</w:t>
            </w:r>
          </w:p>
        </w:tc>
        <w:tc>
          <w:tcPr>
            <w:tcW w:type="dxa" w:w="1814"/>
            <w:vAlign w:val="center"/>
            <w:shd w:val="clear" w:color="auto" w:fill="FFFFFF"/>
          </w:tcPr>
          <w:p>
            <w:pPr>
              <w:spacing w:before="50" w:after="50"/>
              <w:jc w:val="center"/>
            </w:pPr>
            <w:r>
              <w:rPr>
                <w:rFonts w:ascii="Calibri" w:hAnsi="Calibri"/>
                <w:b w:val="0"/>
                <w:color w:val="000000"/>
                <w:sz w:val="17"/>
              </w:rPr>
              <w:t>25-120 us (local)</w:t>
            </w:r>
          </w:p>
        </w:tc>
        <w:tc>
          <w:tcPr>
            <w:tcW w:type="dxa" w:w="1814"/>
            <w:vAlign w:val="center"/>
            <w:shd w:val="clear" w:color="auto" w:fill="FFFFFF"/>
          </w:tcPr>
          <w:p>
            <w:pPr>
              <w:spacing w:before="50" w:after="50"/>
              <w:jc w:val="center"/>
            </w:pPr>
            <w:r>
              <w:rPr>
                <w:rFonts w:ascii="Calibri" w:hAnsi="Calibri"/>
                <w:b w:val="0"/>
                <w:color w:val="000000"/>
                <w:sz w:val="17"/>
              </w:rPr>
              <w:t>100-500 ms</w:t>
            </w:r>
          </w:p>
        </w:tc>
        <w:tc>
          <w:tcPr>
            <w:tcW w:type="dxa" w:w="1701"/>
            <w:vAlign w:val="center"/>
            <w:shd w:val="clear" w:color="auto" w:fill="FFFFFF"/>
          </w:tcPr>
          <w:p>
            <w:pPr>
              <w:spacing w:before="50" w:after="50"/>
              <w:jc w:val="center"/>
            </w:pPr>
            <w:r>
              <w:rPr>
                <w:rFonts w:ascii="Calibri" w:hAnsi="Calibri"/>
                <w:b w:val="0"/>
                <w:color w:val="000000"/>
                <w:sz w:val="17"/>
              </w:rPr>
              <w:t>100 Gbps (ASIC)</w:t>
            </w:r>
          </w:p>
        </w:tc>
        <w:tc>
          <w:tcPr>
            <w:tcW w:type="dxa" w:w="1701"/>
            <w:vAlign w:val="center"/>
            <w:shd w:val="clear" w:color="auto" w:fill="FFFFFF"/>
          </w:tcPr>
          <w:p>
            <w:pPr>
              <w:spacing w:before="50" w:after="50"/>
              <w:jc w:val="left"/>
            </w:pPr>
            <w:r>
              <w:rPr>
                <w:rFonts w:ascii="Calibri" w:hAnsi="Calibri"/>
                <w:b w:val="0"/>
                <w:color w:val="000000"/>
                <w:sz w:val="17"/>
              </w:rPr>
              <w:t>Custom ASIC</w:t>
            </w:r>
          </w:p>
        </w:tc>
      </w:tr>
      <w:tr>
        <w:tc>
          <w:tcPr>
            <w:tcW w:type="dxa" w:w="1701"/>
            <w:vAlign w:val="center"/>
            <w:shd w:val="clear" w:color="auto" w:fill="F9F9F9"/>
          </w:tcPr>
          <w:p>
            <w:pPr>
              <w:spacing w:before="50" w:after="50"/>
              <w:jc w:val="left"/>
            </w:pPr>
            <w:r>
              <w:rPr>
                <w:rFonts w:ascii="Calibri" w:hAnsi="Calibri"/>
                <w:b w:val="0"/>
                <w:color w:val="000000"/>
                <w:sz w:val="17"/>
              </w:rPr>
              <w:t>Cloudflare MT</w:t>
            </w:r>
          </w:p>
        </w:tc>
        <w:tc>
          <w:tcPr>
            <w:tcW w:type="dxa" w:w="1814"/>
            <w:vAlign w:val="center"/>
            <w:shd w:val="clear" w:color="auto" w:fill="F9F9F9"/>
          </w:tcPr>
          <w:p>
            <w:pPr>
              <w:spacing w:before="50" w:after="50"/>
              <w:jc w:val="center"/>
            </w:pPr>
            <w:r>
              <w:rPr>
                <w:rFonts w:ascii="Calibri" w:hAnsi="Calibri"/>
                <w:b w:val="0"/>
                <w:color w:val="000000"/>
                <w:sz w:val="17"/>
              </w:rPr>
              <w:t>10-80 ms (WAN)</w:t>
            </w:r>
          </w:p>
        </w:tc>
        <w:tc>
          <w:tcPr>
            <w:tcW w:type="dxa" w:w="1814"/>
            <w:vAlign w:val="center"/>
            <w:shd w:val="clear" w:color="auto" w:fill="F9F9F9"/>
          </w:tcPr>
          <w:p>
            <w:pPr>
              <w:spacing w:before="50" w:after="50"/>
              <w:jc w:val="center"/>
            </w:pPr>
            <w:r>
              <w:rPr>
                <w:rFonts w:ascii="Calibri" w:hAnsi="Calibri"/>
                <w:b w:val="0"/>
                <w:color w:val="000000"/>
                <w:sz w:val="17"/>
              </w:rPr>
              <w:t>100-300 ms</w:t>
            </w:r>
          </w:p>
        </w:tc>
        <w:tc>
          <w:tcPr>
            <w:tcW w:type="dxa" w:w="1701"/>
            <w:vAlign w:val="center"/>
            <w:shd w:val="clear" w:color="auto" w:fill="F9F9F9"/>
          </w:tcPr>
          <w:p>
            <w:pPr>
              <w:spacing w:before="50" w:after="50"/>
              <w:jc w:val="center"/>
            </w:pPr>
            <w:r>
              <w:rPr>
                <w:rFonts w:ascii="Calibri" w:hAnsi="Calibri"/>
                <w:b w:val="0"/>
                <w:color w:val="000000"/>
                <w:sz w:val="17"/>
              </w:rPr>
              <w:t>Tbps (anycast)</w:t>
            </w:r>
          </w:p>
        </w:tc>
        <w:tc>
          <w:tcPr>
            <w:tcW w:type="dxa" w:w="1701"/>
            <w:vAlign w:val="center"/>
            <w:shd w:val="clear" w:color="auto" w:fill="F9F9F9"/>
          </w:tcPr>
          <w:p>
            <w:pPr>
              <w:spacing w:before="50" w:after="50"/>
              <w:jc w:val="left"/>
            </w:pPr>
            <w:r>
              <w:rPr>
                <w:rFonts w:ascii="Calibri" w:hAnsi="Calibri"/>
                <w:b w:val="0"/>
                <w:color w:val="000000"/>
                <w:sz w:val="17"/>
              </w:rPr>
              <w:t>Cloud PoP</w:t>
            </w:r>
          </w:p>
        </w:tc>
      </w:tr>
      <w:tr>
        <w:tc>
          <w:tcPr>
            <w:tcW w:type="dxa" w:w="1701"/>
            <w:vAlign w:val="center"/>
            <w:shd w:val="clear" w:color="auto" w:fill="FFFFFF"/>
          </w:tcPr>
          <w:p>
            <w:pPr>
              <w:spacing w:before="50" w:after="50"/>
              <w:jc w:val="left"/>
            </w:pPr>
            <w:r>
              <w:rPr>
                <w:rFonts w:ascii="Calibri" w:hAnsi="Calibri"/>
                <w:b w:val="0"/>
                <w:color w:val="000000"/>
                <w:sz w:val="17"/>
              </w:rPr>
              <w:t>Cisco Firepower</w:t>
            </w:r>
          </w:p>
        </w:tc>
        <w:tc>
          <w:tcPr>
            <w:tcW w:type="dxa" w:w="1814"/>
            <w:vAlign w:val="center"/>
            <w:shd w:val="clear" w:color="auto" w:fill="FFFFFF"/>
          </w:tcPr>
          <w:p>
            <w:pPr>
              <w:spacing w:before="50" w:after="50"/>
              <w:jc w:val="center"/>
            </w:pPr>
            <w:r>
              <w:rPr>
                <w:rFonts w:ascii="Calibri" w:hAnsi="Calibri"/>
                <w:b w:val="0"/>
                <w:color w:val="000000"/>
                <w:sz w:val="17"/>
              </w:rPr>
              <w:t>60-400 us</w:t>
            </w:r>
          </w:p>
        </w:tc>
        <w:tc>
          <w:tcPr>
            <w:tcW w:type="dxa" w:w="1814"/>
            <w:vAlign w:val="center"/>
            <w:shd w:val="clear" w:color="auto" w:fill="FFFFFF"/>
          </w:tcPr>
          <w:p>
            <w:pPr>
              <w:spacing w:before="50" w:after="50"/>
              <w:jc w:val="center"/>
            </w:pPr>
            <w:r>
              <w:rPr>
                <w:rFonts w:ascii="Calibri" w:hAnsi="Calibri"/>
                <w:b w:val="0"/>
                <w:color w:val="000000"/>
                <w:sz w:val="17"/>
              </w:rPr>
              <w:t>200-800 ms</w:t>
            </w:r>
          </w:p>
        </w:tc>
        <w:tc>
          <w:tcPr>
            <w:tcW w:type="dxa" w:w="1701"/>
            <w:vAlign w:val="center"/>
            <w:shd w:val="clear" w:color="auto" w:fill="FFFFFF"/>
          </w:tcPr>
          <w:p>
            <w:pPr>
              <w:spacing w:before="50" w:after="50"/>
              <w:jc w:val="center"/>
            </w:pPr>
            <w:r>
              <w:rPr>
                <w:rFonts w:ascii="Calibri" w:hAnsi="Calibri"/>
                <w:b w:val="0"/>
                <w:color w:val="000000"/>
                <w:sz w:val="17"/>
              </w:rPr>
              <w:t>40 Gbps (HW)</w:t>
            </w:r>
          </w:p>
        </w:tc>
        <w:tc>
          <w:tcPr>
            <w:tcW w:type="dxa" w:w="1701"/>
            <w:vAlign w:val="center"/>
            <w:shd w:val="clear" w:color="auto" w:fill="FFFFFF"/>
          </w:tcPr>
          <w:p>
            <w:pPr>
              <w:spacing w:before="50" w:after="50"/>
              <w:jc w:val="left"/>
            </w:pPr>
            <w:r>
              <w:rPr>
                <w:rFonts w:ascii="Calibri" w:hAnsi="Calibri"/>
                <w:b w:val="0"/>
                <w:color w:val="000000"/>
                <w:sz w:val="17"/>
              </w:rPr>
              <w:t>Custom NIC ASIC</w:t>
            </w:r>
          </w:p>
        </w:tc>
      </w:tr>
      <w:tr>
        <w:tc>
          <w:tcPr>
            <w:tcW w:type="dxa" w:w="1701"/>
            <w:vAlign w:val="center"/>
            <w:shd w:val="clear" w:color="auto" w:fill="F9F9F9"/>
          </w:tcPr>
          <w:p>
            <w:pPr>
              <w:spacing w:before="50" w:after="50"/>
              <w:jc w:val="left"/>
            </w:pPr>
            <w:r>
              <w:rPr>
                <w:rFonts w:ascii="Calibri" w:hAnsi="Calibri"/>
                <w:b/>
                <w:color w:val="000000"/>
                <w:sz w:val="17"/>
              </w:rPr>
              <w:t>Autonomous Agent (ours)</w:t>
            </w:r>
          </w:p>
        </w:tc>
        <w:tc>
          <w:tcPr>
            <w:tcW w:type="dxa" w:w="1814"/>
            <w:vAlign w:val="center"/>
            <w:shd w:val="clear" w:color="auto" w:fill="F9F9F9"/>
          </w:tcPr>
          <w:p>
            <w:pPr>
              <w:spacing w:before="50" w:after="50"/>
              <w:jc w:val="center"/>
            </w:pPr>
            <w:r>
              <w:rPr>
                <w:rFonts w:ascii="Calibri" w:hAnsi="Calibri"/>
                <w:b/>
                <w:color w:val="000000"/>
                <w:sz w:val="17"/>
              </w:rPr>
              <w:t>0.33 us (p50)</w:t>
            </w:r>
          </w:p>
        </w:tc>
        <w:tc>
          <w:tcPr>
            <w:tcW w:type="dxa" w:w="1814"/>
            <w:vAlign w:val="center"/>
            <w:shd w:val="clear" w:color="auto" w:fill="F9F9F9"/>
          </w:tcPr>
          <w:p>
            <w:pPr>
              <w:spacing w:before="50" w:after="50"/>
              <w:jc w:val="center"/>
            </w:pPr>
            <w:r>
              <w:rPr>
                <w:rFonts w:ascii="Calibri" w:hAnsi="Calibri"/>
                <w:b/>
                <w:color w:val="000000"/>
                <w:sz w:val="17"/>
              </w:rPr>
              <w:t>148 ms - 2.8 s (Async)</w:t>
            </w:r>
          </w:p>
        </w:tc>
        <w:tc>
          <w:tcPr>
            <w:tcW w:type="dxa" w:w="1701"/>
            <w:vAlign w:val="center"/>
            <w:shd w:val="clear" w:color="auto" w:fill="F9F9F9"/>
          </w:tcPr>
          <w:p>
            <w:pPr>
              <w:spacing w:before="50" w:after="50"/>
              <w:jc w:val="center"/>
            </w:pPr>
            <w:r>
              <w:rPr>
                <w:rFonts w:ascii="Calibri" w:hAnsi="Calibri"/>
                <w:b/>
                <w:color w:val="000000"/>
                <w:sz w:val="17"/>
              </w:rPr>
              <w:t>1 Gbps (PCIe NIC)</w:t>
            </w:r>
          </w:p>
        </w:tc>
        <w:tc>
          <w:tcPr>
            <w:tcW w:type="dxa" w:w="1701"/>
            <w:vAlign w:val="center"/>
            <w:shd w:val="clear" w:color="auto" w:fill="F9F9F9"/>
          </w:tcPr>
          <w:p>
            <w:pPr>
              <w:spacing w:before="50" w:after="50"/>
              <w:jc w:val="left"/>
            </w:pPr>
            <w:r>
              <w:rPr>
                <w:rFonts w:ascii="Calibri" w:hAnsi="Calibri"/>
                <w:b/>
                <w:color w:val="000000"/>
                <w:sz w:val="17"/>
              </w:rPr>
              <w:t>Kernel eBPF (x86/ARM)</w:t>
            </w:r>
          </w:p>
        </w:tc>
      </w:tr>
    </w:tbl>
    <w:p>
      <w:pPr>
        <w:spacing w:before="40" w:after="160"/>
        <w:jc w:val="center"/>
      </w:pPr>
      <w:r>
        <w:rPr>
          <w:rFonts w:ascii="Calibri" w:hAnsi="Calibri"/>
          <w:i/>
          <w:color w:val="333333"/>
          <w:sz w:val="18"/>
        </w:rPr>
        <w:t>Table IV: Latency and throughput comparison.</w:t>
      </w:r>
    </w:p>
    <w:p>
      <w:pPr>
        <w:spacing w:before="120" w:after="40"/>
        <w:jc w:val="center"/>
      </w:pPr>
      <w:r>
        <w:drawing>
          <wp:inline xmlns:a="http://schemas.openxmlformats.org/drawingml/2006/main" xmlns:pic="http://schemas.openxmlformats.org/drawingml/2006/picture">
            <wp:extent cx="5400000" cy="2850000"/>
            <wp:docPr id="4" name="Picture 4"/>
            <wp:cNvGraphicFramePr>
              <a:graphicFrameLocks noChangeAspect="1"/>
            </wp:cNvGraphicFramePr>
            <a:graphic>
              <a:graphicData uri="http://schemas.openxmlformats.org/drawingml/2006/picture">
                <pic:pic>
                  <pic:nvPicPr>
                    <pic:cNvPr id="0" name="fig4_latency_comparison.png"/>
                    <pic:cNvPicPr/>
                  </pic:nvPicPr>
                  <pic:blipFill>
                    <a:blip r:embed="rId13"/>
                    <a:stretch>
                      <a:fillRect/>
                    </a:stretch>
                  </pic:blipFill>
                  <pic:spPr>
                    <a:xfrm>
                      <a:off x="0" y="0"/>
                      <a:ext cx="5400000" cy="2850000"/>
                    </a:xfrm>
                    <a:prstGeom prst="rect"/>
                  </pic:spPr>
                </pic:pic>
              </a:graphicData>
            </a:graphic>
          </wp:inline>
        </w:drawing>
      </w:r>
    </w:p>
    <w:p>
      <w:pPr>
        <w:spacing w:before="40" w:after="160"/>
        <w:jc w:val="center"/>
      </w:pPr>
      <w:r>
        <w:rPr>
          <w:rFonts w:ascii="Calibri" w:hAnsi="Calibri"/>
          <w:i/>
          <w:color w:val="000000"/>
          <w:sz w:val="17"/>
        </w:rPr>
        <w:t>Fig. 4: Log-scale latency spectrum comparing data-plane mitigation and control-plane triage (Table IV).</w:t>
      </w:r>
    </w:p>
    <w:p>
      <w:pPr>
        <w:spacing w:before="120" w:after="80"/>
        <w:jc w:val="left"/>
      </w:pPr>
      <w:r>
        <w:rPr>
          <w:rFonts w:ascii="Calibri" w:hAnsi="Calibri"/>
          <w:b/>
          <w:color w:val="000000"/>
          <w:sz w:val="23"/>
        </w:rPr>
        <w:t>D. Sovereignty and Privacy Properties</w:t>
      </w:r>
    </w:p>
    <w:p>
      <w:pPr>
        <w:spacing w:after="100"/>
        <w:jc w:val="both"/>
      </w:pPr>
      <w:r>
        <w:rPr>
          <w:rFonts w:ascii="Calibri" w:hAnsi="Calibri"/>
          <w:i w:val="0"/>
          <w:color w:val="000000"/>
          <w:sz w:val="21"/>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Calibri" w:hAnsi="Calibri"/>
                <w:b/>
                <w:color w:val="FFFFFF"/>
                <w:sz w:val="17"/>
              </w:rPr>
              <w:t>Property</w:t>
            </w:r>
          </w:p>
        </w:tc>
        <w:tc>
          <w:tcPr>
            <w:tcW w:type="dxa" w:w="1587"/>
            <w:shd w:val="clear" w:color="auto" w:fill="111827"/>
            <w:vAlign w:val="center"/>
          </w:tcPr>
          <w:p>
            <w:pPr>
              <w:spacing w:before="60" w:after="60"/>
              <w:jc w:val="center"/>
            </w:pPr>
            <w:r>
              <w:rPr>
                <w:rFonts w:ascii="Calibri" w:hAnsi="Calibri"/>
                <w:b/>
                <w:color w:val="FFFFFF"/>
                <w:sz w:val="17"/>
              </w:rPr>
              <w:t>Snort / Suricata</w:t>
            </w:r>
          </w:p>
        </w:tc>
        <w:tc>
          <w:tcPr>
            <w:tcW w:type="dxa" w:w="1814"/>
            <w:shd w:val="clear" w:color="auto" w:fill="111827"/>
            <w:vAlign w:val="center"/>
          </w:tcPr>
          <w:p>
            <w:pPr>
              <w:spacing w:before="60" w:after="60"/>
              <w:jc w:val="center"/>
            </w:pPr>
            <w:r>
              <w:rPr>
                <w:rFonts w:ascii="Calibri" w:hAnsi="Calibri"/>
                <w:b/>
                <w:color w:val="FFFFFF"/>
                <w:sz w:val="17"/>
              </w:rPr>
              <w:t>Palo Alto / Cisco</w:t>
            </w:r>
          </w:p>
        </w:tc>
        <w:tc>
          <w:tcPr>
            <w:tcW w:type="dxa" w:w="1587"/>
            <w:shd w:val="clear" w:color="auto" w:fill="111827"/>
            <w:vAlign w:val="center"/>
          </w:tcPr>
          <w:p>
            <w:pPr>
              <w:spacing w:before="60" w:after="60"/>
              <w:jc w:val="center"/>
            </w:pPr>
            <w:r>
              <w:rPr>
                <w:rFonts w:ascii="Calibri" w:hAnsi="Calibri"/>
                <w:b/>
                <w:color w:val="FFFFFF"/>
                <w:sz w:val="17"/>
              </w:rPr>
              <w:t>Cloudflare</w:t>
            </w:r>
          </w:p>
        </w:tc>
        <w:tc>
          <w:tcPr>
            <w:tcW w:type="dxa" w:w="2041"/>
            <w:shd w:val="clear" w:color="auto" w:fill="111827"/>
            <w:vAlign w:val="center"/>
          </w:tcPr>
          <w:p>
            <w:pPr>
              <w:spacing w:before="60" w:after="60"/>
              <w:jc w:val="center"/>
            </w:pPr>
            <w:r>
              <w:rPr>
                <w:rFonts w:ascii="Calibri" w:hAnsi="Calibri"/>
                <w:b/>
                <w:color w:val="FFFFFF"/>
                <w:sz w:val="17"/>
              </w:rPr>
              <w:t>Autonomous Agent (ours)</w:t>
            </w:r>
          </w:p>
        </w:tc>
      </w:tr>
      <w:tr>
        <w:tc>
          <w:tcPr>
            <w:tcW w:type="dxa" w:w="1984"/>
            <w:vAlign w:val="center"/>
            <w:shd w:val="clear" w:color="auto" w:fill="FFFFFF"/>
          </w:tcPr>
          <w:p>
            <w:pPr>
              <w:spacing w:before="50" w:after="50"/>
              <w:jc w:val="left"/>
            </w:pPr>
            <w:r>
              <w:rPr>
                <w:rFonts w:ascii="Calibri" w:hAnsi="Calibri"/>
                <w:b w:val="0"/>
                <w:color w:val="000000"/>
                <w:sz w:val="17"/>
              </w:rPr>
              <w:t>Air-gapped operation</w:t>
            </w:r>
          </w:p>
        </w:tc>
        <w:tc>
          <w:tcPr>
            <w:tcW w:type="dxa" w:w="1587"/>
            <w:vAlign w:val="center"/>
            <w:shd w:val="clear" w:color="auto" w:fill="FFFFFF"/>
          </w:tcPr>
          <w:p>
            <w:pPr>
              <w:spacing w:before="50" w:after="50"/>
              <w:jc w:val="center"/>
            </w:pPr>
            <w:r>
              <w:rPr>
                <w:rFonts w:ascii="Calibri" w:hAnsi="Calibri"/>
                <w:b w:val="0"/>
                <w:color w:val="000000"/>
                <w:sz w:val="17"/>
              </w:rPr>
              <w:t>Yes (no updates)</w:t>
            </w:r>
          </w:p>
        </w:tc>
        <w:tc>
          <w:tcPr>
            <w:tcW w:type="dxa" w:w="1814"/>
            <w:vAlign w:val="center"/>
            <w:shd w:val="clear" w:color="auto" w:fill="FFFFFF"/>
          </w:tcPr>
          <w:p>
            <w:pPr>
              <w:spacing w:before="50" w:after="50"/>
              <w:jc w:val="center"/>
            </w:pPr>
            <w:r>
              <w:rPr>
                <w:rFonts w:ascii="Calibri" w:hAnsi="Calibri"/>
                <w:b w:val="0"/>
                <w:color w:val="000000"/>
                <w:sz w:val="17"/>
              </w:rPr>
              <w:t>No (cloud feeds)</w:t>
            </w:r>
          </w:p>
        </w:tc>
        <w:tc>
          <w:tcPr>
            <w:tcW w:type="dxa" w:w="1587"/>
            <w:vAlign w:val="center"/>
            <w:shd w:val="clear" w:color="auto" w:fill="FFFFFF"/>
          </w:tcPr>
          <w:p>
            <w:pPr>
              <w:spacing w:before="50" w:after="50"/>
              <w:jc w:val="center"/>
            </w:pPr>
            <w:r>
              <w:rPr>
                <w:rFonts w:ascii="Calibri" w:hAnsi="Calibri"/>
                <w:b w:val="0"/>
                <w:color w:val="000000"/>
                <w:sz w:val="17"/>
              </w:rPr>
              <w:t>No (cloud-only)</w:t>
            </w:r>
          </w:p>
        </w:tc>
        <w:tc>
          <w:tcPr>
            <w:tcW w:type="dxa" w:w="2041"/>
            <w:vAlign w:val="center"/>
            <w:shd w:val="clear" w:color="auto" w:fill="F1F5F9"/>
          </w:tcPr>
          <w:p>
            <w:pPr>
              <w:spacing w:before="50" w:after="50"/>
              <w:jc w:val="center"/>
            </w:pPr>
            <w:r>
              <w:rPr>
                <w:rFonts w:ascii="Calibri" w:hAnsi="Calibri"/>
                <w:b/>
                <w:color w:val="000000"/>
                <w:sz w:val="17"/>
              </w:rPr>
              <w:t>Yes - Full offline</w:t>
            </w:r>
          </w:p>
        </w:tc>
      </w:tr>
      <w:tr>
        <w:tc>
          <w:tcPr>
            <w:tcW w:type="dxa" w:w="1984"/>
            <w:vAlign w:val="center"/>
            <w:shd w:val="clear" w:color="auto" w:fill="F9F9F9"/>
          </w:tcPr>
          <w:p>
            <w:pPr>
              <w:spacing w:before="50" w:after="50"/>
              <w:jc w:val="left"/>
            </w:pPr>
            <w:r>
              <w:rPr>
                <w:rFonts w:ascii="Calibri" w:hAnsi="Calibri"/>
                <w:b w:val="0"/>
                <w:color w:val="000000"/>
                <w:sz w:val="17"/>
              </w:rPr>
              <w:t>Zero third-party telemetry</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(Wildfire/Talos)</w:t>
            </w:r>
          </w:p>
        </w:tc>
        <w:tc>
          <w:tcPr>
            <w:tcW w:type="dxa" w:w="1587"/>
            <w:vAlign w:val="center"/>
            <w:shd w:val="clear" w:color="auto" w:fill="F9F9F9"/>
          </w:tcPr>
          <w:p>
            <w:pPr>
              <w:spacing w:before="50" w:after="50"/>
              <w:jc w:val="center"/>
            </w:pPr>
            <w:r>
              <w:rPr>
                <w:rFonts w:ascii="Calibri" w:hAnsi="Calibri"/>
                <w:b w:val="0"/>
                <w:color w:val="000000"/>
                <w:sz w:val="17"/>
              </w:rPr>
              <w:t>No (payload inspect)</w:t>
            </w:r>
          </w:p>
        </w:tc>
        <w:tc>
          <w:tcPr>
            <w:tcW w:type="dxa" w:w="2041"/>
            <w:vAlign w:val="center"/>
            <w:shd w:val="clear" w:color="auto" w:fill="F1F5F9"/>
          </w:tcPr>
          <w:p>
            <w:pPr>
              <w:spacing w:before="50" w:after="50"/>
              <w:jc w:val="center"/>
            </w:pPr>
            <w:r>
              <w:rPr>
                <w:rFonts w:ascii="Calibri" w:hAnsi="Calibri"/>
                <w:b/>
                <w:color w:val="000000"/>
                <w:sz w:val="17"/>
              </w:rPr>
              <w:t>Yes - Zero calls</w:t>
            </w:r>
          </w:p>
        </w:tc>
      </w:tr>
      <w:tr>
        <w:tc>
          <w:tcPr>
            <w:tcW w:type="dxa" w:w="1984"/>
            <w:vAlign w:val="center"/>
            <w:shd w:val="clear" w:color="auto" w:fill="FFFFFF"/>
          </w:tcPr>
          <w:p>
            <w:pPr>
              <w:spacing w:before="50" w:after="50"/>
              <w:jc w:val="left"/>
            </w:pPr>
            <w:r>
              <w:rPr>
                <w:rFonts w:ascii="Calibri" w:hAnsi="Calibri"/>
                <w:b w:val="0"/>
                <w:color w:val="000000"/>
                <w:sz w:val="17"/>
              </w:rPr>
              <w:t>Post-quantum crypto</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Partial (roadmap)</w:t>
            </w:r>
          </w:p>
        </w:tc>
        <w:tc>
          <w:tcPr>
            <w:tcW w:type="dxa" w:w="1587"/>
            <w:vAlign w:val="center"/>
            <w:shd w:val="clear" w:color="auto" w:fill="FFFFFF"/>
          </w:tcPr>
          <w:p>
            <w:pPr>
              <w:spacing w:before="50" w:after="50"/>
              <w:jc w:val="center"/>
            </w:pPr>
            <w:r>
              <w:rPr>
                <w:rFonts w:ascii="Calibri" w:hAnsi="Calibri"/>
                <w:b w:val="0"/>
                <w:color w:val="000000"/>
                <w:sz w:val="17"/>
              </w:rPr>
              <w:t>Partial (exp.)</w:t>
            </w:r>
          </w:p>
        </w:tc>
        <w:tc>
          <w:tcPr>
            <w:tcW w:type="dxa" w:w="2041"/>
            <w:vAlign w:val="center"/>
            <w:shd w:val="clear" w:color="auto" w:fill="F1F5F9"/>
          </w:tcPr>
          <w:p>
            <w:pPr>
              <w:spacing w:before="50" w:after="50"/>
              <w:jc w:val="center"/>
            </w:pPr>
            <w:r>
              <w:rPr>
                <w:rFonts w:ascii="Calibri" w:hAnsi="Calibri"/>
                <w:b/>
                <w:color w:val="000000"/>
                <w:sz w:val="17"/>
              </w:rPr>
              <w:t>ML-KEM-1024 + ML-DSA-65</w:t>
            </w:r>
          </w:p>
        </w:tc>
      </w:tr>
      <w:tr>
        <w:tc>
          <w:tcPr>
            <w:tcW w:type="dxa" w:w="1984"/>
            <w:vAlign w:val="center"/>
            <w:shd w:val="clear" w:color="auto" w:fill="F9F9F9"/>
          </w:tcPr>
          <w:p>
            <w:pPr>
              <w:spacing w:before="50" w:after="50"/>
              <w:jc w:val="left"/>
            </w:pPr>
            <w:r>
              <w:rPr>
                <w:rFonts w:ascii="Calibri" w:hAnsi="Calibri"/>
                <w:b w:val="0"/>
                <w:color w:val="000000"/>
                <w:sz w:val="17"/>
              </w:rPr>
              <w:t>No subscription required</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($40k-$200k/yr)</w:t>
            </w:r>
          </w:p>
        </w:tc>
        <w:tc>
          <w:tcPr>
            <w:tcW w:type="dxa" w:w="1587"/>
            <w:vAlign w:val="center"/>
            <w:shd w:val="clear" w:color="auto" w:fill="F9F9F9"/>
          </w:tcPr>
          <w:p>
            <w:pPr>
              <w:spacing w:before="50" w:after="50"/>
              <w:jc w:val="center"/>
            </w:pPr>
            <w:r>
              <w:rPr>
                <w:rFonts w:ascii="Calibri" w:hAnsi="Calibri"/>
                <w:b w:val="0"/>
                <w:color w:val="000000"/>
                <w:sz w:val="17"/>
              </w:rPr>
              <w:t>No ($0.05+/Gbps)</w:t>
            </w:r>
          </w:p>
        </w:tc>
        <w:tc>
          <w:tcPr>
            <w:tcW w:type="dxa" w:w="2041"/>
            <w:vAlign w:val="center"/>
            <w:shd w:val="clear" w:color="auto" w:fill="F1F5F9"/>
          </w:tcPr>
          <w:p>
            <w:pPr>
              <w:spacing w:before="50" w:after="50"/>
              <w:jc w:val="center"/>
            </w:pPr>
            <w:r>
              <w:rPr>
                <w:rFonts w:ascii="Calibri" w:hAnsi="Calibri"/>
                <w:b/>
                <w:color w:val="000000"/>
                <w:sz w:val="17"/>
              </w:rPr>
              <w:t>Yes - Zero cost</w:t>
            </w:r>
          </w:p>
        </w:tc>
      </w:tr>
      <w:tr>
        <w:tc>
          <w:tcPr>
            <w:tcW w:type="dxa" w:w="1984"/>
            <w:vAlign w:val="center"/>
            <w:shd w:val="clear" w:color="auto" w:fill="FFFFFF"/>
          </w:tcPr>
          <w:p>
            <w:pPr>
              <w:spacing w:before="50" w:after="50"/>
              <w:jc w:val="left"/>
            </w:pPr>
            <w:r>
              <w:rPr>
                <w:rFonts w:ascii="Calibri" w:hAnsi="Calibri"/>
                <w:b w:val="0"/>
                <w:color w:val="000000"/>
                <w:sz w:val="17"/>
              </w:rPr>
              <w:t>Attacker deception/tarpit</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No (RST only)</w:t>
            </w:r>
          </w:p>
        </w:tc>
        <w:tc>
          <w:tcPr>
            <w:tcW w:type="dxa" w:w="1587"/>
            <w:vAlign w:val="center"/>
            <w:shd w:val="clear" w:color="auto" w:fill="FFFFFF"/>
          </w:tcPr>
          <w:p>
            <w:pPr>
              <w:spacing w:before="50" w:after="50"/>
              <w:jc w:val="center"/>
            </w:pPr>
            <w:r>
              <w:rPr>
                <w:rFonts w:ascii="Calibri" w:hAnsi="Calibri"/>
                <w:b w:val="0"/>
                <w:color w:val="000000"/>
                <w:sz w:val="17"/>
              </w:rPr>
              <w:t>No (blackhole only)</w:t>
            </w:r>
          </w:p>
        </w:tc>
        <w:tc>
          <w:tcPr>
            <w:tcW w:type="dxa" w:w="2041"/>
            <w:vAlign w:val="center"/>
            <w:shd w:val="clear" w:color="auto" w:fill="F1F5F9"/>
          </w:tcPr>
          <w:p>
            <w:pPr>
              <w:spacing w:before="50" w:after="50"/>
              <w:jc w:val="center"/>
            </w:pPr>
            <w:r>
              <w:rPr>
                <w:rFonts w:ascii="Calibri" w:hAnsi="Calibri"/>
                <w:b/>
                <w:color w:val="000000"/>
                <w:sz w:val="17"/>
              </w:rPr>
              <w:t>AI tarpit + honey-token</w:t>
            </w:r>
          </w:p>
        </w:tc>
      </w:tr>
      <w:tr>
        <w:tc>
          <w:tcPr>
            <w:tcW w:type="dxa" w:w="1984"/>
            <w:vAlign w:val="center"/>
            <w:shd w:val="clear" w:color="auto" w:fill="F9F9F9"/>
          </w:tcPr>
          <w:p>
            <w:pPr>
              <w:spacing w:before="50" w:after="50"/>
              <w:jc w:val="left"/>
            </w:pPr>
            <w:r>
              <w:rPr>
                <w:rFonts w:ascii="Calibri" w:hAnsi="Calibri"/>
                <w:b w:val="0"/>
                <w:color w:val="000000"/>
                <w:sz w:val="17"/>
              </w:rPr>
              <w:t>Moving Target Defence</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1814"/>
            <w:vAlign w:val="center"/>
            <w:shd w:val="clear" w:color="auto" w:fill="F9F9F9"/>
          </w:tcPr>
          <w:p>
            <w:pPr>
              <w:spacing w:before="50" w:after="50"/>
              <w:jc w:val="center"/>
            </w:pPr>
            <w:r>
              <w:rPr>
                <w:rFonts w:ascii="Calibri" w:hAnsi="Calibri"/>
                <w:b w:val="0"/>
                <w:color w:val="000000"/>
                <w:sz w:val="17"/>
              </w:rPr>
              <w:t>No</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2041"/>
            <w:vAlign w:val="center"/>
            <w:shd w:val="clear" w:color="auto" w:fill="F1F5F9"/>
          </w:tcPr>
          <w:p>
            <w:pPr>
              <w:spacing w:before="50" w:after="50"/>
              <w:jc w:val="center"/>
            </w:pPr>
            <w:r>
              <w:rPr>
                <w:rFonts w:ascii="Calibri" w:hAnsi="Calibri"/>
                <w:b/>
                <w:color w:val="000000"/>
                <w:sz w:val="17"/>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120" w:after="40"/>
        <w:jc w:val="center"/>
      </w:pPr>
      <w:r>
        <w:drawing>
          <wp:inline xmlns:a="http://schemas.openxmlformats.org/drawingml/2006/main" xmlns:pic="http://schemas.openxmlformats.org/drawingml/2006/picture">
            <wp:extent cx="5220000" cy="2900000"/>
            <wp:docPr id="5" name="Picture 5"/>
            <wp:cNvGraphicFramePr>
              <a:graphicFrameLocks noChangeAspect="1"/>
            </wp:cNvGraphicFramePr>
            <a:graphic>
              <a:graphicData uri="http://schemas.openxmlformats.org/drawingml/2006/picture">
                <pic:pic>
                  <pic:nvPicPr>
                    <pic:cNvPr id="0" name="fig5_capability_matrix.png"/>
                    <pic:cNvPicPr/>
                  </pic:nvPicPr>
                  <pic:blipFill>
                    <a:blip r:embed="rId14"/>
                    <a:stretch>
                      <a:fillRect/>
                    </a:stretch>
                  </pic:blipFill>
                  <pic:spPr>
                    <a:xfrm>
                      <a:off x="0" y="0"/>
                      <a:ext cx="5220000" cy="2900000"/>
                    </a:xfrm>
                    <a:prstGeom prst="rect"/>
                  </pic:spPr>
                </pic:pic>
              </a:graphicData>
            </a:graphic>
          </wp:inline>
        </w:drawing>
      </w:r>
    </w:p>
    <w:p>
      <w:pPr>
        <w:spacing w:before="40" w:after="160"/>
        <w:jc w:val="center"/>
      </w:pPr>
      <w:r>
        <w:rPr>
          <w:rFonts w:ascii="Calibri" w:hAnsi="Calibri"/>
          <w:i/>
          <w:color w:val="000000"/>
          <w:sz w:val="17"/>
        </w:rPr>
        <w:t>Fig. 5: Defense capability, air-gapped readiness, and sovereignty compliance matrix (Table V).</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 and Control-Plane Benchmarks</w:t>
      </w:r>
    </w:p>
    <w:p>
      <w:pPr>
        <w:spacing w:after="100"/>
        <w:jc w:val="both"/>
      </w:pPr>
      <w:r>
        <w:rPr>
          <w:rFonts w:ascii="Calibri" w:hAnsi="Calibri"/>
          <w:i w:val="0"/>
          <w:color w:val="000000"/>
          <w:sz w:val="21"/>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M. Sarhan et al., "Towards a Standard Feature Set of NIDS Datasets," IEEE Trans. Information Forensics and Security, vol. 17, pp. 367-381, 2022.</w:t>
      </w:r>
    </w:p>
    <w:p>
      <w:pPr>
        <w:spacing w:after="60"/>
        <w:ind w:left="567" w:hanging="567"/>
        <w:jc w:val="both"/>
      </w:pPr>
      <w:r>
        <w:rPr>
          <w:rFonts w:ascii="Calibri" w:hAnsi="Calibri"/>
          <w:color w:val="000000"/>
          <w:sz w:val="19"/>
        </w:rPr>
        <w:t>[16] M. Ring et al., "A Survey of Network-based Intrusion Detection Data Sets," Computers &amp; Security, vol. 86, pp. 147-167, 2019.</w:t>
      </w:r>
    </w:p>
    <w:p>
      <w:pPr>
        <w:spacing w:after="60"/>
        <w:ind w:left="567" w:hanging="567"/>
        <w:jc w:val="both"/>
      </w:pPr>
      <w:r>
        <w:rPr>
          <w:rFonts w:ascii="Calibri" w:hAnsi="Calibri"/>
          <w:color w:val="000000"/>
          <w:sz w:val="19"/>
        </w:rPr>
        <w:t>[17] Y. Mirsky et al., "Kitsune: An Ensemble of Autoencoders for Online Network Intrusion Detection," in Proc. NDSS, 2018.</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Autonomous Post-Quantum Cyber Defense Agent | Peer-Review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