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fast-path)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Tarpit Redirect (Deception Port)</w:t>
            </w:r>
          </w:p>
        </w:tc>
        <w:tc>
          <w:tcPr>
            <w:tcW w:type="dxa" w:w="2551"/>
            <w:vAlign w:val="center"/>
            <w:shd w:val="clear" w:color="auto" w:fill="F9F9F9"/>
          </w:tcPr>
          <w:p>
            <w:pPr>
              <w:jc w:val="center"/>
            </w:pPr>
            <w:r>
              <w:rPr>
                <w:rFonts w:ascii="Calibri" w:hAnsi="Calibri"/>
                <w:b w:val="0"/>
                <w:color w:val="000000"/>
                <w:sz w:val="18"/>
              </w:rPr>
              <w:t>BPF_MAP_TYPE_HASH</w:t>
            </w:r>
          </w:p>
        </w:tc>
        <w:tc>
          <w:tcPr>
            <w:tcW w:type="dxa" w:w="2268"/>
            <w:vAlign w:val="center"/>
            <w:shd w:val="clear" w:color="auto" w:fill="F9F9F9"/>
          </w:tcPr>
          <w:p>
            <w:pPr>
              <w:jc w:val="center"/>
            </w:pPr>
            <w:r>
              <w:rPr>
                <w:rFonts w:ascii="Calibri" w:hAnsi="Calibri"/>
                <w:b w:val="0"/>
                <w:color w:val="000000"/>
                <w:sz w:val="18"/>
              </w:rPr>
              <w:t>XDP_PASS -&gt; nftables</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TCP Flag Anomaly: Null/Xmas/SYN+FIN</w:t>
            </w:r>
          </w:p>
        </w:tc>
        <w:tc>
          <w:tcPr>
            <w:tcW w:type="dxa" w:w="2551"/>
            <w:vAlign w:val="center"/>
            <w:shd w:val="clear" w:color="auto" w:fill="FFFFFF"/>
          </w:tcPr>
          <w:p>
            <w:pPr>
              <w:jc w:val="center"/>
            </w:pPr>
            <w:r>
              <w:rPr>
                <w:rFonts w:ascii="Calibri" w:hAnsi="Calibri"/>
                <w:b w:val="0"/>
                <w:color w:val="000000"/>
                <w:sz w:val="18"/>
              </w:rPr>
              <w:t>Inline classifier</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Custom LLM Semantic Reasoning</w:t>
      </w:r>
    </w:p>
    <w:p>
      <w:pPr>
        <w:spacing w:after="100"/>
        <w:jc w:val="both"/>
      </w:pPr>
      <w:r>
        <w:rPr>
          <w:rFonts w:ascii="Calibri" w:hAnsi="Calibri"/>
          <w:i w:val="0"/>
          <w:color w:val="000000"/>
          <w:sz w:val="21"/>
        </w:rPr>
        <w:t>To perform deep semantic evaluation without external cloud dependencies, the architecture integrates a custom domain-adapted security model: asm-shadhin-ai (a specialized 7B-parameter architecture custom-quantized to GGUF Q4_K_M). Operating strictly on the asynchronous control plane, it is physically and logically decoupled from the real-time data path so that inference latency (averaging 148 ms on commodity CPU) never introduces head-of-line blocking on packet forwarding. The 4-bit quantization provides an optimal operating point, requiring under 4.5 GB of system RAM and eliminating any requirement for expensive GPU accelerators or third-party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and FIPS 204 ML-DSA-65 (digital signatures) [22],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10,000,000 evaluated flows: median latency p50 = 0.33 us, p90 = 0.92 us, p95 = 4.62 us, and p99 = 20.79 us (including deep payload entropy inspection), confirming wire-speed sub-microsecond inline mitigation. LLM inference averaged 148 ms at Q4_K_M quantisation, operating asynchronously on the control plane without impeding packet forwarding.</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