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spacing w:after="40"/>
        <w:jc w:val="center"/>
      </w:pPr>
      <w:r>
        <w:rPr>
          <w:rFonts w:ascii="Times New Roman" w:hAnsi="Times New Roman"/>
          <w:b/>
          <w:color w:val="000000"/>
          <w:sz w:val="23"/>
        </w:rPr>
        <w:t>A S M Hossain Mahmud (Shadhin)</w:t>
      </w:r>
    </w:p>
    <w:p>
      <w:pPr>
        <w:spacing w:after="20"/>
        <w:jc w:val="center"/>
      </w:pPr>
      <w:r>
        <w:rPr>
          <w:rFonts w:ascii="Times New Roman" w:hAnsi="Times New Roman"/>
          <w:b w:val="0"/>
          <w:color w:val="333333"/>
          <w:sz w:val="19"/>
        </w:rPr>
        <w:t>Department of Computer Science and Engineering</w:t>
      </w:r>
    </w:p>
    <w:p>
      <w:pPr>
        <w:spacing w:after="40"/>
        <w:jc w:val="center"/>
      </w:pPr>
      <w:r>
        <w:rPr>
          <w:rFonts w:ascii="Times New Roman" w:hAnsi="Times New Roman"/>
          <w:b w:val="0"/>
          <w:color w:val="333333"/>
          <w:sz w:val="18"/>
        </w:rPr>
        <w:t>Bangladesh Army University of Science and Technology (BAUST), Saidpur 5310, Bangladesh</w:t>
      </w:r>
    </w:p>
    <w:p>
      <w:pPr>
        <w:spacing w:after="120"/>
        <w:jc w:val="center"/>
      </w:pPr>
      <w:r>
        <w:rPr>
          <w:rFonts w:ascii="Times New Roman" w:hAnsi="Times New Roman"/>
          <w:b w:val="0"/>
          <w:color w:val="000000"/>
          <w:sz w:val="17"/>
        </w:rPr>
        <w:t>Email: sadekshadhin2000@gmail.com  •  Open-Source Code: https://github.com/Sadek-Mahmud/asm-shadhin-ai</w:t>
      </w:r>
    </w:p>
    <w:p>
      <w:pPr>
        <w:spacing w:before="0" w:after="12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(asm-shadhin-ai)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sectPr>
          <w:headerReference w:type="default" r:id="rId33"/>
          <w:footerReference w:type="default" r:id="rId34"/>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pPr>
    </w:p>
    <w:p>
      <w:pPr>
        <w:pStyle w:val="Heading1"/>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pStyle w:val="Heading2"/>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pStyle w:val="Heading1"/>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pStyle w:val="Heading1"/>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pStyle w:val="Heading2"/>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pStyle w:val="Heading2"/>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pStyle w:val="Heading2"/>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pStyle w:val="Heading2"/>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pStyle w:val="Heading1"/>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pStyle w:val="Heading2"/>
        <w:keepNext/>
        <w:spacing w:before="160" w:after="40"/>
        <w:jc w:val="left"/>
      </w:pPr>
      <w:r>
        <w:rPr>
          <w:rFonts w:ascii="Times New Roman" w:hAnsi="Times New Roman"/>
          <w:b/>
          <w:i/>
          <w:color w:val="000000"/>
          <w:sz w:val="20"/>
        </w:rPr>
        <w:t>A. Benchmark Systems</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sectPr>
      </w:pPr>
    </w:p>
    <w:p>
      <w:pPr>
        <w:pStyle w:val="Heading2"/>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481"/>
        <w:gridCol w:w="1481"/>
        <w:gridCol w:w="1481"/>
        <w:gridCol w:w="1481"/>
        <w:gridCol w:w="1481"/>
        <w:gridCol w:w="1481"/>
        <w:gridCol w:w="1481"/>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spacing w:before="120" w:after="40"/>
        <w:jc w:val="center"/>
      </w:pPr>
      <w:r>
        <w:drawing>
          <wp:inline xmlns:a="http://schemas.openxmlformats.org/drawingml/2006/main" xmlns:pic="http://schemas.openxmlformats.org/drawingml/2006/picture">
            <wp:extent cx="5940000" cy="3788131"/>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35"/>
                    <a:stretch>
                      <a:fillRect/>
                    </a:stretch>
                  </pic:blipFill>
                  <pic:spPr>
                    <a:xfrm>
                      <a:off x="0" y="0"/>
                      <a:ext cx="5940000" cy="3788131"/>
                    </a:xfrm>
                    <a:prstGeom prst="rect"/>
                  </pic:spPr>
                </pic:pic>
              </a:graphicData>
            </a:graphic>
          </wp:inline>
        </w:drawing>
      </w:r>
    </w:p>
    <w:p>
      <w:pPr>
        <w:spacing w:before="40" w:after="160"/>
        <w:jc w:val="center"/>
      </w:pPr>
      <w:r>
        <w:rPr>
          <w:rFonts w:ascii="Times New Roman" w:hAnsi="Times New Roman"/>
          <w:color w:val="000000"/>
          <w:sz w:val="16"/>
        </w:rPr>
        <w:t>Fig. 3.  Detection accuracy and evasion resistance comparison across 10M flows (Table III).</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sectPr>
      </w:pPr>
    </w:p>
    <w:p>
      <w:pPr>
        <w:pStyle w:val="Heading2"/>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spacing w:before="120" w:after="40"/>
        <w:jc w:val="center"/>
      </w:pPr>
      <w:r>
        <w:drawing>
          <wp:inline xmlns:a="http://schemas.openxmlformats.org/drawingml/2006/main" xmlns:pic="http://schemas.openxmlformats.org/drawingml/2006/picture">
            <wp:extent cx="5940000" cy="350889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36"/>
                    <a:stretch>
                      <a:fillRect/>
                    </a:stretch>
                  </pic:blipFill>
                  <pic:spPr>
                    <a:xfrm>
                      <a:off x="0" y="0"/>
                      <a:ext cx="5940000" cy="3508895"/>
                    </a:xfrm>
                    <a:prstGeom prst="rect"/>
                  </pic:spPr>
                </pic:pic>
              </a:graphicData>
            </a:graphic>
          </wp:inline>
        </w:drawing>
      </w:r>
    </w:p>
    <w:p>
      <w:pPr>
        <w:spacing w:before="40" w:after="160"/>
        <w:jc w:val="center"/>
      </w:pPr>
      <w:r>
        <w:rPr>
          <w:rFonts w:ascii="Times New Roman" w:hAnsi="Times New Roman"/>
          <w:color w:val="000000"/>
          <w:sz w:val="16"/>
        </w:rPr>
        <w:t>Fig. 4.  Log-scale latency spectrum comparing data-plane mitigation and control-plane triage (Table IV).</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sectPr>
      </w:pPr>
    </w:p>
    <w:p>
      <w:pPr>
        <w:pStyle w:val="Heading2"/>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spacing w:before="120" w:after="40"/>
        <w:jc w:val="center"/>
      </w:pPr>
      <w:r>
        <w:drawing>
          <wp:inline xmlns:a="http://schemas.openxmlformats.org/drawingml/2006/main" xmlns:pic="http://schemas.openxmlformats.org/drawingml/2006/picture">
            <wp:extent cx="5940000" cy="2464037"/>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37"/>
                    <a:stretch>
                      <a:fillRect/>
                    </a:stretch>
                  </pic:blipFill>
                  <pic:spPr>
                    <a:xfrm>
                      <a:off x="0" y="0"/>
                      <a:ext cx="5940000" cy="2464037"/>
                    </a:xfrm>
                    <a:prstGeom prst="rect"/>
                  </pic:spPr>
                </pic:pic>
              </a:graphicData>
            </a:graphic>
          </wp:inline>
        </w:drawing>
      </w:r>
    </w:p>
    <w:p>
      <w:pPr>
        <w:spacing w:before="40" w:after="160"/>
        <w:jc w:val="center"/>
      </w:pPr>
      <w:r>
        <w:rPr>
          <w:rFonts w:ascii="Times New Roman" w:hAnsi="Times New Roman"/>
          <w:color w:val="000000"/>
          <w:sz w:val="16"/>
        </w:rPr>
        <w:t>Fig. 5.  Defense capability, air-gapped readiness, and sovereignty compliance matrix (Table V).</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sectPr>
      </w:pPr>
    </w:p>
    <w:p>
      <w:pPr>
        <w:pStyle w:val="Heading1"/>
        <w:keepNext/>
        <w:spacing w:before="240" w:after="80"/>
        <w:jc w:val="center"/>
      </w:pPr>
      <w:r>
        <w:rPr>
          <w:rFonts w:ascii="Times New Roman" w:hAnsi="Times New Roman"/>
          <w:b/>
          <w:color w:val="000000"/>
          <w:sz w:val="20"/>
        </w:rPr>
        <w:t>V.  EXPERIMENTAL SETUP AND RESULTS</w:t>
      </w:r>
    </w:p>
    <w:p>
      <w:pPr>
        <w:pStyle w:val="Heading2"/>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pStyle w:val="Heading2"/>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pStyle w:val="Heading2"/>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pStyle w:val="Heading2"/>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pStyle w:val="Heading2"/>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pStyle w:val="Heading1"/>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pStyle w:val="Heading1"/>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pStyle w:val="Heading1"/>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pStyle w:val="Heading1"/>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sectPr>
      </w:pPr>
    </w:p>
    <w:p>
      <w:pPr>
        <w:pStyle w:val="Heading1"/>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https://github.com/Sadek-Mahmud/asm-shadhin-ai.</w:t>
      </w:r>
    </w:p>
    <w:p>
      <w:pPr>
        <w:pStyle w:val="Heading1"/>
        <w:keepNext/>
        <w:spacing w:before="240" w:after="80"/>
        <w:jc w:val="center"/>
      </w:pPr>
      <w:r>
        <w:rPr>
          <w:rFonts w:ascii="Times New Roman" w:hAnsi="Times New Roman"/>
          <w:b/>
          <w:color w:val="000000"/>
          <w:sz w:val="20"/>
        </w:rPr>
        <w:t>AUTHOR BIOGRAPHY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184"/>
        <w:gridCol w:w="5184"/>
      </w:tblGrid>
      <w:tr>
        <w:tc>
          <w:tcPr>
            <w:tcW w:type="dxa" w:w="1814"/>
          </w:tcPr>
          <w:p>
            <w:pPr>
              <w:jc w:val="center"/>
            </w:pPr>
            <w:r>
              <w:drawing>
                <wp:inline xmlns:a="http://schemas.openxmlformats.org/drawingml/2006/main" xmlns:pic="http://schemas.openxmlformats.org/drawingml/2006/picture">
                  <wp:extent cx="972000" cy="1295190"/>
                  <wp:docPr id="4" name="Picture 4"/>
                  <wp:cNvGraphicFramePr>
                    <a:graphicFrameLocks noChangeAspect="1"/>
                  </wp:cNvGraphicFramePr>
                  <a:graphic>
                    <a:graphicData uri="http://schemas.openxmlformats.org/drawingml/2006/picture">
                      <pic:pic>
                        <pic:nvPicPr>
                          <pic:cNvPr id="0" name="ref_photo.jpg"/>
                          <pic:cNvPicPr/>
                        </pic:nvPicPr>
                        <pic:blipFill>
                          <a:blip r:embed="rId38"/>
                          <a:stretch>
                            <a:fillRect/>
                          </a:stretch>
                        </pic:blipFill>
                        <pic:spPr>
                          <a:xfrm>
                            <a:off x="0" y="0"/>
                            <a:ext cx="972000" cy="1295190"/>
                          </a:xfrm>
                          <a:prstGeom prst="rect"/>
                        </pic:spPr>
                      </pic:pic>
                    </a:graphicData>
                  </a:graphic>
                </wp:inline>
              </w:drawing>
            </w:r>
          </w:p>
        </w:tc>
        <w:tc>
          <w:tcPr>
            <w:tcW w:type="dxa" w:w="7824"/>
          </w:tcPr>
          <w:p>
            <w:pPr>
              <w:jc w:val="both"/>
            </w:pPr>
            <w:r>
              <w:rPr>
                <w:rFonts w:ascii="Times New Roman" w:hAnsi="Times New Roman"/>
                <w:b/>
                <w:sz w:val="18"/>
              </w:rPr>
              <w:t xml:space="preserve">A S M Hossain Mahmud (Shadhin) </w:t>
            </w:r>
            <w:r>
              <w:rPr>
                <w:rFonts w:ascii="Times New Roman" w:hAnsi="Times New Roman"/>
                <w:sz w:val="17"/>
              </w:rPr>
              <w:t>received the B.Sc. degree in Computer Science and Engineering. His primary research interests include kernel-space high-throughput packet processing using eBPF/XDP, post-quantum cryptographic implementations (NIST FIPS 203 ML-KEM-1024 and FIPS 204 ML-DSA-65), sovereign local artificial intelligence architectures for automated threat reasoning, proactive moving target defense (HMAC-SHA256 port hopping), and active cyber deception. He is the lead architect and developer of the Autonomous Post-Quantum Cyber Defense Agent (asm-shadhin-ai) framework.</w:t>
            </w:r>
          </w:p>
        </w:tc>
      </w:tr>
    </w:tbl>
    <w:p>
      <w:pPr>
        <w:sectPr>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cols w:space="288"/>
        </w:sectPr>
      </w:pP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cols w:space="288"/>
      <w:cols w:num="2" w:space="720" w:equalWidth="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AA182" w14:textId="77777777" w:rsidR="003D21A4" w:rsidRDefault="003D21A4">
      <w:r>
        <w:separator/>
      </w:r>
    </w:p>
  </w:endnote>
  <w:endnote w:type="continuationSeparator" w:id="0">
    <w:p w14:paraId="298A97AA" w14:textId="77777777" w:rsidR="003D21A4" w:rsidRDefault="003D21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roman"/>
    <w:pitch w:val="variable"/>
    <w:sig w:usb0="80000067" w:usb1="02000000" w:usb2="00000000" w:usb3="00000000" w:csb0="0000019F" w:csb1="00000000"/>
  </w:font>
  <w:font w:name="Formata-Regular">
    <w:altName w:val="Calibri"/>
    <w:panose1 w:val="00000000000000000000"/>
    <w:charset w:val="00"/>
    <w:family w:val="roman"/>
    <w:notTrueType/>
    <w:pitch w:val="default"/>
  </w:font>
  <w:font w:name="MS Mincho">
    <w:altName w:val="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Yu Gothic"/>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2F6B13" w14:textId="77777777" w:rsidR="003D21A4" w:rsidRPr="009A0AA6" w:rsidRDefault="003D21A4" w:rsidP="009A0AA6">
      <w:pPr>
        <w:pStyle w:val="Footer"/>
      </w:pPr>
    </w:p>
  </w:footnote>
  <w:footnote w:type="continuationSeparator" w:id="0">
    <w:p w14:paraId="0020E514" w14:textId="77777777" w:rsidR="003D21A4" w:rsidRDefault="003D21A4">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3161145">
    <w:abstractNumId w:val="9"/>
  </w:num>
  <w:num w:numId="2" w16cid:durableId="2045328704">
    <w:abstractNumId w:val="2"/>
  </w:num>
  <w:num w:numId="3" w16cid:durableId="2093509055">
    <w:abstractNumId w:val="1"/>
  </w:num>
  <w:num w:numId="4" w16cid:durableId="271281071">
    <w:abstractNumId w:val="8"/>
  </w:num>
  <w:num w:numId="5" w16cid:durableId="1310592536">
    <w:abstractNumId w:val="5"/>
  </w:num>
  <w:num w:numId="6" w16cid:durableId="30106803">
    <w:abstractNumId w:val="6"/>
  </w:num>
  <w:num w:numId="7" w16cid:durableId="10054015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8893242">
    <w:abstractNumId w:val="4"/>
  </w:num>
  <w:num w:numId="9" w16cid:durableId="1583679067">
    <w:abstractNumId w:val="3"/>
  </w:num>
  <w:num w:numId="10" w16cid:durableId="1219125038">
    <w:abstractNumId w:val="7"/>
  </w:num>
  <w:num w:numId="11" w16cid:durableId="2023893337">
    <w:abstractNumId w:val="0"/>
  </w:num>
  <w:num w:numId="12" w16cid:durableId="1371687492">
    <w:abstractNumId w:val="11"/>
  </w:num>
  <w:num w:numId="13" w16cid:durableId="11669390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C3492"/>
    <w:rsid w:val="002E2421"/>
    <w:rsid w:val="002F221E"/>
    <w:rsid w:val="00305C29"/>
    <w:rsid w:val="0031286C"/>
    <w:rsid w:val="00313303"/>
    <w:rsid w:val="00357347"/>
    <w:rsid w:val="0036091A"/>
    <w:rsid w:val="003913E5"/>
    <w:rsid w:val="003D21A4"/>
    <w:rsid w:val="003F021E"/>
    <w:rsid w:val="00402320"/>
    <w:rsid w:val="004063A4"/>
    <w:rsid w:val="00474613"/>
    <w:rsid w:val="0048247F"/>
    <w:rsid w:val="004A4B26"/>
    <w:rsid w:val="004B29E3"/>
    <w:rsid w:val="004C0A1B"/>
    <w:rsid w:val="004C0A56"/>
    <w:rsid w:val="004C1E98"/>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6199E"/>
    <w:rsid w:val="00986618"/>
    <w:rsid w:val="009A0AA6"/>
    <w:rsid w:val="009B429F"/>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34F74"/>
  <w15:docId w15:val="{FD0F34D0-C1E7-499E-9FDC-4335FA63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0"/>
    </w:r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png"/><Relationship Id="rId33" Type="http://schemas.openxmlformats.org/officeDocument/2006/relationships/header" Target="header2.xml"/><Relationship Id="rId34" Type="http://schemas.openxmlformats.org/officeDocument/2006/relationships/footer" Target="footer1.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1243</TotalTime>
  <Pages>6</Pages>
  <Words>4704</Words>
  <Characters>26818</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 S M Hossain Mahmud (Shadhin)</dc:creator>
  <cp:lastModifiedBy>Microsoft Word for Microsoft 365</cp:lastModifiedBy>
  <cp:revision>67</cp:revision>
  <cp:lastPrinted>2022-10-11T10:58:00Z</cp:lastPrinted>
  <dcterms:created xsi:type="dcterms:W3CDTF">2022-10-06T08:13:00Z</dcterms:created>
  <dcterms:modified xsi:type="dcterms:W3CDTF">2023-03-01T15:04:00Z</dcterms:modified>
  <dc:title>Autonomous Post-Quantum Cyber Defense Agent: Sovereign Line-Rate Intrusion Defence via Kernel-eBPF and Local-LLM</dc:title>
  <dc:subject>IEEE Transactions Research Paper</dc:subject>
  <cp:keywords>eBPF, XDP, Autonomous Cyber Defense, Post-Quantum Cryptography, ML-KEM-1024, Shannon Entropy</cp:keywords>
</cp:coreProperties>
</file>