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fast-path)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Tarpit Redirect (Deception Port)</w:t>
            </w:r>
          </w:p>
        </w:tc>
        <w:tc>
          <w:tcPr>
            <w:tcW w:type="dxa" w:w="2551"/>
            <w:vAlign w:val="center"/>
            <w:shd w:val="clear" w:color="auto" w:fill="F9F9F9"/>
          </w:tcPr>
          <w:p>
            <w:pPr>
              <w:jc w:val="center"/>
            </w:pPr>
            <w:r>
              <w:rPr>
                <w:rFonts w:ascii="Calibri" w:hAnsi="Calibri"/>
                <w:b w:val="0"/>
                <w:color w:val="000000"/>
                <w:sz w:val="18"/>
              </w:rPr>
              <w:t>BPF_MAP_TYPE_HASH</w:t>
            </w:r>
          </w:p>
        </w:tc>
        <w:tc>
          <w:tcPr>
            <w:tcW w:type="dxa" w:w="2268"/>
            <w:vAlign w:val="center"/>
            <w:shd w:val="clear" w:color="auto" w:fill="F9F9F9"/>
          </w:tcPr>
          <w:p>
            <w:pPr>
              <w:jc w:val="center"/>
            </w:pPr>
            <w:r>
              <w:rPr>
                <w:rFonts w:ascii="Calibri" w:hAnsi="Calibri"/>
                <w:b w:val="0"/>
                <w:color w:val="000000"/>
                <w:sz w:val="18"/>
              </w:rPr>
              <w:t>XDP_PASS -&gt; nftables</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TCP Flag Anomaly: Null/Xmas/SYN+FIN</w:t>
            </w:r>
          </w:p>
        </w:tc>
        <w:tc>
          <w:tcPr>
            <w:tcW w:type="dxa" w:w="2551"/>
            <w:vAlign w:val="center"/>
            <w:shd w:val="clear" w:color="auto" w:fill="FFFFFF"/>
          </w:tcPr>
          <w:p>
            <w:pPr>
              <w:jc w:val="center"/>
            </w:pPr>
            <w:r>
              <w:rPr>
                <w:rFonts w:ascii="Calibri" w:hAnsi="Calibri"/>
                <w:b w:val="0"/>
                <w:color w:val="000000"/>
                <w:sz w:val="18"/>
              </w:rPr>
              <w:t>Inline classifier</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and FIPS 204 ML-DSA-65 (digital signatures),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[99.11%, 99.13%],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9-check diagnostic integrity suite (9/9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10,000,000 evaluated flows: median latency p50 = 0.33 us, p90 = 0.92 us, p95 = 4.62 us, and p99 = 20.79 us (including deep payload entropy inspection), confirming wire-speed sub-microsecond inline mitigation. LLM inference averaged 148 ms at Q4_K_M quantisation, operating asynchronously on the control plane without impeding packet forwarding.</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