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000000"/>
          <w:sz w:val="36"/>
        </w:rPr>
        <w:t>Autonomous Post-Quantum Cyber Defense Agent: Sovereign Line-Rate Intrusion Defence via Kernel-eBPF and Local-LLM</w:t>
      </w:r>
    </w:p>
    <w:p>
      <w:pPr>
        <w:spacing w:after="40"/>
        <w:jc w:val="center"/>
      </w:pPr>
      <w:r>
        <w:rPr>
          <w:rFonts w:ascii="Times New Roman" w:hAnsi="Times New Roman"/>
          <w:b/>
          <w:color w:val="000000"/>
          <w:sz w:val="23"/>
        </w:rPr>
        <w:t>A S M Hossain Mahmud (Shadhin)</w:t>
      </w:r>
    </w:p>
    <w:p>
      <w:pPr>
        <w:spacing w:after="20"/>
        <w:jc w:val="center"/>
      </w:pPr>
      <w:r>
        <w:rPr>
          <w:rFonts w:ascii="Times New Roman" w:hAnsi="Times New Roman"/>
          <w:b w:val="0"/>
          <w:color w:val="333333"/>
          <w:sz w:val="19"/>
        </w:rPr>
        <w:t>Department of Computer Science and Engineering</w:t>
      </w:r>
    </w:p>
    <w:p>
      <w:pPr>
        <w:spacing w:after="40"/>
        <w:jc w:val="center"/>
      </w:pPr>
      <w:r>
        <w:rPr>
          <w:rFonts w:ascii="Times New Roman" w:hAnsi="Times New Roman"/>
          <w:b w:val="0"/>
          <w:color w:val="333333"/>
          <w:sz w:val="18"/>
        </w:rPr>
        <w:t>Bangladesh Army University of Science and Technology (BAUST), Saidpur 5310, Bangladesh</w:t>
      </w:r>
    </w:p>
    <w:p>
      <w:pPr>
        <w:spacing w:after="120"/>
        <w:jc w:val="center"/>
      </w:pPr>
      <w:r>
        <w:rPr>
          <w:rFonts w:ascii="Times New Roman" w:hAnsi="Times New Roman"/>
          <w:b w:val="0"/>
          <w:color w:val="000000"/>
          <w:sz w:val="17"/>
        </w:rPr>
        <w:t>Email: sadekshadhin2000@gmail.com  •  Open-Source Code: https://github.com/Sadek-Mahmud/asm-shadhin-ai</w:t>
      </w:r>
    </w:p>
    <w:p>
      <w:pPr>
        <w:spacing w:before="0" w:after="120"/>
        <w:pBdr>
          <w:bottom w:val="single" w:sz="6" w:space="2" w:color="000000"/>
        </w:pBdr>
      </w:pPr>
    </w:p>
    <w:p>
      <w:pPr>
        <w:spacing w:after="80" w:line="276" w:lineRule="auto"/>
        <w:ind w:left="567" w:right="567"/>
        <w:jc w:val="both"/>
      </w:pPr>
      <w:r>
        <w:rPr>
          <w:rFonts w:ascii="Times New Roman" w:hAnsi="Times New Roman"/>
          <w:b/>
          <w:i/>
          <w:sz w:val="18"/>
        </w:rPr>
        <w:t>Abstract</w:t>
      </w:r>
      <w:r>
        <w:rPr>
          <w:rFonts w:ascii="Times New Roman" w:hAnsi="Times New Roman"/>
          <w:b/>
          <w:sz w:val="18"/>
        </w:rPr>
        <w:t>—</w:t>
      </w:r>
      <w:r>
        <w:rPr>
          <w:rFonts w:ascii="Times New Roman" w:hAnsi="Times New Roman"/>
          <w:b/>
          <w:color w:val="000000"/>
          <w:sz w:val="18"/>
        </w:rPr>
        <w:t>Modern network perimeters face a critical trade-off between inspection depth, inline latency, and operational sovereignty. Legacy open-source intrusion detection systems (Snort 3.x, Suricata 7.x) achieve only 68.4%–71.2% evasion recall with elevated false-positive rates (11.3%–14.8%) and 180–800 us user-space queuing latency. Conversely, commercial Next-Generation Firewalls (Palo Alto, Cisco) and cloud DDoS scrubbing platforms (Cloudflare) reach at most 85.4%–89.2% evasion recall but demand mandatory cloud telemetry ingestion, 15–50 ms WAN routing latencies, and recurrent subscription costs ($40k–$200k/yr) that disqualify them from classified or air-gapped deployments. This paper presents the Autonomous Post-Quantum Cyber Defense Agent, a fully sovereign, offline-capable hybrid defense architecture that fuses three complementary tiers: (i) an in-kernel eBPF/XDP data-plane filter achieving wire-speed mitigation at 0.33 us median latency, (ii) a locally hosted, quantized autonomous agent (asm-shadhin-ai) executing asynchronous semantic threat triage without cloud dependencies, and (iii) proactive Moving Target Defense (HMAC-SHA256 port hopping), zero-decryption Shannon byte-entropy C2 beacon detection, and an adversarial AI-tarpit deception engine. Evaluated across a comprehensive corpus of 10,000,000 network flows calibrated to CSE-CIC-IDS2018, UNSW-NB15, and CTU-13 benchmarks, the system achieves an evasion recall (TPR) of 98.64% (95% CI: [98.61%, 98.67%], p &lt; 0.001) and a false-positive rate of 0.12% (95% CI: [0.11%, 0.13%]), with 99.72% precision, 99.18% F1-score, and 0.9882 Matthews Correlation Coefficient. This represents a +9.44% absolute recall advantage over top commercial enterprise baselines, a +27.44% to +30.24% recall gain over open-source NIDS, a 37.5x to 123.3x reduction in false alarm rates, and a 545x to 2,424x reduction in inline packet mitigation latency, delivering verifiable line-rate defense with zero cloud telemetry exposure.</w:t>
      </w:r>
    </w:p>
    <w:p>
      <w:pPr>
        <w:spacing w:after="160"/>
        <w:ind w:left="567" w:right="567"/>
        <w:jc w:val="both"/>
      </w:pPr>
      <w:r>
        <w:rPr>
          <w:rFonts w:ascii="Times New Roman" w:hAnsi="Times New Roman"/>
          <w:b/>
          <w:i/>
          <w:sz w:val="18"/>
        </w:rPr>
        <w:t>Index Terms</w:t>
      </w:r>
      <w:r>
        <w:rPr>
          <w:rFonts w:ascii="Times New Roman" w:hAnsi="Times New Roman"/>
          <w:b/>
          <w:sz w:val="18"/>
        </w:rPr>
        <w:t>—</w:t>
      </w:r>
      <w:r>
        <w:rPr>
          <w:rFonts w:ascii="Times New Roman" w:hAnsi="Times New Roman"/>
          <w:color w:val="000000"/>
          <w:sz w:val="18"/>
        </w:rPr>
        <w:t>Extended Berkeley Packet Filter, XDP, intrusion detection, moving target defence, Shannon entropy, large language model, encrypted traffic analysis, command-and-control detection, post-quantum cryptography, air-gapped security, tarpit deception.</w:t>
      </w:r>
    </w:p>
    <w:p>
      <w:pPr>
        <w:spacing w:before="0" w:after="120"/>
        <w:pBdr>
          <w:bottom w:val="single" w:sz="6" w:space="2" w:color="000000"/>
        </w:pBdr>
      </w:pPr>
    </w:p>
    <w:p>
      <w:pPr>
        <w:sectPr>
          <w:footerReference w:type="default" r:id="rId9"/>
          <w:pgSz w:w="12240" w:h="15840"/>
          <w:pgMar w:top="1020" w:right="794" w:bottom="1134" w:left="794" w:header="720" w:footer="720" w:gutter="0"/>
          <w:cols w:space="720"/>
          <w:docGrid w:linePitch="360"/>
        </w:sectPr>
      </w:pPr>
    </w:p>
    <w:p>
      <w:pPr>
        <w:keepNext/>
        <w:spacing w:before="240" w:after="80"/>
        <w:jc w:val="center"/>
      </w:pPr>
      <w:r>
        <w:rPr>
          <w:rFonts w:ascii="Times New Roman" w:hAnsi="Times New Roman"/>
          <w:b/>
          <w:color w:val="000000"/>
          <w:sz w:val="20"/>
        </w:rPr>
        <w:t>I.  INTRODUCTION</w:t>
      </w:r>
    </w:p>
    <w:p>
      <w:pPr>
        <w:spacing w:after="60" w:line="276" w:lineRule="auto"/>
        <w:ind w:firstLine="255"/>
        <w:jc w:val="both"/>
      </w:pPr>
      <w:r>
        <w:rPr>
          <w:rFonts w:ascii="Times New Roman" w:hAnsi="Times New Roman"/>
          <w:i w:val="0"/>
          <w:color w:val="000000"/>
          <w:sz w:val="20"/>
        </w:rPr>
        <w:t>The threat landscape confronting enterprise and critical-infrastructure networks has undergone a qualitative shift over the past several years. Where earlier adversarial campaigns relied predominantly on known exploit signatures that static rule sets could reliably detect, contemporary threat actors routinely employ polymorphic payloads, adversarial evasion techniques, low-and-slow reconnaissance scans, and encrypted command-and-control (C2) beaconing over TLS 1.3 to evade perimeter defenses.</w:t>
      </w:r>
    </w:p>
    <w:p>
      <w:pPr>
        <w:spacing w:after="60" w:line="276" w:lineRule="auto"/>
        <w:ind w:firstLine="255"/>
        <w:jc w:val="both"/>
      </w:pPr>
      <w:r>
        <w:rPr>
          <w:rFonts w:ascii="Times New Roman" w:hAnsi="Times New Roman"/>
          <w:i w:val="0"/>
          <w:color w:val="000000"/>
          <w:sz w:val="20"/>
        </w:rPr>
        <w:t>Existing solutions partition broadly into two paradigms, each with severe limitations. On one hand, open-source Intrusion Detection and Prevention Systems (IDS/IPS) such as Snort 3.x and Suricata 7.x operate in user-space via packet-capture interfaces (AF_PACKET, DAQ). Under gigabit traffic loads, the associated kernel-to-user copy overhead and rule-evaluation latency (180–800 us) induce severe packet drops, enabling evasion attacks. Furthermore, their detection mechanisms rely primarily on syntactic pattern matching, leaving them vulnerable to polymorphic variants and zero-day exploits.</w:t>
      </w:r>
    </w:p>
    <w:p>
      <w:pPr>
        <w:spacing w:after="60" w:line="276" w:lineRule="auto"/>
        <w:ind w:firstLine="255"/>
        <w:jc w:val="both"/>
      </w:pPr>
      <w:r>
        <w:rPr>
          <w:rFonts w:ascii="Times New Roman" w:hAnsi="Times New Roman"/>
          <w:i w:val="0"/>
          <w:color w:val="000000"/>
          <w:sz w:val="20"/>
        </w:rPr>
        <w:t>On the other hand, commercial Next-Generation Firewalls (e.g., Palo Alto PAN-OS 11, Cisco Firepower) and cloud-based DDoS scrubbing networks (e.g., Cloudflare Magic Transit) provide deeper inspection via proprietary cloud-hosted machine learning engines. However, these systems introduce three disqualifying trade-offs: (1) Telemetry Leakage: network metadata and decrypted packet payloads are continuously transmitted to third-party cloud infrastructure (WildFire, Talos), violating data-sovereignty mandates in defense, intelligence, and classified environments; (2) Operational Dependency: defense perimeters degrade or fail entirely in air-gapped or degraded network settings where cloud uplinks are unavailable; and (3) Financial Overhead: recurring subscription licensing ($40,000–$200,000 annually) places enterprise-grade defense out of reach for resource-constrained institutions.</w:t>
      </w:r>
    </w:p>
    <w:p>
      <w:pPr>
        <w:spacing w:after="60" w:line="276" w:lineRule="auto"/>
        <w:ind w:firstLine="255"/>
        <w:jc w:val="both"/>
      </w:pPr>
      <w:r>
        <w:rPr>
          <w:rFonts w:ascii="Times New Roman" w:hAnsi="Times New Roman"/>
          <w:i w:val="0"/>
          <w:color w:val="000000"/>
          <w:sz w:val="20"/>
        </w:rPr>
        <w:t>To resolve this trilemma, we present the Autonomous Post-Quantum Cyber Defense Agent, an open-source, fully sovereign network defense architecture that integrates wire-speed in-kernel mitigation with local, offline AI-driven threat reasoning and post-quantum cryptographic resilience.</w:t>
      </w:r>
    </w:p>
    <w:p>
      <w:pPr>
        <w:keepNext/>
        <w:spacing w:before="160" w:after="40"/>
        <w:jc w:val="left"/>
      </w:pPr>
      <w:r>
        <w:rPr>
          <w:rFonts w:ascii="Times New Roman" w:hAnsi="Times New Roman"/>
          <w:b/>
          <w:i/>
          <w:color w:val="000000"/>
          <w:sz w:val="20"/>
        </w:rPr>
        <w:t>A. Research Contributions</w:t>
      </w:r>
    </w:p>
    <w:p>
      <w:pPr>
        <w:spacing w:after="60" w:line="276" w:lineRule="auto"/>
        <w:ind w:firstLine="255"/>
        <w:jc w:val="both"/>
      </w:pPr>
      <w:r>
        <w:rPr>
          <w:rFonts w:ascii="Times New Roman" w:hAnsi="Times New Roman"/>
          <w:i w:val="0"/>
          <w:color w:val="000000"/>
          <w:sz w:val="20"/>
        </w:rPr>
        <w:t>This paper makes five core technical contributions:</w:t>
      </w:r>
    </w:p>
    <w:p>
      <w:pPr>
        <w:spacing w:after="60" w:line="276" w:lineRule="auto"/>
        <w:ind w:firstLine="255"/>
        <w:jc w:val="both"/>
      </w:pPr>
      <w:r>
        <w:rPr>
          <w:rFonts w:ascii="Times New Roman" w:hAnsi="Times New Roman"/>
          <w:i w:val="0"/>
          <w:color w:val="000000"/>
          <w:sz w:val="20"/>
        </w:rPr>
        <w:t>1. Wire-Speed In-Kernel Mitigation: An eBPF/XDP data-plane pipeline executing inside the network driver hook, delivering line-rate O(1) hash-map lookups and TCP flag anomaly classification with a measured median latency of 0.33 us (sub-microsecond) on commodity x86-64 hardware.</w:t>
      </w:r>
    </w:p>
    <w:p>
      <w:pPr>
        <w:spacing w:after="60" w:line="276" w:lineRule="auto"/>
        <w:ind w:firstLine="255"/>
        <w:jc w:val="both"/>
      </w:pPr>
      <w:r>
        <w:rPr>
          <w:rFonts w:ascii="Times New Roman" w:hAnsi="Times New Roman"/>
          <w:i w:val="0"/>
          <w:color w:val="000000"/>
          <w:sz w:val="20"/>
        </w:rPr>
        <w:t>2. Fully Sovereign, Air-Gapped AI Triage: A locally hosted, quantized autonomous agent executing asynchronous threat triage via structured JSON schemas, operating completely disconnected from public clouds without external API dependencies.</w:t>
      </w:r>
    </w:p>
    <w:p>
      <w:pPr>
        <w:spacing w:after="60" w:line="276" w:lineRule="auto"/>
        <w:ind w:firstLine="255"/>
        <w:jc w:val="both"/>
      </w:pPr>
      <w:r>
        <w:rPr>
          <w:rFonts w:ascii="Times New Roman" w:hAnsi="Times New Roman"/>
          <w:i w:val="0"/>
          <w:color w:val="000000"/>
          <w:sz w:val="20"/>
        </w:rPr>
        <w:t>3. Zero-Decryption Encrypted C2 Beacon Detection: A streaming Shannon byte-entropy estimation engine coupled with arrival-time jitter analysis that detects encrypted C2 communication (87.9% detection rate) without breaking TLS sessions.</w:t>
      </w:r>
    </w:p>
    <w:p>
      <w:pPr>
        <w:spacing w:after="60" w:line="276" w:lineRule="auto"/>
        <w:ind w:firstLine="255"/>
        <w:jc w:val="both"/>
      </w:pPr>
      <w:r>
        <w:rPr>
          <w:rFonts w:ascii="Times New Roman" w:hAnsi="Times New Roman"/>
          <w:i w:val="0"/>
          <w:color w:val="000000"/>
          <w:sz w:val="20"/>
        </w:rPr>
        <w:t>4. Post-Quantum Moving Target Defense: A proactive MTD subsystem employing HMAC-SHA256 pseudo-random port hopping combined with NIST FIPS 203 (ML-KEM-1024) key encapsulation and FIPS 204 (ML-DSA-65) digital signatures.</w:t>
      </w:r>
    </w:p>
    <w:p>
      <w:pPr>
        <w:spacing w:after="60" w:line="276" w:lineRule="auto"/>
        <w:ind w:firstLine="255"/>
        <w:jc w:val="both"/>
      </w:pPr>
      <w:r>
        <w:rPr>
          <w:rFonts w:ascii="Times New Roman" w:hAnsi="Times New Roman"/>
          <w:i w:val="0"/>
          <w:color w:val="000000"/>
          <w:sz w:val="20"/>
        </w:rPr>
        <w:t>5. Massive-Scale Empirical Validation: A rigorous evaluation across 10,000,000 network flows calibrated to CSE-CIC-IDS2018, UNSW-NB15, and CTU-13 benchmarks, demonstrating 98.64% evasion recall, 0.12% false-positive rate, and sub-microsecond inline packet drop.</w:t>
      </w:r>
    </w:p>
    <w:p>
      <w:pPr>
        <w:keepNext/>
        <w:spacing w:before="240" w:after="80"/>
        <w:jc w:val="center"/>
      </w:pPr>
      <w:r>
        <w:rPr>
          <w:rFonts w:ascii="Times New Roman" w:hAnsi="Times New Roman"/>
          <w:b/>
          <w:color w:val="000000"/>
          <w:sz w:val="20"/>
        </w:rPr>
        <w:t>II.  RELATED WORK &amp; LITERATURE GAP</w:t>
      </w:r>
    </w:p>
    <w:p>
      <w:pPr>
        <w:spacing w:after="60" w:line="276" w:lineRule="auto"/>
        <w:ind w:firstLine="255"/>
        <w:jc w:val="both"/>
      </w:pPr>
      <w:r>
        <w:rPr>
          <w:rFonts w:ascii="Times New Roman" w:hAnsi="Times New Roman"/>
          <w:i w:val="0"/>
          <w:color w:val="000000"/>
          <w:sz w:val="20"/>
        </w:rPr>
        <w:t>Network intrusion detection has evolved from early rule-based packet filters to modern AI-assisted analytic pipelines. Paxson's foundational work on Bro (Zeek) [1] and Roesch's Snort [2] established the signature-matching paradigm. While Suricata [14] introduced multi-threading and eBPF bypass capabilities, its primary detection pipeline remains tethered to user-space rule parsing, incurring measurable queuing latency.</w:t>
      </w:r>
    </w:p>
    <w:p>
      <w:pPr>
        <w:spacing w:after="60" w:line="276" w:lineRule="auto"/>
        <w:ind w:firstLine="255"/>
        <w:jc w:val="both"/>
      </w:pPr>
      <w:r>
        <w:rPr>
          <w:rFonts w:ascii="Times New Roman" w:hAnsi="Times New Roman"/>
          <w:i w:val="0"/>
          <w:color w:val="000000"/>
          <w:sz w:val="20"/>
        </w:rPr>
        <w:t>The adoption of eBPF and the eXpress Data Path (XDP) has revolutionized data-plane programmability. Hoiland-Jorgensen et al. [4] demonstrated wire-speed packet processing at the network driver level. Miano et al. [3] explored complex network services using eBPF, and SmartNIC offloading was evaluated in [5]. However, prior eBPF-based intrusion prevention frameworks rely on static rule sets or external user-space controllers that introduce control-plane latency bottlenecks.</w:t>
      </w:r>
    </w:p>
    <w:p>
      <w:pPr>
        <w:spacing w:after="60" w:line="276" w:lineRule="auto"/>
        <w:ind w:firstLine="255"/>
        <w:jc w:val="both"/>
      </w:pPr>
      <w:r>
        <w:rPr>
          <w:rFonts w:ascii="Times New Roman" w:hAnsi="Times New Roman"/>
          <w:i w:val="0"/>
          <w:color w:val="000000"/>
          <w:sz w:val="20"/>
        </w:rPr>
        <w:t>In AI-driven network security, machine learning models trained on benchmark corpora such as KDD-99 [6], CSE-CIC-IDS2018 [19], and UNSW-NB15 [18] have demonstrated high detection rates. However, existing implementations suffer from severe vulnerability to adversarial evasion [15] and require high-performance GPUs or cloud connectivity, rendering them unsuitable for air-gapped embedded appliances.</w:t>
      </w:r>
    </w:p>
    <w:p>
      <w:pPr>
        <w:keepNext/>
        <w:spacing w:before="240" w:after="80"/>
        <w:jc w:val="center"/>
      </w:pPr>
      <w:r>
        <w:rPr>
          <w:rFonts w:ascii="Times New Roman" w:hAnsi="Times New Roman"/>
          <w:b/>
          <w:color w:val="000000"/>
          <w:sz w:val="20"/>
        </w:rPr>
        <w:t>III.  SYSTEM ARCHITECTURE &amp; DESIGN</w:t>
      </w:r>
    </w:p>
    <w:p>
      <w:pPr>
        <w:spacing w:after="60" w:line="276" w:lineRule="auto"/>
        <w:ind w:firstLine="255"/>
        <w:jc w:val="both"/>
      </w:pPr>
      <w:r>
        <w:rPr>
          <w:rFonts w:ascii="Times New Roman" w:hAnsi="Times New Roman"/>
          <w:i w:val="0"/>
          <w:color w:val="000000"/>
          <w:sz w:val="20"/>
        </w:rPr>
        <w:t>The system architecture enforces strict separation of concerns across two decoupled operational tiers: (1) the In-Kernel Synchronous Data Plane (eBPF/XDP), optimized for deterministic sub-microsecond packet inspection, filtering, and redirection; and (2) the Asynchronous User-Space Control Plane (Local LLM &amp; Daemons), responsible for semantic triage, forensic audit logging, and dynamic defense adaptation.</w:t>
      </w:r>
    </w:p>
    <w:p>
      <w:pPr>
        <w:keepNext/>
        <w:spacing w:before="160" w:after="40"/>
        <w:jc w:val="left"/>
      </w:pPr>
      <w:r>
        <w:rPr>
          <w:rFonts w:ascii="Times New Roman" w:hAnsi="Times New Roman"/>
          <w:b/>
          <w:i/>
          <w:color w:val="000000"/>
          <w:sz w:val="20"/>
        </w:rPr>
        <w:t>A. Extended Berkeley Packet Filter (eBPF) Data Plane</w:t>
      </w:r>
    </w:p>
    <w:p>
      <w:pPr>
        <w:spacing w:after="60" w:line="276" w:lineRule="auto"/>
        <w:ind w:firstLine="255"/>
        <w:jc w:val="both"/>
      </w:pPr>
      <w:r>
        <w:rPr>
          <w:rFonts w:ascii="Times New Roman" w:hAnsi="Times New Roman"/>
          <w:i w:val="0"/>
          <w:color w:val="000000"/>
          <w:sz w:val="20"/>
        </w:rPr>
        <w:t>The data plane is implemented as an XDP driver hook program compiled via Clang/LLVM into native BPF bytecode. Incoming packets are intercepted at the network interface controller (NIC) before operating-system socket buffer (sk_buff) allocation occurs. The XDP program executes a four-stage pipeline:</w:t>
      </w:r>
    </w:p>
    <w:p>
      <w:pPr>
        <w:sectPr>
          <w:type w:val="continuous"/>
          <w:pgSz w:w="12240" w:h="15840"/>
          <w:pgMar w:top="1020" w:right="794" w:bottom="1134" w:left="794" w:header="720" w:footer="720" w:gutter="0"/>
          <w:cols w:space="720"/>
          <w:docGrid w:linePitch="360"/>
          <w:cols w:num="2" w:space="540"/>
        </w:sectPr>
      </w:pPr>
    </w:p>
    <w:p>
      <w:pPr>
        <w:keepNext/>
        <w:spacing w:before="160" w:after="20"/>
        <w:jc w:val="center"/>
      </w:pPr>
      <w:r>
        <w:rPr>
          <w:rFonts w:ascii="Times New Roman" w:hAnsi="Times New Roman"/>
          <w:b/>
          <w:color w:val="000000"/>
          <w:sz w:val="17"/>
        </w:rPr>
        <w:t>TABLE I</w:t>
      </w:r>
    </w:p>
    <w:p>
      <w:pPr>
        <w:keepNext/>
        <w:spacing w:before="0" w:after="80"/>
        <w:jc w:val="center"/>
      </w:pPr>
      <w:r>
        <w:rPr>
          <w:rFonts w:ascii="Times New Roman" w:hAnsi="Times New Roman"/>
          <w:color w:val="000000"/>
          <w:sz w:val="16"/>
        </w:rPr>
        <w:t>XDP PROGRAMME PIPELINE STAGES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il"/>
          <w:right w:val="nil"/>
          <w:insideV w:val="nil"/>
        </w:tblBorders>
      </w:tblPr>
      <w:tblGrid>
        <w:gridCol w:w="2663"/>
        <w:gridCol w:w="2663"/>
        <w:gridCol w:w="2663"/>
        <w:gridCol w:w="2663"/>
      </w:tblGrid>
      <w:tr>
        <w:tc>
          <w:tcPr>
            <w:tcW w:type="dxa" w:w="907"/>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Stage</w:t>
            </w:r>
          </w:p>
        </w:tc>
        <w:tc>
          <w:tcPr>
            <w:tcW w:type="dxa" w:w="4082"/>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Operation</w:t>
            </w:r>
          </w:p>
        </w:tc>
        <w:tc>
          <w:tcPr>
            <w:tcW w:type="dxa" w:w="2835"/>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BPF Map Type</w:t>
            </w:r>
          </w:p>
        </w:tc>
        <w:tc>
          <w:tcPr>
            <w:tcW w:type="dxa" w:w="215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Outcome</w:t>
            </w:r>
          </w:p>
        </w:tc>
      </w:tr>
      <w:tr>
        <w:tc>
          <w:tcPr>
            <w:tcW w:type="dxa" w:w="907"/>
            <w:vAlign w:val="center"/>
            <w:shd w:val="clear" w:color="auto" w:fill="FFFFFF"/>
          </w:tcPr>
          <w:p>
            <w:pPr>
              <w:spacing w:before="40" w:after="40"/>
              <w:jc w:val="center"/>
            </w:pPr>
            <w:r>
              <w:rPr>
                <w:rFonts w:ascii="Times New Roman" w:hAnsi="Times New Roman"/>
                <w:b w:val="0"/>
                <w:color w:val="000000"/>
                <w:sz w:val="15"/>
              </w:rPr>
              <w:t>1</w:t>
            </w:r>
          </w:p>
        </w:tc>
        <w:tc>
          <w:tcPr>
            <w:tcW w:type="dxa" w:w="4082"/>
            <w:vAlign w:val="center"/>
            <w:shd w:val="clear" w:color="auto" w:fill="FFFFFF"/>
          </w:tcPr>
          <w:p>
            <w:pPr>
              <w:spacing w:before="40" w:after="40"/>
              <w:jc w:val="left"/>
            </w:pPr>
            <w:r>
              <w:rPr>
                <w:rFonts w:ascii="Times New Roman" w:hAnsi="Times New Roman"/>
                <w:b w:val="0"/>
                <w:color w:val="000000"/>
                <w:sz w:val="15"/>
              </w:rPr>
              <w:t>IP Blocklist Lookup (O(1) fast-path)</w:t>
            </w:r>
          </w:p>
        </w:tc>
        <w:tc>
          <w:tcPr>
            <w:tcW w:type="dxa" w:w="2835"/>
            <w:vAlign w:val="center"/>
            <w:shd w:val="clear" w:color="auto" w:fill="FFFFFF"/>
          </w:tcPr>
          <w:p>
            <w:pPr>
              <w:spacing w:before="40" w:after="40"/>
              <w:jc w:val="left"/>
            </w:pPr>
            <w:r>
              <w:rPr>
                <w:rFonts w:ascii="Times New Roman" w:hAnsi="Times New Roman"/>
                <w:b w:val="0"/>
                <w:color w:val="000000"/>
                <w:sz w:val="15"/>
              </w:rPr>
              <w:t>BPF_MAP_TYPE_HASH</w:t>
            </w:r>
          </w:p>
        </w:tc>
        <w:tc>
          <w:tcPr>
            <w:tcW w:type="dxa" w:w="2154"/>
            <w:vAlign w:val="center"/>
            <w:shd w:val="clear" w:color="auto" w:fill="FFFFFF"/>
          </w:tcPr>
          <w:p>
            <w:pPr>
              <w:spacing w:before="40" w:after="40"/>
              <w:jc w:val="center"/>
            </w:pPr>
            <w:r>
              <w:rPr>
                <w:rFonts w:ascii="Times New Roman" w:hAnsi="Times New Roman"/>
                <w:b w:val="0"/>
                <w:color w:val="000000"/>
                <w:sz w:val="15"/>
              </w:rPr>
              <w:t>XDP_DROP</w:t>
            </w:r>
          </w:p>
        </w:tc>
      </w:tr>
      <w:tr>
        <w:tc>
          <w:tcPr>
            <w:tcW w:type="dxa" w:w="907"/>
            <w:vAlign w:val="center"/>
            <w:shd w:val="clear" w:color="auto" w:fill="FFFFFF"/>
          </w:tcPr>
          <w:p>
            <w:pPr>
              <w:spacing w:before="40" w:after="40"/>
              <w:jc w:val="center"/>
            </w:pPr>
            <w:r>
              <w:rPr>
                <w:rFonts w:ascii="Times New Roman" w:hAnsi="Times New Roman"/>
                <w:b w:val="0"/>
                <w:color w:val="000000"/>
                <w:sz w:val="15"/>
              </w:rPr>
              <w:t>2</w:t>
            </w:r>
          </w:p>
        </w:tc>
        <w:tc>
          <w:tcPr>
            <w:tcW w:type="dxa" w:w="4082"/>
            <w:vAlign w:val="center"/>
            <w:shd w:val="clear" w:color="auto" w:fill="FFFFFF"/>
          </w:tcPr>
          <w:p>
            <w:pPr>
              <w:spacing w:before="40" w:after="40"/>
              <w:jc w:val="left"/>
            </w:pPr>
            <w:r>
              <w:rPr>
                <w:rFonts w:ascii="Times New Roman" w:hAnsi="Times New Roman"/>
                <w:b w:val="0"/>
                <w:color w:val="000000"/>
                <w:sz w:val="15"/>
              </w:rPr>
              <w:t>Tarpit Redirect (Deception Port)</w:t>
            </w:r>
          </w:p>
        </w:tc>
        <w:tc>
          <w:tcPr>
            <w:tcW w:type="dxa" w:w="2835"/>
            <w:vAlign w:val="center"/>
            <w:shd w:val="clear" w:color="auto" w:fill="FFFFFF"/>
          </w:tcPr>
          <w:p>
            <w:pPr>
              <w:spacing w:before="40" w:after="40"/>
              <w:jc w:val="left"/>
            </w:pPr>
            <w:r>
              <w:rPr>
                <w:rFonts w:ascii="Times New Roman" w:hAnsi="Times New Roman"/>
                <w:b w:val="0"/>
                <w:color w:val="000000"/>
                <w:sz w:val="15"/>
              </w:rPr>
              <w:t>BPF_MAP_TYPE_HASH</w:t>
            </w:r>
          </w:p>
        </w:tc>
        <w:tc>
          <w:tcPr>
            <w:tcW w:type="dxa" w:w="2154"/>
            <w:vAlign w:val="center"/>
            <w:shd w:val="clear" w:color="auto" w:fill="FFFFFF"/>
          </w:tcPr>
          <w:p>
            <w:pPr>
              <w:spacing w:before="40" w:after="40"/>
              <w:jc w:val="center"/>
            </w:pPr>
            <w:r>
              <w:rPr>
                <w:rFonts w:ascii="Times New Roman" w:hAnsi="Times New Roman"/>
                <w:b w:val="0"/>
                <w:color w:val="000000"/>
                <w:sz w:val="15"/>
              </w:rPr>
              <w:t>XDP_PASS -&gt; nftables</w:t>
            </w:r>
          </w:p>
        </w:tc>
      </w:tr>
      <w:tr>
        <w:tc>
          <w:tcPr>
            <w:tcW w:type="dxa" w:w="907"/>
            <w:vAlign w:val="center"/>
            <w:shd w:val="clear" w:color="auto" w:fill="FFFFFF"/>
          </w:tcPr>
          <w:p>
            <w:pPr>
              <w:spacing w:before="40" w:after="40"/>
              <w:jc w:val="center"/>
            </w:pPr>
            <w:r>
              <w:rPr>
                <w:rFonts w:ascii="Times New Roman" w:hAnsi="Times New Roman"/>
                <w:b w:val="0"/>
                <w:color w:val="000000"/>
                <w:sz w:val="15"/>
              </w:rPr>
              <w:t>3</w:t>
            </w:r>
          </w:p>
        </w:tc>
        <w:tc>
          <w:tcPr>
            <w:tcW w:type="dxa" w:w="4082"/>
            <w:vAlign w:val="center"/>
            <w:shd w:val="clear" w:color="auto" w:fill="FFFFFF"/>
          </w:tcPr>
          <w:p>
            <w:pPr>
              <w:spacing w:before="40" w:after="40"/>
              <w:jc w:val="left"/>
            </w:pPr>
            <w:r>
              <w:rPr>
                <w:rFonts w:ascii="Times New Roman" w:hAnsi="Times New Roman"/>
                <w:b w:val="0"/>
                <w:color w:val="000000"/>
                <w:sz w:val="15"/>
              </w:rPr>
              <w:t>TCP Flag Anomaly: Null/Xmas/SYN+FIN</w:t>
            </w:r>
          </w:p>
        </w:tc>
        <w:tc>
          <w:tcPr>
            <w:tcW w:type="dxa" w:w="2835"/>
            <w:vAlign w:val="center"/>
            <w:shd w:val="clear" w:color="auto" w:fill="FFFFFF"/>
          </w:tcPr>
          <w:p>
            <w:pPr>
              <w:spacing w:before="40" w:after="40"/>
              <w:jc w:val="left"/>
            </w:pPr>
            <w:r>
              <w:rPr>
                <w:rFonts w:ascii="Times New Roman" w:hAnsi="Times New Roman"/>
                <w:b w:val="0"/>
                <w:color w:val="000000"/>
                <w:sz w:val="15"/>
              </w:rPr>
              <w:t>Inline classifier</w:t>
            </w:r>
          </w:p>
        </w:tc>
        <w:tc>
          <w:tcPr>
            <w:tcW w:type="dxa" w:w="2154"/>
            <w:vAlign w:val="center"/>
            <w:shd w:val="clear" w:color="auto" w:fill="FFFFFF"/>
          </w:tcPr>
          <w:p>
            <w:pPr>
              <w:spacing w:before="40" w:after="40"/>
              <w:jc w:val="center"/>
            </w:pPr>
            <w:r>
              <w:rPr>
                <w:rFonts w:ascii="Times New Roman" w:hAnsi="Times New Roman"/>
                <w:b w:val="0"/>
                <w:color w:val="000000"/>
                <w:sz w:val="15"/>
              </w:rPr>
              <w:t>XDP_DROP</w:t>
            </w:r>
          </w:p>
        </w:tc>
      </w:tr>
      <w:tr>
        <w:tc>
          <w:tcPr>
            <w:tcW w:type="dxa" w:w="907"/>
            <w:vAlign w:val="center"/>
            <w:shd w:val="clear" w:color="auto" w:fill="FFFFFF"/>
          </w:tcPr>
          <w:p>
            <w:pPr>
              <w:spacing w:before="40" w:after="40"/>
              <w:jc w:val="center"/>
            </w:pPr>
            <w:r>
              <w:rPr>
                <w:rFonts w:ascii="Times New Roman" w:hAnsi="Times New Roman"/>
                <w:b w:val="0"/>
                <w:color w:val="000000"/>
                <w:sz w:val="15"/>
              </w:rPr>
              <w:t>4</w:t>
            </w:r>
          </w:p>
        </w:tc>
        <w:tc>
          <w:tcPr>
            <w:tcW w:type="dxa" w:w="4082"/>
            <w:vAlign w:val="center"/>
            <w:shd w:val="clear" w:color="auto" w:fill="FFFFFF"/>
          </w:tcPr>
          <w:p>
            <w:pPr>
              <w:spacing w:before="40" w:after="40"/>
              <w:jc w:val="left"/>
            </w:pPr>
            <w:r>
              <w:rPr>
                <w:rFonts w:ascii="Times New Roman" w:hAnsi="Times New Roman"/>
                <w:b w:val="0"/>
                <w:color w:val="000000"/>
                <w:sz w:val="15"/>
              </w:rPr>
              <w:t>Telemetry Export to Userspace Daemon</w:t>
            </w:r>
          </w:p>
        </w:tc>
        <w:tc>
          <w:tcPr>
            <w:tcW w:type="dxa" w:w="2835"/>
            <w:vAlign w:val="center"/>
            <w:shd w:val="clear" w:color="auto" w:fill="FFFFFF"/>
          </w:tcPr>
          <w:p>
            <w:pPr>
              <w:spacing w:before="40" w:after="40"/>
              <w:jc w:val="left"/>
            </w:pPr>
            <w:r>
              <w:rPr>
                <w:rFonts w:ascii="Times New Roman" w:hAnsi="Times New Roman"/>
                <w:b w:val="0"/>
                <w:color w:val="000000"/>
                <w:sz w:val="15"/>
              </w:rPr>
              <w:t>BPF_MAP_TYPE_RINGBUF</w:t>
            </w:r>
          </w:p>
        </w:tc>
        <w:tc>
          <w:tcPr>
            <w:tcW w:type="dxa" w:w="2154"/>
            <w:vAlign w:val="center"/>
            <w:shd w:val="clear" w:color="auto" w:fill="FFFFFF"/>
          </w:tcPr>
          <w:p>
            <w:pPr>
              <w:spacing w:before="40" w:after="40"/>
              <w:jc w:val="center"/>
            </w:pPr>
            <w:r>
              <w:rPr>
                <w:rFonts w:ascii="Times New Roman" w:hAnsi="Times New Roman"/>
                <w:b w:val="0"/>
                <w:color w:val="000000"/>
                <w:sz w:val="15"/>
              </w:rPr>
              <w:t>XDP_PASS (clean)</w:t>
            </w:r>
          </w:p>
        </w:tc>
      </w:tr>
    </w:tbl>
    <w:p>
      <w:pPr>
        <w:sectPr>
          <w:type w:val="continuous"/>
          <w:pgSz w:w="12240" w:h="15840"/>
          <w:pgMar w:top="1020" w:right="794" w:bottom="1134" w:left="794" w:header="720" w:footer="720" w:gutter="0"/>
          <w:cols w:space="720"/>
          <w:docGrid w:linePitch="360"/>
          <w:cols w:num="2" w:space="540"/>
          <w:cols w:num="1"/>
        </w:sectPr>
      </w:pPr>
    </w:p>
    <w:p>
      <w:pPr>
        <w:spacing w:after="60" w:line="276" w:lineRule="auto"/>
        <w:ind w:firstLine="255"/>
        <w:jc w:val="both"/>
      </w:pPr>
      <w:r>
        <w:rPr>
          <w:rFonts w:ascii="Times New Roman" w:hAnsi="Times New Roman"/>
          <w:i w:val="0"/>
          <w:color w:val="000000"/>
          <w:sz w:val="20"/>
        </w:rPr>
        <w:t>Stage 3 — the novel in-kernel contribution — tests the TCP flags byte at header offset 13 against three pathological patterns: flags == 0x00 (Null scan, RFC 793 violation exploited by Nmap -sN); (flags &amp; 0x29) == 0x29 (Xmas scan, FIN+PSH+URG simultaneously asserted); and (flags &amp; 0x03) == 0x03 (SYN+FIN co-asserted, an impossible combination in legitimate TCP). Each match causes an immediate XDP_DROP with an associated reason code stored in the block-entry hash map for observability.</w:t>
      </w:r>
    </w:p>
    <w:p>
      <w:pPr>
        <w:keepNext/>
        <w:spacing w:before="160" w:after="40"/>
        <w:jc w:val="left"/>
      </w:pPr>
      <w:r>
        <w:rPr>
          <w:rFonts w:ascii="Times New Roman" w:hAnsi="Times New Roman"/>
          <w:b/>
          <w:i/>
          <w:color w:val="000000"/>
          <w:sz w:val="20"/>
        </w:rPr>
        <w:t>B. Asynchronous Control-Plane: Custom Autonomous AI Agent Reasoning</w:t>
      </w:r>
    </w:p>
    <w:p>
      <w:pPr>
        <w:spacing w:after="60" w:line="276" w:lineRule="auto"/>
        <w:ind w:firstLine="255"/>
        <w:jc w:val="both"/>
      </w:pPr>
      <w:r>
        <w:rPr>
          <w:rFonts w:ascii="Times New Roman" w:hAnsi="Times New Roman"/>
          <w:i w:val="0"/>
          <w:color w:val="000000"/>
          <w:sz w:val="20"/>
        </w:rPr>
        <w:t>To perform deep semantic evaluation without external cloud dependencies, the architecture integrates a custom domain-specialized autonomous cyber defense agent: asm-shadhin-ai. Built upon the Qwen2.5-Coder-3B foundation architecture and adapted with cyber-defense operational prompt directives, the autonomous agent executes strictly on local hardware using 4-bit quantization (GGUF Q4_K_M). By enforcing strict JSON grammar output schemas, hallucinations and unstructured text responses are eliminated entirely.</w:t>
      </w:r>
    </w:p>
    <w:p>
      <w:pPr>
        <w:spacing w:after="60" w:line="276" w:lineRule="auto"/>
        <w:ind w:firstLine="255"/>
        <w:jc w:val="both"/>
      </w:pPr>
      <w:r>
        <w:rPr>
          <w:rFonts w:ascii="Times New Roman" w:hAnsi="Times New Roman"/>
          <w:i w:val="0"/>
          <w:color w:val="000000"/>
          <w:sz w:val="20"/>
        </w:rPr>
        <w:t>To guarantee resilience against prompt-injection and context-overflow attacks, the daemon implements a multi-stage sanitization pipeline: (1) non-ASCII striping and hex-encoding of raw packet payloads; (2) prompt containment enforcing strict boundaries between operational instructions and untrusted network telemetry; and (3) an autonomous heuristic fallback engine that immediately issues kernel blocks if LLM deliberation times out (&gt; 4.0 s).</w:t>
      </w:r>
    </w:p>
    <w:p>
      <w:pPr>
        <w:keepNext/>
        <w:spacing w:before="160" w:after="40"/>
        <w:jc w:val="left"/>
      </w:pPr>
      <w:r>
        <w:rPr>
          <w:rFonts w:ascii="Times New Roman" w:hAnsi="Times New Roman"/>
          <w:b/>
          <w:i/>
          <w:color w:val="000000"/>
          <w:sz w:val="20"/>
        </w:rPr>
        <w:t>C. Post-Quantum Moving Target Defense (MTD)</w:t>
      </w:r>
    </w:p>
    <w:p>
      <w:pPr>
        <w:spacing w:after="60" w:line="276" w:lineRule="auto"/>
        <w:ind w:firstLine="255"/>
        <w:jc w:val="both"/>
      </w:pPr>
      <w:r>
        <w:rPr>
          <w:rFonts w:ascii="Times New Roman" w:hAnsi="Times New Roman"/>
          <w:i w:val="0"/>
          <w:color w:val="000000"/>
          <w:sz w:val="20"/>
        </w:rPr>
        <w:t>The MTD subsystem frustrates adversary reconnaissance by dynamically mutating external listening ports at regular intervals delta_t (configurable, default 30 s). The valid port P at epoch e is computed via HMAC-SHA256 over a pre-shared master key K:</w:t>
      </w:r>
    </w:p>
    <w:p>
      <w:pPr>
        <w:spacing w:before="100" w:after="100"/>
        <w:jc w:val="center"/>
      </w:pPr>
      <w:r>
        <w:rPr>
          <w:rFonts w:ascii="Times New Roman" w:hAnsi="Times New Roman"/>
          <w:i/>
          <w:sz w:val="19"/>
        </w:rPr>
        <w:t>P(s, e) = P_min + [ HMAC-SHA256(K, s || e) mod (P_max - P_min) ]</w:t>
      </w:r>
      <w:r>
        <w:rPr>
          <w:rFonts w:ascii="Times New Roman" w:hAnsi="Times New Roman"/>
          <w:sz w:val="19"/>
        </w:rPr>
        <w:t xml:space="preserve">    (1)</w:t>
      </w:r>
    </w:p>
    <w:p>
      <w:pPr>
        <w:spacing w:after="60" w:line="276" w:lineRule="auto"/>
        <w:ind w:firstLine="255"/>
        <w:jc w:val="both"/>
      </w:pPr>
      <w:r>
        <w:rPr>
          <w:rFonts w:ascii="Times New Roman" w:hAnsi="Times New Roman"/>
          <w:i w:val="0"/>
          <w:color w:val="000000"/>
          <w:sz w:val="20"/>
        </w:rPr>
        <w:t>To prevent race conditions during port transitions, the daemon maintains a dual-epoch grace window supporting both epoch e and e - 1 for 5 seconds. Traffic arriving at unassigned ports is silently redirected into the AI-tarpit engine.</w:t>
      </w:r>
    </w:p>
    <w:p>
      <w:pPr>
        <w:keepNext/>
        <w:spacing w:before="160" w:after="40"/>
        <w:jc w:val="left"/>
      </w:pPr>
      <w:r>
        <w:rPr>
          <w:rFonts w:ascii="Times New Roman" w:hAnsi="Times New Roman"/>
          <w:b/>
          <w:i/>
          <w:color w:val="000000"/>
          <w:sz w:val="20"/>
        </w:rPr>
        <w:t>D. Zero-Decryption Encrypted Traffic Entropy Analysis</w:t>
      </w:r>
    </w:p>
    <w:p>
      <w:pPr>
        <w:spacing w:after="60" w:line="276" w:lineRule="auto"/>
        <w:ind w:firstLine="255"/>
        <w:jc w:val="both"/>
      </w:pPr>
      <w:r>
        <w:rPr>
          <w:rFonts w:ascii="Times New Roman" w:hAnsi="Times New Roman"/>
          <w:i w:val="0"/>
          <w:color w:val="000000"/>
          <w:sz w:val="20"/>
        </w:rPr>
        <w:t>Command-and-control channels increasingly leverage TLS 1.3 encryption to evade inspection. Rather than deploying intrusive, privacy-compromising TLS interception (MITM), our system computes streaming Shannon byte entropy over payload windows:</w:t>
      </w:r>
    </w:p>
    <w:p>
      <w:pPr>
        <w:spacing w:before="100" w:after="100"/>
        <w:jc w:val="center"/>
      </w:pPr>
      <w:r>
        <w:rPr>
          <w:rFonts w:ascii="Times New Roman" w:hAnsi="Times New Roman"/>
          <w:i/>
          <w:sz w:val="19"/>
        </w:rPr>
        <w:t>H(f) = - SUM_{i=0}^{255} p(x_i) log2 p(x_i)</w:t>
      </w:r>
      <w:r>
        <w:rPr>
          <w:rFonts w:ascii="Times New Roman" w:hAnsi="Times New Roman"/>
          <w:sz w:val="19"/>
        </w:rPr>
        <w:t xml:space="preserve">    (2)</w:t>
      </w:r>
    </w:p>
    <w:p>
      <w:pPr>
        <w:spacing w:after="60" w:line="276" w:lineRule="auto"/>
        <w:ind w:firstLine="255"/>
        <w:jc w:val="both"/>
      </w:pPr>
      <w:r>
        <w:rPr>
          <w:rFonts w:ascii="Times New Roman" w:hAnsi="Times New Roman"/>
          <w:i w:val="0"/>
          <w:color w:val="000000"/>
          <w:sz w:val="20"/>
        </w:rPr>
        <w:t>Payloads exhibiting near-uniform random distributions (H &gt;= 7.1 out of 8.0) combined with low inter-arrival jitter (&lt;= 10%) are classified as encrypted C2 beaconing with 87.9% empirical accuracy.</w:t>
      </w:r>
    </w:p>
    <w:p>
      <w:pPr>
        <w:keepNext/>
        <w:spacing w:before="240" w:after="80"/>
        <w:jc w:val="center"/>
      </w:pPr>
      <w:r>
        <w:rPr>
          <w:rFonts w:ascii="Times New Roman" w:hAnsi="Times New Roman"/>
          <w:b/>
          <w:color w:val="000000"/>
          <w:sz w:val="20"/>
        </w:rPr>
        <w:t>IV.  COMPARATIVE EVALUATION</w:t>
      </w:r>
    </w:p>
    <w:p>
      <w:pPr>
        <w:spacing w:after="60" w:line="276" w:lineRule="auto"/>
        <w:ind w:firstLine="255"/>
        <w:jc w:val="both"/>
      </w:pPr>
      <w:r>
        <w:rPr>
          <w:rFonts w:ascii="Times New Roman" w:hAnsi="Times New Roman"/>
          <w:i w:val="0"/>
          <w:color w:val="000000"/>
          <w:sz w:val="20"/>
        </w:rPr>
        <w:t>We benchmark the Autonomous Post-Quantum Cyber Defense Agent against five reference systems widely cited as state-of-the-art within their respective deployment categories. Numeric figures for reference systems are drawn from published peer-reviewed evaluations or vendor-disclosed performance specifications.</w:t>
      </w:r>
    </w:p>
    <w:p>
      <w:pPr>
        <w:keepNext/>
        <w:spacing w:before="160" w:after="40"/>
        <w:jc w:val="left"/>
      </w:pPr>
      <w:r>
        <w:rPr>
          <w:rFonts w:ascii="Times New Roman" w:hAnsi="Times New Roman"/>
          <w:b/>
          <w:i/>
          <w:color w:val="000000"/>
          <w:sz w:val="20"/>
        </w:rPr>
        <w:t>A. Benchmark Systems</w:t>
      </w:r>
    </w:p>
    <w:p>
      <w:pPr>
        <w:sectPr>
          <w:type w:val="continuous"/>
          <w:pgSz w:w="12240" w:h="15840"/>
          <w:pgMar w:top="1020" w:right="794" w:bottom="1134" w:left="794" w:header="720" w:footer="720" w:gutter="0"/>
          <w:cols w:space="720"/>
          <w:docGrid w:linePitch="360"/>
          <w:cols w:num="2" w:space="540"/>
          <w:cols w:num="1"/>
          <w:cols w:num="2" w:space="540"/>
        </w:sectPr>
      </w:pPr>
    </w:p>
    <w:p>
      <w:pPr>
        <w:keepNext/>
        <w:spacing w:before="160" w:after="20"/>
        <w:jc w:val="center"/>
      </w:pPr>
      <w:r>
        <w:rPr>
          <w:rFonts w:ascii="Times New Roman" w:hAnsi="Times New Roman"/>
          <w:b/>
          <w:color w:val="000000"/>
          <w:sz w:val="17"/>
        </w:rPr>
        <w:t>TABLE II</w:t>
      </w:r>
    </w:p>
    <w:p>
      <w:pPr>
        <w:keepNext/>
        <w:spacing w:before="0" w:after="80"/>
        <w:jc w:val="center"/>
      </w:pPr>
      <w:r>
        <w:rPr>
          <w:rFonts w:ascii="Times New Roman" w:hAnsi="Times New Roman"/>
          <w:color w:val="000000"/>
          <w:sz w:val="16"/>
        </w:rPr>
        <w:t>REFERENCE SYSTEMS AND DEPLOYMENT CATEGORIES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il"/>
          <w:right w:val="nil"/>
          <w:insideV w:val="nil"/>
        </w:tblBorders>
      </w:tblPr>
      <w:tblGrid>
        <w:gridCol w:w="2130"/>
        <w:gridCol w:w="2130"/>
        <w:gridCol w:w="2130"/>
        <w:gridCol w:w="2130"/>
        <w:gridCol w:w="2130"/>
      </w:tblGrid>
      <w:tr>
        <w:tc>
          <w:tcPr>
            <w:tcW w:type="dxa" w:w="215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System</w:t>
            </w:r>
          </w:p>
        </w:tc>
        <w:tc>
          <w:tcPr>
            <w:tcW w:type="dxa" w:w="181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Category</w:t>
            </w:r>
          </w:p>
        </w:tc>
        <w:tc>
          <w:tcPr>
            <w:tcW w:type="dxa" w:w="2381"/>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Detection Engine</w:t>
            </w:r>
          </w:p>
        </w:tc>
        <w:tc>
          <w:tcPr>
            <w:tcW w:type="dxa" w:w="147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Sovereignty</w:t>
            </w:r>
          </w:p>
        </w:tc>
        <w:tc>
          <w:tcPr>
            <w:tcW w:type="dxa" w:w="215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Deployment</w:t>
            </w:r>
          </w:p>
        </w:tc>
      </w:tr>
      <w:tr>
        <w:tc>
          <w:tcPr>
            <w:tcW w:type="dxa" w:w="2154"/>
            <w:vAlign w:val="center"/>
            <w:shd w:val="clear" w:color="auto" w:fill="FFFFFF"/>
          </w:tcPr>
          <w:p>
            <w:pPr>
              <w:spacing w:before="40" w:after="40"/>
              <w:jc w:val="left"/>
            </w:pPr>
            <w:r>
              <w:rPr>
                <w:rFonts w:ascii="Times New Roman" w:hAnsi="Times New Roman"/>
                <w:b w:val="0"/>
                <w:color w:val="000000"/>
                <w:sz w:val="15"/>
              </w:rPr>
              <w:t>Snort 3.x [2]</w:t>
            </w:r>
          </w:p>
        </w:tc>
        <w:tc>
          <w:tcPr>
            <w:tcW w:type="dxa" w:w="1814"/>
            <w:vAlign w:val="center"/>
            <w:shd w:val="clear" w:color="auto" w:fill="FFFFFF"/>
          </w:tcPr>
          <w:p>
            <w:pPr>
              <w:spacing w:before="40" w:after="40"/>
              <w:jc w:val="left"/>
            </w:pPr>
            <w:r>
              <w:rPr>
                <w:rFonts w:ascii="Times New Roman" w:hAnsi="Times New Roman"/>
                <w:b w:val="0"/>
                <w:color w:val="000000"/>
                <w:sz w:val="15"/>
              </w:rPr>
              <w:t>OS IDS/IPS</w:t>
            </w:r>
          </w:p>
        </w:tc>
        <w:tc>
          <w:tcPr>
            <w:tcW w:type="dxa" w:w="2381"/>
            <w:vAlign w:val="center"/>
            <w:shd w:val="clear" w:color="auto" w:fill="FFFFFF"/>
          </w:tcPr>
          <w:p>
            <w:pPr>
              <w:spacing w:before="40" w:after="40"/>
              <w:jc w:val="left"/>
            </w:pPr>
            <w:r>
              <w:rPr>
                <w:rFonts w:ascii="Times New Roman" w:hAnsi="Times New Roman"/>
                <w:b w:val="0"/>
                <w:color w:val="000000"/>
                <w:sz w:val="15"/>
              </w:rPr>
              <w:t>Rules + DAQ</w:t>
            </w:r>
          </w:p>
        </w:tc>
        <w:tc>
          <w:tcPr>
            <w:tcW w:type="dxa" w:w="1474"/>
            <w:vAlign w:val="center"/>
            <w:shd w:val="clear" w:color="auto" w:fill="FFFFFF"/>
          </w:tcPr>
          <w:p>
            <w:pPr>
              <w:spacing w:before="40" w:after="40"/>
              <w:jc w:val="center"/>
            </w:pPr>
            <w:r>
              <w:rPr>
                <w:rFonts w:ascii="Times New Roman" w:hAnsi="Times New Roman"/>
                <w:b w:val="0"/>
                <w:color w:val="000000"/>
                <w:sz w:val="15"/>
              </w:rPr>
              <w:t>Full</w:t>
            </w:r>
          </w:p>
        </w:tc>
        <w:tc>
          <w:tcPr>
            <w:tcW w:type="dxa" w:w="2154"/>
            <w:vAlign w:val="center"/>
            <w:shd w:val="clear" w:color="auto" w:fill="FFFFFF"/>
          </w:tcPr>
          <w:p>
            <w:pPr>
              <w:spacing w:before="40" w:after="40"/>
              <w:jc w:val="left"/>
            </w:pPr>
            <w:r>
              <w:rPr>
                <w:rFonts w:ascii="Times New Roman" w:hAnsi="Times New Roman"/>
                <w:b w:val="0"/>
                <w:color w:val="000000"/>
                <w:sz w:val="15"/>
              </w:rPr>
              <w:t>SMB / enterprise</w:t>
            </w:r>
          </w:p>
        </w:tc>
      </w:tr>
      <w:tr>
        <w:tc>
          <w:tcPr>
            <w:tcW w:type="dxa" w:w="2154"/>
            <w:vAlign w:val="center"/>
            <w:shd w:val="clear" w:color="auto" w:fill="FFFFFF"/>
          </w:tcPr>
          <w:p>
            <w:pPr>
              <w:spacing w:before="40" w:after="40"/>
              <w:jc w:val="left"/>
            </w:pPr>
            <w:r>
              <w:rPr>
                <w:rFonts w:ascii="Times New Roman" w:hAnsi="Times New Roman"/>
                <w:b w:val="0"/>
                <w:color w:val="000000"/>
                <w:sz w:val="15"/>
              </w:rPr>
              <w:t>Suricata 7.x [14]</w:t>
            </w:r>
          </w:p>
        </w:tc>
        <w:tc>
          <w:tcPr>
            <w:tcW w:type="dxa" w:w="1814"/>
            <w:vAlign w:val="center"/>
            <w:shd w:val="clear" w:color="auto" w:fill="FFFFFF"/>
          </w:tcPr>
          <w:p>
            <w:pPr>
              <w:spacing w:before="40" w:after="40"/>
              <w:jc w:val="left"/>
            </w:pPr>
            <w:r>
              <w:rPr>
                <w:rFonts w:ascii="Times New Roman" w:hAnsi="Times New Roman"/>
                <w:b w:val="0"/>
                <w:color w:val="000000"/>
                <w:sz w:val="15"/>
              </w:rPr>
              <w:t>OS IDS/IPS</w:t>
            </w:r>
          </w:p>
        </w:tc>
        <w:tc>
          <w:tcPr>
            <w:tcW w:type="dxa" w:w="2381"/>
            <w:vAlign w:val="center"/>
            <w:shd w:val="clear" w:color="auto" w:fill="FFFFFF"/>
          </w:tcPr>
          <w:p>
            <w:pPr>
              <w:spacing w:before="40" w:after="40"/>
              <w:jc w:val="left"/>
            </w:pPr>
            <w:r>
              <w:rPr>
                <w:rFonts w:ascii="Times New Roman" w:hAnsi="Times New Roman"/>
                <w:b w:val="0"/>
                <w:color w:val="000000"/>
                <w:sz w:val="15"/>
              </w:rPr>
              <w:t>Rules + AF_PACKET</w:t>
            </w:r>
          </w:p>
        </w:tc>
        <w:tc>
          <w:tcPr>
            <w:tcW w:type="dxa" w:w="1474"/>
            <w:vAlign w:val="center"/>
            <w:shd w:val="clear" w:color="auto" w:fill="FFFFFF"/>
          </w:tcPr>
          <w:p>
            <w:pPr>
              <w:spacing w:before="40" w:after="40"/>
              <w:jc w:val="center"/>
            </w:pPr>
            <w:r>
              <w:rPr>
                <w:rFonts w:ascii="Times New Roman" w:hAnsi="Times New Roman"/>
                <w:b w:val="0"/>
                <w:color w:val="000000"/>
                <w:sz w:val="15"/>
              </w:rPr>
              <w:t>Full</w:t>
            </w:r>
          </w:p>
        </w:tc>
        <w:tc>
          <w:tcPr>
            <w:tcW w:type="dxa" w:w="2154"/>
            <w:vAlign w:val="center"/>
            <w:shd w:val="clear" w:color="auto" w:fill="FFFFFF"/>
          </w:tcPr>
          <w:p>
            <w:pPr>
              <w:spacing w:before="40" w:after="40"/>
              <w:jc w:val="left"/>
            </w:pPr>
            <w:r>
              <w:rPr>
                <w:rFonts w:ascii="Times New Roman" w:hAnsi="Times New Roman"/>
                <w:b w:val="0"/>
                <w:color w:val="000000"/>
                <w:sz w:val="15"/>
              </w:rPr>
              <w:t>ISP / enterprise</w:t>
            </w:r>
          </w:p>
        </w:tc>
      </w:tr>
      <w:tr>
        <w:tc>
          <w:tcPr>
            <w:tcW w:type="dxa" w:w="2154"/>
            <w:vAlign w:val="center"/>
            <w:shd w:val="clear" w:color="auto" w:fill="FFFFFF"/>
          </w:tcPr>
          <w:p>
            <w:pPr>
              <w:spacing w:before="40" w:after="40"/>
              <w:jc w:val="left"/>
            </w:pPr>
            <w:r>
              <w:rPr>
                <w:rFonts w:ascii="Times New Roman" w:hAnsi="Times New Roman"/>
                <w:b w:val="0"/>
                <w:color w:val="000000"/>
                <w:sz w:val="15"/>
              </w:rPr>
              <w:t>Palo Alto PAN-OS 11 [15]</w:t>
            </w:r>
          </w:p>
        </w:tc>
        <w:tc>
          <w:tcPr>
            <w:tcW w:type="dxa" w:w="1814"/>
            <w:vAlign w:val="center"/>
            <w:shd w:val="clear" w:color="auto" w:fill="FFFFFF"/>
          </w:tcPr>
          <w:p>
            <w:pPr>
              <w:spacing w:before="40" w:after="40"/>
              <w:jc w:val="left"/>
            </w:pPr>
            <w:r>
              <w:rPr>
                <w:rFonts w:ascii="Times New Roman" w:hAnsi="Times New Roman"/>
                <w:b w:val="0"/>
                <w:color w:val="000000"/>
                <w:sz w:val="15"/>
              </w:rPr>
              <w:t>NGFW appliance</w:t>
            </w:r>
          </w:p>
        </w:tc>
        <w:tc>
          <w:tcPr>
            <w:tcW w:type="dxa" w:w="2381"/>
            <w:vAlign w:val="center"/>
            <w:shd w:val="clear" w:color="auto" w:fill="FFFFFF"/>
          </w:tcPr>
          <w:p>
            <w:pPr>
              <w:spacing w:before="40" w:after="40"/>
              <w:jc w:val="left"/>
            </w:pPr>
            <w:r>
              <w:rPr>
                <w:rFonts w:ascii="Times New Roman" w:hAnsi="Times New Roman"/>
                <w:b w:val="0"/>
                <w:color w:val="000000"/>
                <w:sz w:val="15"/>
              </w:rPr>
              <w:t>Wildfire ML + App-ID</w:t>
            </w:r>
          </w:p>
        </w:tc>
        <w:tc>
          <w:tcPr>
            <w:tcW w:type="dxa" w:w="1474"/>
            <w:vAlign w:val="center"/>
            <w:shd w:val="clear" w:color="auto" w:fill="FFFFFF"/>
          </w:tcPr>
          <w:p>
            <w:pPr>
              <w:spacing w:before="40" w:after="40"/>
              <w:jc w:val="center"/>
            </w:pPr>
            <w:r>
              <w:rPr>
                <w:rFonts w:ascii="Times New Roman" w:hAnsi="Times New Roman"/>
                <w:b w:val="0"/>
                <w:color w:val="000000"/>
                <w:sz w:val="15"/>
              </w:rPr>
              <w:t>Partial</w:t>
            </w:r>
          </w:p>
        </w:tc>
        <w:tc>
          <w:tcPr>
            <w:tcW w:type="dxa" w:w="2154"/>
            <w:vAlign w:val="center"/>
            <w:shd w:val="clear" w:color="auto" w:fill="FFFFFF"/>
          </w:tcPr>
          <w:p>
            <w:pPr>
              <w:spacing w:before="40" w:after="40"/>
              <w:jc w:val="left"/>
            </w:pPr>
            <w:r>
              <w:rPr>
                <w:rFonts w:ascii="Times New Roman" w:hAnsi="Times New Roman"/>
                <w:b w:val="0"/>
                <w:color w:val="000000"/>
                <w:sz w:val="15"/>
              </w:rPr>
              <w:t>Large enterprise</w:t>
            </w:r>
          </w:p>
        </w:tc>
      </w:tr>
      <w:tr>
        <w:tc>
          <w:tcPr>
            <w:tcW w:type="dxa" w:w="2154"/>
            <w:vAlign w:val="center"/>
            <w:shd w:val="clear" w:color="auto" w:fill="FFFFFF"/>
          </w:tcPr>
          <w:p>
            <w:pPr>
              <w:spacing w:before="40" w:after="40"/>
              <w:jc w:val="left"/>
            </w:pPr>
            <w:r>
              <w:rPr>
                <w:rFonts w:ascii="Times New Roman" w:hAnsi="Times New Roman"/>
                <w:b w:val="0"/>
                <w:color w:val="000000"/>
                <w:sz w:val="15"/>
              </w:rPr>
              <w:t>Cloudflare Magic Transit [16]</w:t>
            </w:r>
          </w:p>
        </w:tc>
        <w:tc>
          <w:tcPr>
            <w:tcW w:type="dxa" w:w="1814"/>
            <w:vAlign w:val="center"/>
            <w:shd w:val="clear" w:color="auto" w:fill="FFFFFF"/>
          </w:tcPr>
          <w:p>
            <w:pPr>
              <w:spacing w:before="40" w:after="40"/>
              <w:jc w:val="left"/>
            </w:pPr>
            <w:r>
              <w:rPr>
                <w:rFonts w:ascii="Times New Roman" w:hAnsi="Times New Roman"/>
                <w:b w:val="0"/>
                <w:color w:val="000000"/>
                <w:sz w:val="15"/>
              </w:rPr>
              <w:t>Cloud DDoS</w:t>
            </w:r>
          </w:p>
        </w:tc>
        <w:tc>
          <w:tcPr>
            <w:tcW w:type="dxa" w:w="2381"/>
            <w:vAlign w:val="center"/>
            <w:shd w:val="clear" w:color="auto" w:fill="FFFFFF"/>
          </w:tcPr>
          <w:p>
            <w:pPr>
              <w:spacing w:before="40" w:after="40"/>
              <w:jc w:val="left"/>
            </w:pPr>
            <w:r>
              <w:rPr>
                <w:rFonts w:ascii="Times New Roman" w:hAnsi="Times New Roman"/>
                <w:b w:val="0"/>
                <w:color w:val="000000"/>
                <w:sz w:val="15"/>
              </w:rPr>
              <w:t>BGP anycast + ML</w:t>
            </w:r>
          </w:p>
        </w:tc>
        <w:tc>
          <w:tcPr>
            <w:tcW w:type="dxa" w:w="1474"/>
            <w:vAlign w:val="center"/>
            <w:shd w:val="clear" w:color="auto" w:fill="FFFFFF"/>
          </w:tcPr>
          <w:p>
            <w:pPr>
              <w:spacing w:before="40" w:after="40"/>
              <w:jc w:val="center"/>
            </w:pPr>
            <w:r>
              <w:rPr>
                <w:rFonts w:ascii="Times New Roman" w:hAnsi="Times New Roman"/>
                <w:b w:val="0"/>
                <w:color w:val="000000"/>
                <w:sz w:val="15"/>
              </w:rPr>
              <w:t>None</w:t>
            </w:r>
          </w:p>
        </w:tc>
        <w:tc>
          <w:tcPr>
            <w:tcW w:type="dxa" w:w="2154"/>
            <w:vAlign w:val="center"/>
            <w:shd w:val="clear" w:color="auto" w:fill="FFFFFF"/>
          </w:tcPr>
          <w:p>
            <w:pPr>
              <w:spacing w:before="40" w:after="40"/>
              <w:jc w:val="left"/>
            </w:pPr>
            <w:r>
              <w:rPr>
                <w:rFonts w:ascii="Times New Roman" w:hAnsi="Times New Roman"/>
                <w:b w:val="0"/>
                <w:color w:val="000000"/>
                <w:sz w:val="15"/>
              </w:rPr>
              <w:t>Internet-facing SaaS</w:t>
            </w:r>
          </w:p>
        </w:tc>
      </w:tr>
      <w:tr>
        <w:tc>
          <w:tcPr>
            <w:tcW w:type="dxa" w:w="2154"/>
            <w:vAlign w:val="center"/>
            <w:shd w:val="clear" w:color="auto" w:fill="FFFFFF"/>
          </w:tcPr>
          <w:p>
            <w:pPr>
              <w:spacing w:before="40" w:after="40"/>
              <w:jc w:val="left"/>
            </w:pPr>
            <w:r>
              <w:rPr>
                <w:rFonts w:ascii="Times New Roman" w:hAnsi="Times New Roman"/>
                <w:b w:val="0"/>
                <w:color w:val="000000"/>
                <w:sz w:val="15"/>
              </w:rPr>
              <w:t>Cisco Firepower 4100 [17]</w:t>
            </w:r>
          </w:p>
        </w:tc>
        <w:tc>
          <w:tcPr>
            <w:tcW w:type="dxa" w:w="1814"/>
            <w:vAlign w:val="center"/>
            <w:shd w:val="clear" w:color="auto" w:fill="FFFFFF"/>
          </w:tcPr>
          <w:p>
            <w:pPr>
              <w:spacing w:before="40" w:after="40"/>
              <w:jc w:val="left"/>
            </w:pPr>
            <w:r>
              <w:rPr>
                <w:rFonts w:ascii="Times New Roman" w:hAnsi="Times New Roman"/>
                <w:b w:val="0"/>
                <w:color w:val="000000"/>
                <w:sz w:val="15"/>
              </w:rPr>
              <w:t>NGIPS appliance</w:t>
            </w:r>
          </w:p>
        </w:tc>
        <w:tc>
          <w:tcPr>
            <w:tcW w:type="dxa" w:w="2381"/>
            <w:vAlign w:val="center"/>
            <w:shd w:val="clear" w:color="auto" w:fill="FFFFFF"/>
          </w:tcPr>
          <w:p>
            <w:pPr>
              <w:spacing w:before="40" w:after="40"/>
              <w:jc w:val="left"/>
            </w:pPr>
            <w:r>
              <w:rPr>
                <w:rFonts w:ascii="Times New Roman" w:hAnsi="Times New Roman"/>
                <w:b w:val="0"/>
                <w:color w:val="000000"/>
                <w:sz w:val="15"/>
              </w:rPr>
              <w:t>Talos + Snort</w:t>
            </w:r>
          </w:p>
        </w:tc>
        <w:tc>
          <w:tcPr>
            <w:tcW w:type="dxa" w:w="1474"/>
            <w:vAlign w:val="center"/>
            <w:shd w:val="clear" w:color="auto" w:fill="FFFFFF"/>
          </w:tcPr>
          <w:p>
            <w:pPr>
              <w:spacing w:before="40" w:after="40"/>
              <w:jc w:val="center"/>
            </w:pPr>
            <w:r>
              <w:rPr>
                <w:rFonts w:ascii="Times New Roman" w:hAnsi="Times New Roman"/>
                <w:b w:val="0"/>
                <w:color w:val="000000"/>
                <w:sz w:val="15"/>
              </w:rPr>
              <w:t>Partial</w:t>
            </w:r>
          </w:p>
        </w:tc>
        <w:tc>
          <w:tcPr>
            <w:tcW w:type="dxa" w:w="2154"/>
            <w:vAlign w:val="center"/>
            <w:shd w:val="clear" w:color="auto" w:fill="FFFFFF"/>
          </w:tcPr>
          <w:p>
            <w:pPr>
              <w:spacing w:before="40" w:after="40"/>
              <w:jc w:val="left"/>
            </w:pPr>
            <w:r>
              <w:rPr>
                <w:rFonts w:ascii="Times New Roman" w:hAnsi="Times New Roman"/>
                <w:b w:val="0"/>
                <w:color w:val="000000"/>
                <w:sz w:val="15"/>
              </w:rPr>
              <w:t>Large enterprise</w:t>
            </w:r>
          </w:p>
        </w:tc>
      </w:tr>
      <w:tr>
        <w:tc>
          <w:tcPr>
            <w:tcW w:type="dxa" w:w="2154"/>
            <w:vAlign w:val="center"/>
            <w:shd w:val="clear" w:color="auto" w:fill="FFFFFF"/>
          </w:tcPr>
          <w:p>
            <w:pPr>
              <w:spacing w:before="40" w:after="40"/>
              <w:jc w:val="left"/>
            </w:pPr>
            <w:r>
              <w:rPr>
                <w:rFonts w:ascii="Times New Roman" w:hAnsi="Times New Roman"/>
                <w:b/>
                <w:color w:val="000000"/>
                <w:sz w:val="15"/>
              </w:rPr>
              <w:t>Autonomous Agent (ours)</w:t>
            </w:r>
          </w:p>
        </w:tc>
        <w:tc>
          <w:tcPr>
            <w:tcW w:type="dxa" w:w="1814"/>
            <w:vAlign w:val="center"/>
            <w:shd w:val="clear" w:color="auto" w:fill="FFFFFF"/>
          </w:tcPr>
          <w:p>
            <w:pPr>
              <w:spacing w:before="40" w:after="40"/>
              <w:jc w:val="left"/>
            </w:pPr>
            <w:r>
              <w:rPr>
                <w:rFonts w:ascii="Times New Roman" w:hAnsi="Times New Roman"/>
                <w:b w:val="0"/>
                <w:color w:val="000000"/>
                <w:sz w:val="15"/>
              </w:rPr>
              <w:t>Hybrid inline</w:t>
            </w:r>
          </w:p>
        </w:tc>
        <w:tc>
          <w:tcPr>
            <w:tcW w:type="dxa" w:w="2381"/>
            <w:vAlign w:val="center"/>
            <w:shd w:val="clear" w:color="auto" w:fill="FFFFFF"/>
          </w:tcPr>
          <w:p>
            <w:pPr>
              <w:spacing w:before="40" w:after="40"/>
              <w:jc w:val="left"/>
            </w:pPr>
            <w:r>
              <w:rPr>
                <w:rFonts w:ascii="Times New Roman" w:hAnsi="Times New Roman"/>
                <w:b w:val="0"/>
                <w:color w:val="000000"/>
                <w:sz w:val="15"/>
              </w:rPr>
              <w:t>eBPF/XDP + local LLM</w:t>
            </w:r>
          </w:p>
        </w:tc>
        <w:tc>
          <w:tcPr>
            <w:tcW w:type="dxa" w:w="1474"/>
            <w:vAlign w:val="center"/>
            <w:shd w:val="clear" w:color="auto" w:fill="FFFFFF"/>
          </w:tcPr>
          <w:p>
            <w:pPr>
              <w:spacing w:before="40" w:after="40"/>
              <w:jc w:val="center"/>
            </w:pPr>
            <w:r>
              <w:rPr>
                <w:rFonts w:ascii="Times New Roman" w:hAnsi="Times New Roman"/>
                <w:b w:val="0"/>
                <w:color w:val="000000"/>
                <w:sz w:val="15"/>
              </w:rPr>
              <w:t>100%</w:t>
            </w:r>
          </w:p>
        </w:tc>
        <w:tc>
          <w:tcPr>
            <w:tcW w:type="dxa" w:w="2154"/>
            <w:vAlign w:val="center"/>
            <w:shd w:val="clear" w:color="auto" w:fill="FFFFFF"/>
          </w:tcPr>
          <w:p>
            <w:pPr>
              <w:spacing w:before="40" w:after="40"/>
              <w:jc w:val="left"/>
            </w:pPr>
            <w:r>
              <w:rPr>
                <w:rFonts w:ascii="Times New Roman" w:hAnsi="Times New Roman"/>
                <w:b w:val="0"/>
                <w:color w:val="000000"/>
                <w:sz w:val="15"/>
              </w:rPr>
              <w:t>Any / air-gap</w:t>
            </w:r>
          </w:p>
        </w:tc>
      </w:tr>
    </w:tbl>
    <w:p>
      <w:pPr>
        <w:sectPr>
          <w:type w:val="continuous"/>
          <w:pgSz w:w="12240" w:h="15840"/>
          <w:pgMar w:top="1020" w:right="794" w:bottom="1134" w:left="794" w:header="720" w:footer="720" w:gutter="0"/>
          <w:cols w:space="720"/>
          <w:docGrid w:linePitch="360"/>
          <w:cols w:num="2" w:space="540"/>
          <w:cols w:num="1"/>
          <w:cols w:num="2" w:space="540"/>
          <w:cols w:num="1"/>
        </w:sectPr>
      </w:pPr>
    </w:p>
    <w:p>
      <w:pPr>
        <w:keepNext/>
        <w:spacing w:before="160" w:after="40"/>
        <w:jc w:val="left"/>
      </w:pPr>
      <w:r>
        <w:rPr>
          <w:rFonts w:ascii="Times New Roman" w:hAnsi="Times New Roman"/>
          <w:b/>
          <w:i/>
          <w:color w:val="000000"/>
          <w:sz w:val="20"/>
        </w:rPr>
        <w:t>B. Detection Accuracy Comparison and Statistical Validation</w:t>
      </w:r>
    </w:p>
    <w:p>
      <w:pPr>
        <w:spacing w:after="60" w:line="276" w:lineRule="auto"/>
        <w:ind w:firstLine="255"/>
        <w:jc w:val="both"/>
      </w:pPr>
      <w:r>
        <w:rPr>
          <w:rFonts w:ascii="Times New Roman" w:hAnsi="Times New Roman"/>
          <w:i w:val="0"/>
          <w:color w:val="000000"/>
          <w:sz w:val="20"/>
        </w:rPr>
        <w:t>Table III presents detection-accuracy metrics evaluated against a comprehensive 10,000,000-event flow corpus. The emulation harness (scripts/run_massive_scale_emulator_test.py) uses a Monte Carlo trace generator calibrated against published flow-level statistical distributions — including entropy profiles, inter-arrival timing, and class-imbalance ratios — derived from published statistical characterisations of the CSE-CIC-IDS2018 [19], UNSW-NB15 [18], and CTU-13 [20] academic benchmarks. The evaluation corpus spans 18 distinct attack vectors, including multi-stage reconnaissance, protocol manipulation, SQL injection, RCE exploits, high-rate DDoS floods, encrypted command-and-control (C2), ransomware beaconing, and adversarial evasion payloads.</w:t>
      </w:r>
    </w:p>
    <w:p>
      <w:pPr>
        <w:spacing w:after="60" w:line="276" w:lineRule="auto"/>
        <w:ind w:firstLine="255"/>
        <w:jc w:val="both"/>
      </w:pPr>
      <w:r>
        <w:rPr>
          <w:rFonts w:ascii="Times New Roman" w:hAnsi="Times New Roman"/>
          <w:i w:val="0"/>
          <w:color w:val="000000"/>
          <w:sz w:val="20"/>
        </w:rPr>
        <w:t>To establish rigorous statistical validity, evaluation was conducted via stratified Monte Carlo validation across 10,000,000 flows (2,998,265 malicious, 7,001,735 benign). Statistical significance was verified at a 95% confidence level using the Wilson Score interval method: polymorphic evasion True Positive Rate (TPR) reached 98.64% (95% CI: [98.61%, 98.67%], p &lt; 0.001), and the overall system False Positive Rate (FPR) reached 0.12% (95% CI: [0.11%, 0.13%], p &lt; 0.001). Overall classification accuracy reached 99.50%, with precision of 99.72%, F1-score of 99.18%, and Matthews Correlation Coefficient of 0.9882. While commercial platforms such as Palo Alto and Cloudflare require intrusive TLS decryption (MITM) to detect C2 channels, the Autonomous Post-Quantum Cyber Defense Agent achieves 87.9% C2 detection entirely out-of-band via zero-decryption Shannon entropy windowing and timing jitter analysis.</w:t>
      </w:r>
    </w:p>
    <w:p>
      <w:pPr>
        <w:sectPr>
          <w:type w:val="continuous"/>
          <w:pgSz w:w="12240" w:h="15840"/>
          <w:pgMar w:top="1020" w:right="794" w:bottom="1134" w:left="794" w:header="720" w:footer="720" w:gutter="0"/>
          <w:cols w:space="720"/>
          <w:docGrid w:linePitch="360"/>
          <w:cols w:num="2" w:space="540"/>
          <w:cols w:num="1"/>
          <w:cols w:num="2" w:space="540"/>
          <w:cols w:num="1"/>
          <w:cols w:num="2" w:space="540"/>
        </w:sectPr>
      </w:pPr>
    </w:p>
    <w:p>
      <w:pPr>
        <w:keepNext/>
        <w:spacing w:before="160" w:after="20"/>
        <w:jc w:val="center"/>
      </w:pPr>
      <w:r>
        <w:rPr>
          <w:rFonts w:ascii="Times New Roman" w:hAnsi="Times New Roman"/>
          <w:b/>
          <w:color w:val="000000"/>
          <w:sz w:val="17"/>
        </w:rPr>
        <w:t>TABLE III</w:t>
      </w:r>
    </w:p>
    <w:p>
      <w:pPr>
        <w:keepNext/>
        <w:spacing w:before="0" w:after="80"/>
        <w:jc w:val="center"/>
      </w:pPr>
      <w:r>
        <w:rPr>
          <w:rFonts w:ascii="Times New Roman" w:hAnsi="Times New Roman"/>
          <w:color w:val="000000"/>
          <w:sz w:val="16"/>
        </w:rPr>
        <w:t>DETECTION ACCURACY COMPARISON ACROSS 10M FLOWS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il"/>
          <w:right w:val="nil"/>
          <w:insideV w:val="nil"/>
        </w:tblBorders>
      </w:tblPr>
      <w:tblGrid>
        <w:gridCol w:w="1522"/>
        <w:gridCol w:w="1522"/>
        <w:gridCol w:w="1522"/>
        <w:gridCol w:w="1522"/>
        <w:gridCol w:w="1522"/>
        <w:gridCol w:w="1522"/>
        <w:gridCol w:w="1522"/>
      </w:tblGrid>
      <w:tr>
        <w:tc>
          <w:tcPr>
            <w:tcW w:type="dxa" w:w="249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Metric</w:t>
            </w:r>
          </w:p>
        </w:tc>
        <w:tc>
          <w:tcPr>
            <w:tcW w:type="dxa" w:w="113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Snort 3.x</w:t>
            </w:r>
          </w:p>
        </w:tc>
        <w:tc>
          <w:tcPr>
            <w:tcW w:type="dxa" w:w="113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Suricata 7.x</w:t>
            </w:r>
          </w:p>
        </w:tc>
        <w:tc>
          <w:tcPr>
            <w:tcW w:type="dxa" w:w="113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Palo Alto</w:t>
            </w:r>
          </w:p>
        </w:tc>
        <w:tc>
          <w:tcPr>
            <w:tcW w:type="dxa" w:w="1247"/>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Cloudflare MT</w:t>
            </w:r>
          </w:p>
        </w:tc>
        <w:tc>
          <w:tcPr>
            <w:tcW w:type="dxa" w:w="113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Cisco FP</w:t>
            </w:r>
          </w:p>
        </w:tc>
        <w:tc>
          <w:tcPr>
            <w:tcW w:type="dxa" w:w="1701"/>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Autonomous Agent (ours)</w:t>
            </w:r>
          </w:p>
        </w:tc>
      </w:tr>
      <w:tr>
        <w:tc>
          <w:tcPr>
            <w:tcW w:type="dxa" w:w="2494"/>
            <w:vAlign w:val="center"/>
            <w:shd w:val="clear" w:color="auto" w:fill="FFFFFF"/>
          </w:tcPr>
          <w:p>
            <w:pPr>
              <w:spacing w:before="40" w:after="40"/>
              <w:jc w:val="left"/>
            </w:pPr>
            <w:r>
              <w:rPr>
                <w:rFonts w:ascii="Times New Roman" w:hAnsi="Times New Roman"/>
                <w:b w:val="0"/>
                <w:color w:val="000000"/>
                <w:sz w:val="15"/>
              </w:rPr>
              <w:t>Evasion Recall / TPR (%)</w:t>
            </w:r>
          </w:p>
        </w:tc>
        <w:tc>
          <w:tcPr>
            <w:tcW w:type="dxa" w:w="1134"/>
            <w:vAlign w:val="center"/>
            <w:shd w:val="clear" w:color="auto" w:fill="FFFFFF"/>
          </w:tcPr>
          <w:p>
            <w:pPr>
              <w:spacing w:before="40" w:after="40"/>
              <w:jc w:val="center"/>
            </w:pPr>
            <w:r>
              <w:rPr>
                <w:rFonts w:ascii="Times New Roman" w:hAnsi="Times New Roman"/>
                <w:b w:val="0"/>
                <w:color w:val="000000"/>
                <w:sz w:val="15"/>
              </w:rPr>
              <w:t>68.4</w:t>
            </w:r>
          </w:p>
        </w:tc>
        <w:tc>
          <w:tcPr>
            <w:tcW w:type="dxa" w:w="1134"/>
            <w:vAlign w:val="center"/>
            <w:shd w:val="clear" w:color="auto" w:fill="FFFFFF"/>
          </w:tcPr>
          <w:p>
            <w:pPr>
              <w:spacing w:before="40" w:after="40"/>
              <w:jc w:val="center"/>
            </w:pPr>
            <w:r>
              <w:rPr>
                <w:rFonts w:ascii="Times New Roman" w:hAnsi="Times New Roman"/>
                <w:b w:val="0"/>
                <w:color w:val="000000"/>
                <w:sz w:val="15"/>
              </w:rPr>
              <w:t>71.2</w:t>
            </w:r>
          </w:p>
        </w:tc>
        <w:tc>
          <w:tcPr>
            <w:tcW w:type="dxa" w:w="1134"/>
            <w:vAlign w:val="center"/>
            <w:shd w:val="clear" w:color="auto" w:fill="FFFFFF"/>
          </w:tcPr>
          <w:p>
            <w:pPr>
              <w:spacing w:before="40" w:after="40"/>
              <w:jc w:val="center"/>
            </w:pPr>
            <w:r>
              <w:rPr>
                <w:rFonts w:ascii="Times New Roman" w:hAnsi="Times New Roman"/>
                <w:b w:val="0"/>
                <w:color w:val="000000"/>
                <w:sz w:val="15"/>
              </w:rPr>
              <w:t>89.2</w:t>
            </w:r>
          </w:p>
        </w:tc>
        <w:tc>
          <w:tcPr>
            <w:tcW w:type="dxa" w:w="1247"/>
            <w:vAlign w:val="center"/>
            <w:shd w:val="clear" w:color="auto" w:fill="FFFFFF"/>
          </w:tcPr>
          <w:p>
            <w:pPr>
              <w:spacing w:before="40" w:after="40"/>
              <w:jc w:val="center"/>
            </w:pPr>
            <w:r>
              <w:rPr>
                <w:rFonts w:ascii="Times New Roman" w:hAnsi="Times New Roman"/>
                <w:b w:val="0"/>
                <w:color w:val="000000"/>
                <w:sz w:val="15"/>
              </w:rPr>
              <w:t>87.6</w:t>
            </w:r>
          </w:p>
        </w:tc>
        <w:tc>
          <w:tcPr>
            <w:tcW w:type="dxa" w:w="1134"/>
            <w:vAlign w:val="center"/>
            <w:shd w:val="clear" w:color="auto" w:fill="FFFFFF"/>
          </w:tcPr>
          <w:p>
            <w:pPr>
              <w:spacing w:before="40" w:after="40"/>
              <w:jc w:val="center"/>
            </w:pPr>
            <w:r>
              <w:rPr>
                <w:rFonts w:ascii="Times New Roman" w:hAnsi="Times New Roman"/>
                <w:b w:val="0"/>
                <w:color w:val="000000"/>
                <w:sz w:val="15"/>
              </w:rPr>
              <w:t>85.4</w:t>
            </w:r>
          </w:p>
        </w:tc>
        <w:tc>
          <w:tcPr>
            <w:tcW w:type="dxa" w:w="1701"/>
            <w:vAlign w:val="center"/>
            <w:shd w:val="clear" w:color="auto" w:fill="FFFFFF"/>
          </w:tcPr>
          <w:p>
            <w:pPr>
              <w:spacing w:before="40" w:after="40"/>
              <w:jc w:val="center"/>
            </w:pPr>
            <w:r>
              <w:rPr>
                <w:rFonts w:ascii="Times New Roman" w:hAnsi="Times New Roman"/>
                <w:b/>
                <w:color w:val="000000"/>
                <w:sz w:val="15"/>
              </w:rPr>
              <w:t>98.64</w:t>
            </w:r>
          </w:p>
        </w:tc>
      </w:tr>
      <w:tr>
        <w:tc>
          <w:tcPr>
            <w:tcW w:type="dxa" w:w="2494"/>
            <w:vAlign w:val="center"/>
            <w:shd w:val="clear" w:color="auto" w:fill="FFFFFF"/>
          </w:tcPr>
          <w:p>
            <w:pPr>
              <w:spacing w:before="40" w:after="40"/>
              <w:jc w:val="left"/>
            </w:pPr>
            <w:r>
              <w:rPr>
                <w:rFonts w:ascii="Times New Roman" w:hAnsi="Times New Roman"/>
                <w:b w:val="0"/>
                <w:color w:val="000000"/>
                <w:sz w:val="15"/>
              </w:rPr>
              <w:t>False Positive Rate (%)</w:t>
            </w:r>
          </w:p>
        </w:tc>
        <w:tc>
          <w:tcPr>
            <w:tcW w:type="dxa" w:w="1134"/>
            <w:vAlign w:val="center"/>
            <w:shd w:val="clear" w:color="auto" w:fill="FFFFFF"/>
          </w:tcPr>
          <w:p>
            <w:pPr>
              <w:spacing w:before="40" w:after="40"/>
              <w:jc w:val="center"/>
            </w:pPr>
            <w:r>
              <w:rPr>
                <w:rFonts w:ascii="Times New Roman" w:hAnsi="Times New Roman"/>
                <w:b w:val="0"/>
                <w:color w:val="000000"/>
                <w:sz w:val="15"/>
              </w:rPr>
              <w:t>14.8</w:t>
            </w:r>
          </w:p>
        </w:tc>
        <w:tc>
          <w:tcPr>
            <w:tcW w:type="dxa" w:w="1134"/>
            <w:vAlign w:val="center"/>
            <w:shd w:val="clear" w:color="auto" w:fill="FFFFFF"/>
          </w:tcPr>
          <w:p>
            <w:pPr>
              <w:spacing w:before="40" w:after="40"/>
              <w:jc w:val="center"/>
            </w:pPr>
            <w:r>
              <w:rPr>
                <w:rFonts w:ascii="Times New Roman" w:hAnsi="Times New Roman"/>
                <w:b w:val="0"/>
                <w:color w:val="000000"/>
                <w:sz w:val="15"/>
              </w:rPr>
              <w:t>11.3</w:t>
            </w:r>
          </w:p>
        </w:tc>
        <w:tc>
          <w:tcPr>
            <w:tcW w:type="dxa" w:w="1134"/>
            <w:vAlign w:val="center"/>
            <w:shd w:val="clear" w:color="auto" w:fill="FFFFFF"/>
          </w:tcPr>
          <w:p>
            <w:pPr>
              <w:spacing w:before="40" w:after="40"/>
              <w:jc w:val="center"/>
            </w:pPr>
            <w:r>
              <w:rPr>
                <w:rFonts w:ascii="Times New Roman" w:hAnsi="Times New Roman"/>
                <w:b w:val="0"/>
                <w:color w:val="000000"/>
                <w:sz w:val="15"/>
              </w:rPr>
              <w:t>4.5</w:t>
            </w:r>
          </w:p>
        </w:tc>
        <w:tc>
          <w:tcPr>
            <w:tcW w:type="dxa" w:w="1247"/>
            <w:vAlign w:val="center"/>
            <w:shd w:val="clear" w:color="auto" w:fill="FFFFFF"/>
          </w:tcPr>
          <w:p>
            <w:pPr>
              <w:spacing w:before="40" w:after="40"/>
              <w:jc w:val="center"/>
            </w:pPr>
            <w:r>
              <w:rPr>
                <w:rFonts w:ascii="Times New Roman" w:hAnsi="Times New Roman"/>
                <w:b w:val="0"/>
                <w:color w:val="000000"/>
                <w:sz w:val="15"/>
              </w:rPr>
              <w:t>5.1</w:t>
            </w:r>
          </w:p>
        </w:tc>
        <w:tc>
          <w:tcPr>
            <w:tcW w:type="dxa" w:w="1134"/>
            <w:vAlign w:val="center"/>
            <w:shd w:val="clear" w:color="auto" w:fill="FFFFFF"/>
          </w:tcPr>
          <w:p>
            <w:pPr>
              <w:spacing w:before="40" w:after="40"/>
              <w:jc w:val="center"/>
            </w:pPr>
            <w:r>
              <w:rPr>
                <w:rFonts w:ascii="Times New Roman" w:hAnsi="Times New Roman"/>
                <w:b w:val="0"/>
                <w:color w:val="000000"/>
                <w:sz w:val="15"/>
              </w:rPr>
              <w:t>6.2</w:t>
            </w:r>
          </w:p>
        </w:tc>
        <w:tc>
          <w:tcPr>
            <w:tcW w:type="dxa" w:w="1701"/>
            <w:vAlign w:val="center"/>
            <w:shd w:val="clear" w:color="auto" w:fill="FFFFFF"/>
          </w:tcPr>
          <w:p>
            <w:pPr>
              <w:spacing w:before="40" w:after="40"/>
              <w:jc w:val="center"/>
            </w:pPr>
            <w:r>
              <w:rPr>
                <w:rFonts w:ascii="Times New Roman" w:hAnsi="Times New Roman"/>
                <w:b/>
                <w:color w:val="000000"/>
                <w:sz w:val="15"/>
              </w:rPr>
              <w:t>0.12</w:t>
            </w:r>
          </w:p>
        </w:tc>
      </w:tr>
      <w:tr>
        <w:tc>
          <w:tcPr>
            <w:tcW w:type="dxa" w:w="2494"/>
            <w:vAlign w:val="center"/>
            <w:shd w:val="clear" w:color="auto" w:fill="FFFFFF"/>
          </w:tcPr>
          <w:p>
            <w:pPr>
              <w:spacing w:before="40" w:after="40"/>
              <w:jc w:val="left"/>
            </w:pPr>
            <w:r>
              <w:rPr>
                <w:rFonts w:ascii="Times New Roman" w:hAnsi="Times New Roman"/>
                <w:b w:val="0"/>
                <w:color w:val="000000"/>
                <w:sz w:val="15"/>
              </w:rPr>
              <w:t>Encrypted C2 Detect. (%)</w:t>
            </w:r>
          </w:p>
        </w:tc>
        <w:tc>
          <w:tcPr>
            <w:tcW w:type="dxa" w:w="1134"/>
            <w:vAlign w:val="center"/>
            <w:shd w:val="clear" w:color="auto" w:fill="FFFFFF"/>
          </w:tcPr>
          <w:p>
            <w:pPr>
              <w:spacing w:before="40" w:after="40"/>
              <w:jc w:val="center"/>
            </w:pPr>
            <w:r>
              <w:rPr>
                <w:rFonts w:ascii="Times New Roman" w:hAnsi="Times New Roman"/>
                <w:b w:val="0"/>
                <w:color w:val="000000"/>
                <w:sz w:val="15"/>
              </w:rPr>
              <w:t>12.0</w:t>
            </w:r>
          </w:p>
        </w:tc>
        <w:tc>
          <w:tcPr>
            <w:tcW w:type="dxa" w:w="1134"/>
            <w:vAlign w:val="center"/>
            <w:shd w:val="clear" w:color="auto" w:fill="FFFFFF"/>
          </w:tcPr>
          <w:p>
            <w:pPr>
              <w:spacing w:before="40" w:after="40"/>
              <w:jc w:val="center"/>
            </w:pPr>
            <w:r>
              <w:rPr>
                <w:rFonts w:ascii="Times New Roman" w:hAnsi="Times New Roman"/>
                <w:b w:val="0"/>
                <w:color w:val="000000"/>
                <w:sz w:val="15"/>
              </w:rPr>
              <w:t>18.5</w:t>
            </w:r>
          </w:p>
        </w:tc>
        <w:tc>
          <w:tcPr>
            <w:tcW w:type="dxa" w:w="1134"/>
            <w:vAlign w:val="center"/>
            <w:shd w:val="clear" w:color="auto" w:fill="FFFFFF"/>
          </w:tcPr>
          <w:p>
            <w:pPr>
              <w:spacing w:before="40" w:after="40"/>
              <w:jc w:val="center"/>
            </w:pPr>
            <w:r>
              <w:rPr>
                <w:rFonts w:ascii="Times New Roman" w:hAnsi="Times New Roman"/>
                <w:b w:val="0"/>
                <w:color w:val="000000"/>
                <w:sz w:val="15"/>
              </w:rPr>
              <w:t>72.3</w:t>
            </w:r>
          </w:p>
        </w:tc>
        <w:tc>
          <w:tcPr>
            <w:tcW w:type="dxa" w:w="1247"/>
            <w:vAlign w:val="center"/>
            <w:shd w:val="clear" w:color="auto" w:fill="FFFFFF"/>
          </w:tcPr>
          <w:p>
            <w:pPr>
              <w:spacing w:before="40" w:after="40"/>
              <w:jc w:val="center"/>
            </w:pPr>
            <w:r>
              <w:rPr>
                <w:rFonts w:ascii="Times New Roman" w:hAnsi="Times New Roman"/>
                <w:b w:val="0"/>
                <w:color w:val="000000"/>
                <w:sz w:val="15"/>
              </w:rPr>
              <w:t>68.0</w:t>
            </w:r>
          </w:p>
        </w:tc>
        <w:tc>
          <w:tcPr>
            <w:tcW w:type="dxa" w:w="1134"/>
            <w:vAlign w:val="center"/>
            <w:shd w:val="clear" w:color="auto" w:fill="FFFFFF"/>
          </w:tcPr>
          <w:p>
            <w:pPr>
              <w:spacing w:before="40" w:after="40"/>
              <w:jc w:val="center"/>
            </w:pPr>
            <w:r>
              <w:rPr>
                <w:rFonts w:ascii="Times New Roman" w:hAnsi="Times New Roman"/>
                <w:b w:val="0"/>
                <w:color w:val="000000"/>
                <w:sz w:val="15"/>
              </w:rPr>
              <w:t>64.1</w:t>
            </w:r>
          </w:p>
        </w:tc>
        <w:tc>
          <w:tcPr>
            <w:tcW w:type="dxa" w:w="1701"/>
            <w:vAlign w:val="center"/>
            <w:shd w:val="clear" w:color="auto" w:fill="FFFFFF"/>
          </w:tcPr>
          <w:p>
            <w:pPr>
              <w:spacing w:before="40" w:after="40"/>
              <w:jc w:val="center"/>
            </w:pPr>
            <w:r>
              <w:rPr>
                <w:rFonts w:ascii="Times New Roman" w:hAnsi="Times New Roman"/>
                <w:b/>
                <w:color w:val="000000"/>
                <w:sz w:val="15"/>
              </w:rPr>
              <w:t>87.9</w:t>
            </w:r>
          </w:p>
        </w:tc>
      </w:tr>
      <w:tr>
        <w:tc>
          <w:tcPr>
            <w:tcW w:type="dxa" w:w="2494"/>
            <w:vAlign w:val="center"/>
            <w:shd w:val="clear" w:color="auto" w:fill="FFFFFF"/>
          </w:tcPr>
          <w:p>
            <w:pPr>
              <w:spacing w:before="40" w:after="40"/>
              <w:jc w:val="left"/>
            </w:pPr>
            <w:r>
              <w:rPr>
                <w:rFonts w:ascii="Times New Roman" w:hAnsi="Times New Roman"/>
                <w:b w:val="0"/>
                <w:color w:val="000000"/>
                <w:sz w:val="15"/>
              </w:rPr>
              <w:t>Scan Evasion Resist. (%)</w:t>
            </w:r>
          </w:p>
        </w:tc>
        <w:tc>
          <w:tcPr>
            <w:tcW w:type="dxa" w:w="1134"/>
            <w:vAlign w:val="center"/>
            <w:shd w:val="clear" w:color="auto" w:fill="FFFFFF"/>
          </w:tcPr>
          <w:p>
            <w:pPr>
              <w:spacing w:before="40" w:after="40"/>
              <w:jc w:val="center"/>
            </w:pPr>
            <w:r>
              <w:rPr>
                <w:rFonts w:ascii="Times New Roman" w:hAnsi="Times New Roman"/>
                <w:b w:val="0"/>
                <w:color w:val="000000"/>
                <w:sz w:val="15"/>
              </w:rPr>
              <w:t>41.0</w:t>
            </w:r>
          </w:p>
        </w:tc>
        <w:tc>
          <w:tcPr>
            <w:tcW w:type="dxa" w:w="1134"/>
            <w:vAlign w:val="center"/>
            <w:shd w:val="clear" w:color="auto" w:fill="FFFFFF"/>
          </w:tcPr>
          <w:p>
            <w:pPr>
              <w:spacing w:before="40" w:after="40"/>
              <w:jc w:val="center"/>
            </w:pPr>
            <w:r>
              <w:rPr>
                <w:rFonts w:ascii="Times New Roman" w:hAnsi="Times New Roman"/>
                <w:b w:val="0"/>
                <w:color w:val="000000"/>
                <w:sz w:val="15"/>
              </w:rPr>
              <w:t>49.0</w:t>
            </w:r>
          </w:p>
        </w:tc>
        <w:tc>
          <w:tcPr>
            <w:tcW w:type="dxa" w:w="1134"/>
            <w:vAlign w:val="center"/>
            <w:shd w:val="clear" w:color="auto" w:fill="FFFFFF"/>
          </w:tcPr>
          <w:p>
            <w:pPr>
              <w:spacing w:before="40" w:after="40"/>
              <w:jc w:val="center"/>
            </w:pPr>
            <w:r>
              <w:rPr>
                <w:rFonts w:ascii="Times New Roman" w:hAnsi="Times New Roman"/>
                <w:b w:val="0"/>
                <w:color w:val="000000"/>
                <w:sz w:val="15"/>
              </w:rPr>
              <w:t>76.0</w:t>
            </w:r>
          </w:p>
        </w:tc>
        <w:tc>
          <w:tcPr>
            <w:tcW w:type="dxa" w:w="1247"/>
            <w:vAlign w:val="center"/>
            <w:shd w:val="clear" w:color="auto" w:fill="FFFFFF"/>
          </w:tcPr>
          <w:p>
            <w:pPr>
              <w:spacing w:before="40" w:after="40"/>
              <w:jc w:val="center"/>
            </w:pPr>
            <w:r>
              <w:rPr>
                <w:rFonts w:ascii="Times New Roman" w:hAnsi="Times New Roman"/>
                <w:b w:val="0"/>
                <w:color w:val="000000"/>
                <w:sz w:val="15"/>
              </w:rPr>
              <w:t>63.0</w:t>
            </w:r>
          </w:p>
        </w:tc>
        <w:tc>
          <w:tcPr>
            <w:tcW w:type="dxa" w:w="1134"/>
            <w:vAlign w:val="center"/>
            <w:shd w:val="clear" w:color="auto" w:fill="FFFFFF"/>
          </w:tcPr>
          <w:p>
            <w:pPr>
              <w:spacing w:before="40" w:after="40"/>
              <w:jc w:val="center"/>
            </w:pPr>
            <w:r>
              <w:rPr>
                <w:rFonts w:ascii="Times New Roman" w:hAnsi="Times New Roman"/>
                <w:b w:val="0"/>
                <w:color w:val="000000"/>
                <w:sz w:val="15"/>
              </w:rPr>
              <w:t>71.0</w:t>
            </w:r>
          </w:p>
        </w:tc>
        <w:tc>
          <w:tcPr>
            <w:tcW w:type="dxa" w:w="1701"/>
            <w:vAlign w:val="center"/>
            <w:shd w:val="clear" w:color="auto" w:fill="FFFFFF"/>
          </w:tcPr>
          <w:p>
            <w:pPr>
              <w:spacing w:before="40" w:after="40"/>
              <w:jc w:val="center"/>
            </w:pPr>
            <w:r>
              <w:rPr>
                <w:rFonts w:ascii="Times New Roman" w:hAnsi="Times New Roman"/>
                <w:b/>
                <w:color w:val="000000"/>
                <w:sz w:val="15"/>
              </w:rPr>
              <w:t>96.8</w:t>
            </w:r>
          </w:p>
        </w:tc>
      </w:tr>
      <w:tr>
        <w:tc>
          <w:tcPr>
            <w:tcW w:type="dxa" w:w="2494"/>
            <w:vAlign w:val="center"/>
            <w:shd w:val="clear" w:color="auto" w:fill="FFFFFF"/>
          </w:tcPr>
          <w:p>
            <w:pPr>
              <w:spacing w:before="40" w:after="40"/>
              <w:jc w:val="left"/>
            </w:pPr>
            <w:r>
              <w:rPr>
                <w:rFonts w:ascii="Times New Roman" w:hAnsi="Times New Roman"/>
                <w:b w:val="0"/>
                <w:color w:val="000000"/>
                <w:sz w:val="15"/>
              </w:rPr>
              <w:t>Adversarial Robust. (%)</w:t>
            </w:r>
          </w:p>
        </w:tc>
        <w:tc>
          <w:tcPr>
            <w:tcW w:type="dxa" w:w="1134"/>
            <w:vAlign w:val="center"/>
            <w:shd w:val="clear" w:color="auto" w:fill="FFFFFF"/>
          </w:tcPr>
          <w:p>
            <w:pPr>
              <w:spacing w:before="40" w:after="40"/>
              <w:jc w:val="center"/>
            </w:pPr>
            <w:r>
              <w:rPr>
                <w:rFonts w:ascii="Times New Roman" w:hAnsi="Times New Roman"/>
                <w:b w:val="0"/>
                <w:color w:val="000000"/>
                <w:sz w:val="15"/>
              </w:rPr>
              <w:t>29.0</w:t>
            </w:r>
          </w:p>
        </w:tc>
        <w:tc>
          <w:tcPr>
            <w:tcW w:type="dxa" w:w="1134"/>
            <w:vAlign w:val="center"/>
            <w:shd w:val="clear" w:color="auto" w:fill="FFFFFF"/>
          </w:tcPr>
          <w:p>
            <w:pPr>
              <w:spacing w:before="40" w:after="40"/>
              <w:jc w:val="center"/>
            </w:pPr>
            <w:r>
              <w:rPr>
                <w:rFonts w:ascii="Times New Roman" w:hAnsi="Times New Roman"/>
                <w:b w:val="0"/>
                <w:color w:val="000000"/>
                <w:sz w:val="15"/>
              </w:rPr>
              <w:t>34.0</w:t>
            </w:r>
          </w:p>
        </w:tc>
        <w:tc>
          <w:tcPr>
            <w:tcW w:type="dxa" w:w="1134"/>
            <w:vAlign w:val="center"/>
            <w:shd w:val="clear" w:color="auto" w:fill="FFFFFF"/>
          </w:tcPr>
          <w:p>
            <w:pPr>
              <w:spacing w:before="40" w:after="40"/>
              <w:jc w:val="center"/>
            </w:pPr>
            <w:r>
              <w:rPr>
                <w:rFonts w:ascii="Times New Roman" w:hAnsi="Times New Roman"/>
                <w:b w:val="0"/>
                <w:color w:val="000000"/>
                <w:sz w:val="15"/>
              </w:rPr>
              <w:t>67.0</w:t>
            </w:r>
          </w:p>
        </w:tc>
        <w:tc>
          <w:tcPr>
            <w:tcW w:type="dxa" w:w="1247"/>
            <w:vAlign w:val="center"/>
            <w:shd w:val="clear" w:color="auto" w:fill="FFFFFF"/>
          </w:tcPr>
          <w:p>
            <w:pPr>
              <w:spacing w:before="40" w:after="40"/>
              <w:jc w:val="center"/>
            </w:pPr>
            <w:r>
              <w:rPr>
                <w:rFonts w:ascii="Times New Roman" w:hAnsi="Times New Roman"/>
                <w:b w:val="0"/>
                <w:color w:val="000000"/>
                <w:sz w:val="15"/>
              </w:rPr>
              <w:t>61.0</w:t>
            </w:r>
          </w:p>
        </w:tc>
        <w:tc>
          <w:tcPr>
            <w:tcW w:type="dxa" w:w="1134"/>
            <w:vAlign w:val="center"/>
            <w:shd w:val="clear" w:color="auto" w:fill="FFFFFF"/>
          </w:tcPr>
          <w:p>
            <w:pPr>
              <w:spacing w:before="40" w:after="40"/>
              <w:jc w:val="center"/>
            </w:pPr>
            <w:r>
              <w:rPr>
                <w:rFonts w:ascii="Times New Roman" w:hAnsi="Times New Roman"/>
                <w:b w:val="0"/>
                <w:color w:val="000000"/>
                <w:sz w:val="15"/>
              </w:rPr>
              <w:t>59.0</w:t>
            </w:r>
          </w:p>
        </w:tc>
        <w:tc>
          <w:tcPr>
            <w:tcW w:type="dxa" w:w="1701"/>
            <w:vAlign w:val="center"/>
            <w:shd w:val="clear" w:color="auto" w:fill="FFFFFF"/>
          </w:tcPr>
          <w:p>
            <w:pPr>
              <w:spacing w:before="40" w:after="40"/>
              <w:jc w:val="center"/>
            </w:pPr>
            <w:r>
              <w:rPr>
                <w:rFonts w:ascii="Times New Roman" w:hAnsi="Times New Roman"/>
                <w:b/>
                <w:color w:val="000000"/>
                <w:sz w:val="15"/>
              </w:rPr>
              <w:t>94.1</w:t>
            </w:r>
          </w:p>
        </w:tc>
      </w:tr>
    </w:tbl>
    <w:p>
      <w:pPr>
        <w:spacing w:before="40" w:after="120"/>
        <w:jc w:val="left"/>
      </w:pPr>
      <w:r>
        <w:rPr>
          <w:rFonts w:ascii="Times New Roman" w:hAnsi="Times New Roman"/>
          <w:i/>
          <w:color w:val="555555"/>
          <w:sz w:val="14"/>
        </w:rPr>
        <w:t>*Commercial platform figures (Palo Alto, Cloudflare, Cisco) are compiled from published third-party vendor benchmarks and technical literature [15]–[17] under comparable threat workloads. Autonomous Agent achieves 87.9% C2 detection entirely out-of-band via zero-decryption Shannon entropy windowing and timing jitter analysis.</w:t>
      </w:r>
    </w:p>
    <w:p>
      <w:pPr>
        <w:keepNext/>
        <w:spacing w:before="120" w:after="40"/>
        <w:jc w:val="center"/>
      </w:pPr>
      <w:r>
        <w:drawing>
          <wp:inline xmlns:a="http://schemas.openxmlformats.org/drawingml/2006/main" xmlns:pic="http://schemas.openxmlformats.org/drawingml/2006/picture">
            <wp:extent cx="5940000" cy="3788131"/>
            <wp:docPr id="1" name="Picture 1"/>
            <wp:cNvGraphicFramePr>
              <a:graphicFrameLocks noChangeAspect="1"/>
            </wp:cNvGraphicFramePr>
            <a:graphic>
              <a:graphicData uri="http://schemas.openxmlformats.org/drawingml/2006/picture">
                <pic:pic>
                  <pic:nvPicPr>
                    <pic:cNvPr id="0" name="fig3_detection_accuracy.png"/>
                    <pic:cNvPicPr/>
                  </pic:nvPicPr>
                  <pic:blipFill>
                    <a:blip r:embed="rId10"/>
                    <a:stretch>
                      <a:fillRect/>
                    </a:stretch>
                  </pic:blipFill>
                  <pic:spPr>
                    <a:xfrm>
                      <a:off x="0" y="0"/>
                      <a:ext cx="5940000" cy="3788131"/>
                    </a:xfrm>
                    <a:prstGeom prst="rect"/>
                  </pic:spPr>
                </pic:pic>
              </a:graphicData>
            </a:graphic>
          </wp:inline>
        </w:drawing>
      </w:r>
    </w:p>
    <w:p>
      <w:pPr>
        <w:spacing w:before="40" w:after="160"/>
        <w:jc w:val="center"/>
      </w:pPr>
      <w:r>
        <w:rPr>
          <w:rFonts w:ascii="Times New Roman" w:hAnsi="Times New Roman"/>
          <w:color w:val="000000"/>
          <w:sz w:val="16"/>
        </w:rPr>
        <w:t>Fig. 3.  Detection accuracy and evasion resistance comparison across 10M flows (Table III).</w:t>
      </w:r>
    </w:p>
    <w:p>
      <w:pPr>
        <w:sectPr>
          <w:type w:val="continuous"/>
          <w:pgSz w:w="12240" w:h="15840"/>
          <w:pgMar w:top="1020" w:right="794" w:bottom="1134" w:left="794" w:header="720" w:footer="720" w:gutter="0"/>
          <w:cols w:space="720"/>
          <w:docGrid w:linePitch="360"/>
          <w:cols w:num="2" w:space="540"/>
          <w:cols w:num="1"/>
          <w:cols w:num="2" w:space="540"/>
          <w:cols w:num="1"/>
          <w:cols w:num="2" w:space="540"/>
          <w:cols w:num="1"/>
        </w:sectPr>
      </w:pPr>
    </w:p>
    <w:p>
      <w:pPr>
        <w:keepNext/>
        <w:spacing w:before="160" w:after="40"/>
        <w:jc w:val="left"/>
      </w:pPr>
      <w:r>
        <w:rPr>
          <w:rFonts w:ascii="Times New Roman" w:hAnsi="Times New Roman"/>
          <w:b/>
          <w:i/>
          <w:color w:val="000000"/>
          <w:sz w:val="20"/>
        </w:rPr>
        <w:t>C. Latency and Throughput Comparison</w:t>
      </w:r>
    </w:p>
    <w:p>
      <w:pPr>
        <w:spacing w:after="60" w:line="276" w:lineRule="auto"/>
        <w:ind w:firstLine="255"/>
        <w:jc w:val="both"/>
      </w:pPr>
      <w:r>
        <w:rPr>
          <w:rFonts w:ascii="Times New Roman" w:hAnsi="Times New Roman"/>
          <w:i w:val="0"/>
          <w:color w:val="000000"/>
          <w:sz w:val="20"/>
        </w:rPr>
        <w:t>Table IV compares inline data-plane and control-plane decision latencies across the evaluated systems. A foundational architectural distinction lies in the separation of kernel-space packet processing from userspace deliberation. Traditional open-source systems (Snort 3.x and Suricata 7.x) incur packet-copy penalties through DAQ and AF_PACKET interfaces, bounding per-packet transit latencies between 180 us and 800 us under line-rate load. In contrast, the Autonomous Agent intercepts and drops malicious packets directly within the kernel XDP driver callback at 0.33 us median latency (p90 = 0.92 us). While local SLM semantic deliberation requires 148 ms to 2.8 s on commodity CPU hardware, its completely asynchronous execution via background ring-buffer consumers ensures that wire-speed packet forwarding is never blocked or jitter-degraded during threat reasoning.</w:t>
      </w:r>
    </w:p>
    <w:p>
      <w:pPr>
        <w:sectPr>
          <w:type w:val="continuous"/>
          <w:pgSz w:w="12240" w:h="15840"/>
          <w:pgMar w:top="1020" w:right="794" w:bottom="1134" w:left="794" w:header="720" w:footer="720" w:gutter="0"/>
          <w:cols w:space="720"/>
          <w:docGrid w:linePitch="360"/>
          <w:cols w:num="2" w:space="540"/>
          <w:cols w:num="1"/>
          <w:cols w:num="2" w:space="540"/>
          <w:cols w:num="1"/>
          <w:cols w:num="2" w:space="540"/>
          <w:cols w:num="1"/>
          <w:cols w:num="2" w:space="540"/>
        </w:sectPr>
      </w:pPr>
    </w:p>
    <w:p>
      <w:pPr>
        <w:keepNext/>
        <w:spacing w:before="160" w:after="20"/>
        <w:jc w:val="center"/>
      </w:pPr>
      <w:r>
        <w:rPr>
          <w:rFonts w:ascii="Times New Roman" w:hAnsi="Times New Roman"/>
          <w:b/>
          <w:color w:val="000000"/>
          <w:sz w:val="17"/>
        </w:rPr>
        <w:t>TABLE IV</w:t>
      </w:r>
    </w:p>
    <w:p>
      <w:pPr>
        <w:keepNext/>
        <w:spacing w:before="0" w:after="80"/>
        <w:jc w:val="center"/>
      </w:pPr>
      <w:r>
        <w:rPr>
          <w:rFonts w:ascii="Times New Roman" w:hAnsi="Times New Roman"/>
          <w:color w:val="000000"/>
          <w:sz w:val="16"/>
        </w:rPr>
        <w:t>MITIGATION LATENCY AND THROUGHPUT COMPARISON</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il"/>
          <w:right w:val="nil"/>
          <w:insideV w:val="nil"/>
        </w:tblBorders>
      </w:tblPr>
      <w:tblGrid>
        <w:gridCol w:w="2130"/>
        <w:gridCol w:w="2130"/>
        <w:gridCol w:w="2130"/>
        <w:gridCol w:w="2130"/>
        <w:gridCol w:w="2130"/>
      </w:tblGrid>
      <w:tr>
        <w:tc>
          <w:tcPr>
            <w:tcW w:type="dxa" w:w="2041"/>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System</w:t>
            </w:r>
          </w:p>
        </w:tc>
        <w:tc>
          <w:tcPr>
            <w:tcW w:type="dxa" w:w="2041"/>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Data-Plane Latency</w:t>
            </w:r>
          </w:p>
        </w:tc>
        <w:tc>
          <w:tcPr>
            <w:tcW w:type="dxa" w:w="2041"/>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Control-Plane Latency</w:t>
            </w:r>
          </w:p>
        </w:tc>
        <w:tc>
          <w:tcPr>
            <w:tcW w:type="dxa" w:w="181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Max Throughput</w:t>
            </w:r>
          </w:p>
        </w:tc>
        <w:tc>
          <w:tcPr>
            <w:tcW w:type="dxa" w:w="2041"/>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Architecture</w:t>
            </w:r>
          </w:p>
        </w:tc>
      </w:tr>
      <w:tr>
        <w:tc>
          <w:tcPr>
            <w:tcW w:type="dxa" w:w="2041"/>
            <w:vAlign w:val="center"/>
            <w:shd w:val="clear" w:color="auto" w:fill="FFFFFF"/>
          </w:tcPr>
          <w:p>
            <w:pPr>
              <w:spacing w:before="40" w:after="40"/>
              <w:jc w:val="left"/>
            </w:pPr>
            <w:r>
              <w:rPr>
                <w:rFonts w:ascii="Times New Roman" w:hAnsi="Times New Roman"/>
                <w:b w:val="0"/>
                <w:color w:val="000000"/>
                <w:sz w:val="15"/>
              </w:rPr>
              <w:t>Snort 3.x</w:t>
            </w:r>
          </w:p>
        </w:tc>
        <w:tc>
          <w:tcPr>
            <w:tcW w:type="dxa" w:w="2041"/>
            <w:vAlign w:val="center"/>
            <w:shd w:val="clear" w:color="auto" w:fill="FFFFFF"/>
          </w:tcPr>
          <w:p>
            <w:pPr>
              <w:spacing w:before="40" w:after="40"/>
              <w:jc w:val="center"/>
            </w:pPr>
            <w:r>
              <w:rPr>
                <w:rFonts w:ascii="Times New Roman" w:hAnsi="Times New Roman"/>
                <w:b w:val="0"/>
                <w:color w:val="000000"/>
                <w:sz w:val="15"/>
              </w:rPr>
              <w:t>250-800 us</w:t>
            </w:r>
          </w:p>
        </w:tc>
        <w:tc>
          <w:tcPr>
            <w:tcW w:type="dxa" w:w="2041"/>
            <w:vAlign w:val="center"/>
            <w:shd w:val="clear" w:color="auto" w:fill="FFFFFF"/>
          </w:tcPr>
          <w:p>
            <w:pPr>
              <w:spacing w:before="40" w:after="40"/>
              <w:jc w:val="center"/>
            </w:pPr>
            <w:r>
              <w:rPr>
                <w:rFonts w:ascii="Times New Roman" w:hAnsi="Times New Roman"/>
                <w:b w:val="0"/>
                <w:color w:val="000000"/>
                <w:sz w:val="15"/>
              </w:rPr>
              <w:t>80-200 ms</w:t>
            </w:r>
          </w:p>
        </w:tc>
        <w:tc>
          <w:tcPr>
            <w:tcW w:type="dxa" w:w="1814"/>
            <w:vAlign w:val="center"/>
            <w:shd w:val="clear" w:color="auto" w:fill="FFFFFF"/>
          </w:tcPr>
          <w:p>
            <w:pPr>
              <w:spacing w:before="40" w:after="40"/>
              <w:jc w:val="center"/>
            </w:pPr>
            <w:r>
              <w:rPr>
                <w:rFonts w:ascii="Times New Roman" w:hAnsi="Times New Roman"/>
                <w:b w:val="0"/>
                <w:color w:val="000000"/>
                <w:sz w:val="15"/>
              </w:rPr>
              <w:t>~2 Gbps</w:t>
            </w:r>
          </w:p>
        </w:tc>
        <w:tc>
          <w:tcPr>
            <w:tcW w:type="dxa" w:w="2041"/>
            <w:vAlign w:val="center"/>
            <w:shd w:val="clear" w:color="auto" w:fill="FFFFFF"/>
          </w:tcPr>
          <w:p>
            <w:pPr>
              <w:spacing w:before="40" w:after="40"/>
              <w:jc w:val="left"/>
            </w:pPr>
            <w:r>
              <w:rPr>
                <w:rFonts w:ascii="Times New Roman" w:hAnsi="Times New Roman"/>
                <w:b w:val="0"/>
                <w:color w:val="000000"/>
                <w:sz w:val="15"/>
              </w:rPr>
              <w:t>User-space DAQ</w:t>
            </w:r>
          </w:p>
        </w:tc>
      </w:tr>
      <w:tr>
        <w:tc>
          <w:tcPr>
            <w:tcW w:type="dxa" w:w="2041"/>
            <w:vAlign w:val="center"/>
            <w:shd w:val="clear" w:color="auto" w:fill="FFFFFF"/>
          </w:tcPr>
          <w:p>
            <w:pPr>
              <w:spacing w:before="40" w:after="40"/>
              <w:jc w:val="left"/>
            </w:pPr>
            <w:r>
              <w:rPr>
                <w:rFonts w:ascii="Times New Roman" w:hAnsi="Times New Roman"/>
                <w:b w:val="0"/>
                <w:color w:val="000000"/>
                <w:sz w:val="15"/>
              </w:rPr>
              <w:t>Suricata 7.x</w:t>
            </w:r>
          </w:p>
        </w:tc>
        <w:tc>
          <w:tcPr>
            <w:tcW w:type="dxa" w:w="2041"/>
            <w:vAlign w:val="center"/>
            <w:shd w:val="clear" w:color="auto" w:fill="FFFFFF"/>
          </w:tcPr>
          <w:p>
            <w:pPr>
              <w:spacing w:before="40" w:after="40"/>
              <w:jc w:val="center"/>
            </w:pPr>
            <w:r>
              <w:rPr>
                <w:rFonts w:ascii="Times New Roman" w:hAnsi="Times New Roman"/>
                <w:b w:val="0"/>
                <w:color w:val="000000"/>
                <w:sz w:val="15"/>
              </w:rPr>
              <w:t>180-600 us</w:t>
            </w:r>
          </w:p>
        </w:tc>
        <w:tc>
          <w:tcPr>
            <w:tcW w:type="dxa" w:w="2041"/>
            <w:vAlign w:val="center"/>
            <w:shd w:val="clear" w:color="auto" w:fill="FFFFFF"/>
          </w:tcPr>
          <w:p>
            <w:pPr>
              <w:spacing w:before="40" w:after="40"/>
              <w:jc w:val="center"/>
            </w:pPr>
            <w:r>
              <w:rPr>
                <w:rFonts w:ascii="Times New Roman" w:hAnsi="Times New Roman"/>
                <w:b w:val="0"/>
                <w:color w:val="000000"/>
                <w:sz w:val="15"/>
              </w:rPr>
              <w:t>50-150 ms</w:t>
            </w:r>
          </w:p>
        </w:tc>
        <w:tc>
          <w:tcPr>
            <w:tcW w:type="dxa" w:w="1814"/>
            <w:vAlign w:val="center"/>
            <w:shd w:val="clear" w:color="auto" w:fill="FFFFFF"/>
          </w:tcPr>
          <w:p>
            <w:pPr>
              <w:spacing w:before="40" w:after="40"/>
              <w:jc w:val="center"/>
            </w:pPr>
            <w:r>
              <w:rPr>
                <w:rFonts w:ascii="Times New Roman" w:hAnsi="Times New Roman"/>
                <w:b w:val="0"/>
                <w:color w:val="000000"/>
                <w:sz w:val="15"/>
              </w:rPr>
              <w:t>~4 Gbps</w:t>
            </w:r>
          </w:p>
        </w:tc>
        <w:tc>
          <w:tcPr>
            <w:tcW w:type="dxa" w:w="2041"/>
            <w:vAlign w:val="center"/>
            <w:shd w:val="clear" w:color="auto" w:fill="FFFFFF"/>
          </w:tcPr>
          <w:p>
            <w:pPr>
              <w:spacing w:before="40" w:after="40"/>
              <w:jc w:val="left"/>
            </w:pPr>
            <w:r>
              <w:rPr>
                <w:rFonts w:ascii="Times New Roman" w:hAnsi="Times New Roman"/>
                <w:b w:val="0"/>
                <w:color w:val="000000"/>
                <w:sz w:val="15"/>
              </w:rPr>
              <w:t>User-space AF_PACKET</w:t>
            </w:r>
          </w:p>
        </w:tc>
      </w:tr>
      <w:tr>
        <w:tc>
          <w:tcPr>
            <w:tcW w:type="dxa" w:w="2041"/>
            <w:vAlign w:val="center"/>
            <w:shd w:val="clear" w:color="auto" w:fill="FFFFFF"/>
          </w:tcPr>
          <w:p>
            <w:pPr>
              <w:spacing w:before="40" w:after="40"/>
              <w:jc w:val="left"/>
            </w:pPr>
            <w:r>
              <w:rPr>
                <w:rFonts w:ascii="Times New Roman" w:hAnsi="Times New Roman"/>
                <w:b w:val="0"/>
                <w:color w:val="000000"/>
                <w:sz w:val="15"/>
              </w:rPr>
              <w:t>Palo Alto PAN-OS</w:t>
            </w:r>
          </w:p>
        </w:tc>
        <w:tc>
          <w:tcPr>
            <w:tcW w:type="dxa" w:w="2041"/>
            <w:vAlign w:val="center"/>
            <w:shd w:val="clear" w:color="auto" w:fill="FFFFFF"/>
          </w:tcPr>
          <w:p>
            <w:pPr>
              <w:spacing w:before="40" w:after="40"/>
              <w:jc w:val="center"/>
            </w:pPr>
            <w:r>
              <w:rPr>
                <w:rFonts w:ascii="Times New Roman" w:hAnsi="Times New Roman"/>
                <w:b w:val="0"/>
                <w:color w:val="000000"/>
                <w:sz w:val="15"/>
              </w:rPr>
              <w:t>25-120 us (local)</w:t>
            </w:r>
          </w:p>
        </w:tc>
        <w:tc>
          <w:tcPr>
            <w:tcW w:type="dxa" w:w="2041"/>
            <w:vAlign w:val="center"/>
            <w:shd w:val="clear" w:color="auto" w:fill="FFFFFF"/>
          </w:tcPr>
          <w:p>
            <w:pPr>
              <w:spacing w:before="40" w:after="40"/>
              <w:jc w:val="center"/>
            </w:pPr>
            <w:r>
              <w:rPr>
                <w:rFonts w:ascii="Times New Roman" w:hAnsi="Times New Roman"/>
                <w:b w:val="0"/>
                <w:color w:val="000000"/>
                <w:sz w:val="15"/>
              </w:rPr>
              <w:t>100-500 ms</w:t>
            </w:r>
          </w:p>
        </w:tc>
        <w:tc>
          <w:tcPr>
            <w:tcW w:type="dxa" w:w="1814"/>
            <w:vAlign w:val="center"/>
            <w:shd w:val="clear" w:color="auto" w:fill="FFFFFF"/>
          </w:tcPr>
          <w:p>
            <w:pPr>
              <w:spacing w:before="40" w:after="40"/>
              <w:jc w:val="center"/>
            </w:pPr>
            <w:r>
              <w:rPr>
                <w:rFonts w:ascii="Times New Roman" w:hAnsi="Times New Roman"/>
                <w:b w:val="0"/>
                <w:color w:val="000000"/>
                <w:sz w:val="15"/>
              </w:rPr>
              <w:t>100 Gbps (ASIC)</w:t>
            </w:r>
          </w:p>
        </w:tc>
        <w:tc>
          <w:tcPr>
            <w:tcW w:type="dxa" w:w="2041"/>
            <w:vAlign w:val="center"/>
            <w:shd w:val="clear" w:color="auto" w:fill="FFFFFF"/>
          </w:tcPr>
          <w:p>
            <w:pPr>
              <w:spacing w:before="40" w:after="40"/>
              <w:jc w:val="left"/>
            </w:pPr>
            <w:r>
              <w:rPr>
                <w:rFonts w:ascii="Times New Roman" w:hAnsi="Times New Roman"/>
                <w:b w:val="0"/>
                <w:color w:val="000000"/>
                <w:sz w:val="15"/>
              </w:rPr>
              <w:t>Custom ASIC</w:t>
            </w:r>
          </w:p>
        </w:tc>
      </w:tr>
      <w:tr>
        <w:tc>
          <w:tcPr>
            <w:tcW w:type="dxa" w:w="2041"/>
            <w:vAlign w:val="center"/>
            <w:shd w:val="clear" w:color="auto" w:fill="FFFFFF"/>
          </w:tcPr>
          <w:p>
            <w:pPr>
              <w:spacing w:before="40" w:after="40"/>
              <w:jc w:val="left"/>
            </w:pPr>
            <w:r>
              <w:rPr>
                <w:rFonts w:ascii="Times New Roman" w:hAnsi="Times New Roman"/>
                <w:b w:val="0"/>
                <w:color w:val="000000"/>
                <w:sz w:val="15"/>
              </w:rPr>
              <w:t>Cloudflare MT</w:t>
            </w:r>
          </w:p>
        </w:tc>
        <w:tc>
          <w:tcPr>
            <w:tcW w:type="dxa" w:w="2041"/>
            <w:vAlign w:val="center"/>
            <w:shd w:val="clear" w:color="auto" w:fill="FFFFFF"/>
          </w:tcPr>
          <w:p>
            <w:pPr>
              <w:spacing w:before="40" w:after="40"/>
              <w:jc w:val="center"/>
            </w:pPr>
            <w:r>
              <w:rPr>
                <w:rFonts w:ascii="Times New Roman" w:hAnsi="Times New Roman"/>
                <w:b w:val="0"/>
                <w:color w:val="000000"/>
                <w:sz w:val="15"/>
              </w:rPr>
              <w:t>10-80 ms (WAN)</w:t>
            </w:r>
          </w:p>
        </w:tc>
        <w:tc>
          <w:tcPr>
            <w:tcW w:type="dxa" w:w="2041"/>
            <w:vAlign w:val="center"/>
            <w:shd w:val="clear" w:color="auto" w:fill="FFFFFF"/>
          </w:tcPr>
          <w:p>
            <w:pPr>
              <w:spacing w:before="40" w:after="40"/>
              <w:jc w:val="center"/>
            </w:pPr>
            <w:r>
              <w:rPr>
                <w:rFonts w:ascii="Times New Roman" w:hAnsi="Times New Roman"/>
                <w:b w:val="0"/>
                <w:color w:val="000000"/>
                <w:sz w:val="15"/>
              </w:rPr>
              <w:t>100-300 ms</w:t>
            </w:r>
          </w:p>
        </w:tc>
        <w:tc>
          <w:tcPr>
            <w:tcW w:type="dxa" w:w="1814"/>
            <w:vAlign w:val="center"/>
            <w:shd w:val="clear" w:color="auto" w:fill="FFFFFF"/>
          </w:tcPr>
          <w:p>
            <w:pPr>
              <w:spacing w:before="40" w:after="40"/>
              <w:jc w:val="center"/>
            </w:pPr>
            <w:r>
              <w:rPr>
                <w:rFonts w:ascii="Times New Roman" w:hAnsi="Times New Roman"/>
                <w:b w:val="0"/>
                <w:color w:val="000000"/>
                <w:sz w:val="15"/>
              </w:rPr>
              <w:t>Tbps (anycast)</w:t>
            </w:r>
          </w:p>
        </w:tc>
        <w:tc>
          <w:tcPr>
            <w:tcW w:type="dxa" w:w="2041"/>
            <w:vAlign w:val="center"/>
            <w:shd w:val="clear" w:color="auto" w:fill="FFFFFF"/>
          </w:tcPr>
          <w:p>
            <w:pPr>
              <w:spacing w:before="40" w:after="40"/>
              <w:jc w:val="left"/>
            </w:pPr>
            <w:r>
              <w:rPr>
                <w:rFonts w:ascii="Times New Roman" w:hAnsi="Times New Roman"/>
                <w:b w:val="0"/>
                <w:color w:val="000000"/>
                <w:sz w:val="15"/>
              </w:rPr>
              <w:t>Cloud PoP</w:t>
            </w:r>
          </w:p>
        </w:tc>
      </w:tr>
      <w:tr>
        <w:tc>
          <w:tcPr>
            <w:tcW w:type="dxa" w:w="2041"/>
            <w:vAlign w:val="center"/>
            <w:shd w:val="clear" w:color="auto" w:fill="FFFFFF"/>
          </w:tcPr>
          <w:p>
            <w:pPr>
              <w:spacing w:before="40" w:after="40"/>
              <w:jc w:val="left"/>
            </w:pPr>
            <w:r>
              <w:rPr>
                <w:rFonts w:ascii="Times New Roman" w:hAnsi="Times New Roman"/>
                <w:b w:val="0"/>
                <w:color w:val="000000"/>
                <w:sz w:val="15"/>
              </w:rPr>
              <w:t>Cisco Firepower</w:t>
            </w:r>
          </w:p>
        </w:tc>
        <w:tc>
          <w:tcPr>
            <w:tcW w:type="dxa" w:w="2041"/>
            <w:vAlign w:val="center"/>
            <w:shd w:val="clear" w:color="auto" w:fill="FFFFFF"/>
          </w:tcPr>
          <w:p>
            <w:pPr>
              <w:spacing w:before="40" w:after="40"/>
              <w:jc w:val="center"/>
            </w:pPr>
            <w:r>
              <w:rPr>
                <w:rFonts w:ascii="Times New Roman" w:hAnsi="Times New Roman"/>
                <w:b w:val="0"/>
                <w:color w:val="000000"/>
                <w:sz w:val="15"/>
              </w:rPr>
              <w:t>60-400 us</w:t>
            </w:r>
          </w:p>
        </w:tc>
        <w:tc>
          <w:tcPr>
            <w:tcW w:type="dxa" w:w="2041"/>
            <w:vAlign w:val="center"/>
            <w:shd w:val="clear" w:color="auto" w:fill="FFFFFF"/>
          </w:tcPr>
          <w:p>
            <w:pPr>
              <w:spacing w:before="40" w:after="40"/>
              <w:jc w:val="center"/>
            </w:pPr>
            <w:r>
              <w:rPr>
                <w:rFonts w:ascii="Times New Roman" w:hAnsi="Times New Roman"/>
                <w:b w:val="0"/>
                <w:color w:val="000000"/>
                <w:sz w:val="15"/>
              </w:rPr>
              <w:t>200-800 ms</w:t>
            </w:r>
          </w:p>
        </w:tc>
        <w:tc>
          <w:tcPr>
            <w:tcW w:type="dxa" w:w="1814"/>
            <w:vAlign w:val="center"/>
            <w:shd w:val="clear" w:color="auto" w:fill="FFFFFF"/>
          </w:tcPr>
          <w:p>
            <w:pPr>
              <w:spacing w:before="40" w:after="40"/>
              <w:jc w:val="center"/>
            </w:pPr>
            <w:r>
              <w:rPr>
                <w:rFonts w:ascii="Times New Roman" w:hAnsi="Times New Roman"/>
                <w:b w:val="0"/>
                <w:color w:val="000000"/>
                <w:sz w:val="15"/>
              </w:rPr>
              <w:t>40 Gbps (HW)</w:t>
            </w:r>
          </w:p>
        </w:tc>
        <w:tc>
          <w:tcPr>
            <w:tcW w:type="dxa" w:w="2041"/>
            <w:vAlign w:val="center"/>
            <w:shd w:val="clear" w:color="auto" w:fill="FFFFFF"/>
          </w:tcPr>
          <w:p>
            <w:pPr>
              <w:spacing w:before="40" w:after="40"/>
              <w:jc w:val="left"/>
            </w:pPr>
            <w:r>
              <w:rPr>
                <w:rFonts w:ascii="Times New Roman" w:hAnsi="Times New Roman"/>
                <w:b w:val="0"/>
                <w:color w:val="000000"/>
                <w:sz w:val="15"/>
              </w:rPr>
              <w:t>Custom NIC ASIC</w:t>
            </w:r>
          </w:p>
        </w:tc>
      </w:tr>
      <w:tr>
        <w:tc>
          <w:tcPr>
            <w:tcW w:type="dxa" w:w="2041"/>
            <w:vAlign w:val="center"/>
            <w:shd w:val="clear" w:color="auto" w:fill="FFFFFF"/>
          </w:tcPr>
          <w:p>
            <w:pPr>
              <w:spacing w:before="40" w:after="40"/>
              <w:jc w:val="left"/>
            </w:pPr>
            <w:r>
              <w:rPr>
                <w:rFonts w:ascii="Times New Roman" w:hAnsi="Times New Roman"/>
                <w:b/>
                <w:color w:val="000000"/>
                <w:sz w:val="15"/>
              </w:rPr>
              <w:t>Autonomous Agent (ours)</w:t>
            </w:r>
          </w:p>
        </w:tc>
        <w:tc>
          <w:tcPr>
            <w:tcW w:type="dxa" w:w="2041"/>
            <w:vAlign w:val="center"/>
            <w:shd w:val="clear" w:color="auto" w:fill="FFFFFF"/>
          </w:tcPr>
          <w:p>
            <w:pPr>
              <w:spacing w:before="40" w:after="40"/>
              <w:jc w:val="center"/>
            </w:pPr>
            <w:r>
              <w:rPr>
                <w:rFonts w:ascii="Times New Roman" w:hAnsi="Times New Roman"/>
                <w:b w:val="0"/>
                <w:color w:val="000000"/>
                <w:sz w:val="15"/>
              </w:rPr>
              <w:t>0.33 us (p50)</w:t>
            </w:r>
          </w:p>
        </w:tc>
        <w:tc>
          <w:tcPr>
            <w:tcW w:type="dxa" w:w="2041"/>
            <w:vAlign w:val="center"/>
            <w:shd w:val="clear" w:color="auto" w:fill="FFFFFF"/>
          </w:tcPr>
          <w:p>
            <w:pPr>
              <w:spacing w:before="40" w:after="40"/>
              <w:jc w:val="center"/>
            </w:pPr>
            <w:r>
              <w:rPr>
                <w:rFonts w:ascii="Times New Roman" w:hAnsi="Times New Roman"/>
                <w:b w:val="0"/>
                <w:color w:val="000000"/>
                <w:sz w:val="15"/>
              </w:rPr>
              <w:t>148 ms - 2.8 s (Async)</w:t>
            </w:r>
          </w:p>
        </w:tc>
        <w:tc>
          <w:tcPr>
            <w:tcW w:type="dxa" w:w="1814"/>
            <w:vAlign w:val="center"/>
            <w:shd w:val="clear" w:color="auto" w:fill="FFFFFF"/>
          </w:tcPr>
          <w:p>
            <w:pPr>
              <w:spacing w:before="40" w:after="40"/>
              <w:jc w:val="center"/>
            </w:pPr>
            <w:r>
              <w:rPr>
                <w:rFonts w:ascii="Times New Roman" w:hAnsi="Times New Roman"/>
                <w:b w:val="0"/>
                <w:color w:val="000000"/>
                <w:sz w:val="15"/>
              </w:rPr>
              <w:t>1 Gbps (PCIe NIC)</w:t>
            </w:r>
          </w:p>
        </w:tc>
        <w:tc>
          <w:tcPr>
            <w:tcW w:type="dxa" w:w="2041"/>
            <w:vAlign w:val="center"/>
            <w:shd w:val="clear" w:color="auto" w:fill="FFFFFF"/>
          </w:tcPr>
          <w:p>
            <w:pPr>
              <w:spacing w:before="40" w:after="40"/>
              <w:jc w:val="left"/>
            </w:pPr>
            <w:r>
              <w:rPr>
                <w:rFonts w:ascii="Times New Roman" w:hAnsi="Times New Roman"/>
                <w:b w:val="0"/>
                <w:color w:val="000000"/>
                <w:sz w:val="15"/>
              </w:rPr>
              <w:t>Kernel eBPF (x86/ARM)</w:t>
            </w:r>
          </w:p>
        </w:tc>
      </w:tr>
    </w:tbl>
    <w:p>
      <w:pPr>
        <w:keepNext/>
        <w:spacing w:before="120" w:after="40"/>
        <w:jc w:val="center"/>
      </w:pPr>
      <w:r>
        <w:drawing>
          <wp:inline xmlns:a="http://schemas.openxmlformats.org/drawingml/2006/main" xmlns:pic="http://schemas.openxmlformats.org/drawingml/2006/picture">
            <wp:extent cx="5940000" cy="3508895"/>
            <wp:docPr id="2" name="Picture 2"/>
            <wp:cNvGraphicFramePr>
              <a:graphicFrameLocks noChangeAspect="1"/>
            </wp:cNvGraphicFramePr>
            <a:graphic>
              <a:graphicData uri="http://schemas.openxmlformats.org/drawingml/2006/picture">
                <pic:pic>
                  <pic:nvPicPr>
                    <pic:cNvPr id="0" name="fig4_latency_comparison.png"/>
                    <pic:cNvPicPr/>
                  </pic:nvPicPr>
                  <pic:blipFill>
                    <a:blip r:embed="rId11"/>
                    <a:stretch>
                      <a:fillRect/>
                    </a:stretch>
                  </pic:blipFill>
                  <pic:spPr>
                    <a:xfrm>
                      <a:off x="0" y="0"/>
                      <a:ext cx="5940000" cy="3508895"/>
                    </a:xfrm>
                    <a:prstGeom prst="rect"/>
                  </pic:spPr>
                </pic:pic>
              </a:graphicData>
            </a:graphic>
          </wp:inline>
        </w:drawing>
      </w:r>
    </w:p>
    <w:p>
      <w:pPr>
        <w:spacing w:before="40" w:after="160"/>
        <w:jc w:val="center"/>
      </w:pPr>
      <w:r>
        <w:rPr>
          <w:rFonts w:ascii="Times New Roman" w:hAnsi="Times New Roman"/>
          <w:color w:val="000000"/>
          <w:sz w:val="16"/>
        </w:rPr>
        <w:t>Fig. 4.  Log-scale latency spectrum comparing data-plane mitigation and control-plane triage (Table IV).</w:t>
      </w:r>
    </w:p>
    <w:p>
      <w:pPr>
        <w:sectPr>
          <w:type w:val="continuous"/>
          <w:pgSz w:w="12240" w:h="15840"/>
          <w:pgMar w:top="1020" w:right="794" w:bottom="1134" w:left="794" w:header="720" w:footer="720" w:gutter="0"/>
          <w:cols w:space="720"/>
          <w:docGrid w:linePitch="360"/>
          <w:cols w:num="2" w:space="540"/>
          <w:cols w:num="1"/>
          <w:cols w:num="2" w:space="540"/>
          <w:cols w:num="1"/>
          <w:cols w:num="2" w:space="540"/>
          <w:cols w:num="1"/>
          <w:cols w:num="2" w:space="540"/>
          <w:cols w:num="1"/>
        </w:sectPr>
      </w:pPr>
    </w:p>
    <w:p>
      <w:pPr>
        <w:keepNext/>
        <w:spacing w:before="160" w:after="40"/>
        <w:jc w:val="left"/>
      </w:pPr>
      <w:r>
        <w:rPr>
          <w:rFonts w:ascii="Times New Roman" w:hAnsi="Times New Roman"/>
          <w:b/>
          <w:i/>
          <w:color w:val="000000"/>
          <w:sz w:val="20"/>
        </w:rPr>
        <w:t>D. Sovereignty and Privacy Properties</w:t>
      </w:r>
    </w:p>
    <w:p>
      <w:pPr>
        <w:spacing w:after="60" w:line="276" w:lineRule="auto"/>
        <w:ind w:firstLine="255"/>
        <w:jc w:val="both"/>
      </w:pPr>
      <w:r>
        <w:rPr>
          <w:rFonts w:ascii="Times New Roman" w:hAnsi="Times New Roman"/>
          <w:i w:val="0"/>
          <w:color w:val="000000"/>
          <w:sz w:val="20"/>
        </w:rPr>
        <w:t>Table V contrasts data sovereignty, operational autonomy, and defensive deception capabilities. Commercial enterprise firewalls (Palo Alto PAN-OS, Cisco Firepower) and cloud protection platforms (Cloudflare Magic Transit) fundamentally require continuous uplink connectivity to vendor intelligence clouds (Wildfire, Talos) and third-party telemetry ingest, disqualifying them from classified defense installations or air-gapped critical infrastructure. In contrast, the Autonomous Agent provides 100% sovereign, air-gapped execution with zero telemetry leakage and zero subscription overhead. Furthermore, it incorporates native post-quantum key encapsulation (NIST FIPS 203 ML-KEM-1024) and signatures (FIPS 204 ML-DSA-65), coupled with proactive HMAC-SHA256 port hopping and canary-backed AI-tarpit deception to actively exhaust attacker reconnaissance resources.</w:t>
      </w:r>
    </w:p>
    <w:p>
      <w:pPr>
        <w:sectPr>
          <w:type w:val="continuous"/>
          <w:pgSz w:w="12240" w:h="15840"/>
          <w:pgMar w:top="1020" w:right="794" w:bottom="1134" w:left="794" w:header="720" w:footer="720" w:gutter="0"/>
          <w:cols w:space="720"/>
          <w:docGrid w:linePitch="360"/>
          <w:cols w:num="2" w:space="540"/>
          <w:cols w:num="1"/>
          <w:cols w:num="2" w:space="540"/>
          <w:cols w:num="1"/>
          <w:cols w:num="2" w:space="540"/>
          <w:cols w:num="1"/>
          <w:cols w:num="2" w:space="540"/>
          <w:cols w:num="1"/>
          <w:cols w:num="2" w:space="540"/>
        </w:sectPr>
      </w:pPr>
    </w:p>
    <w:p>
      <w:pPr>
        <w:keepNext/>
        <w:spacing w:before="160" w:after="20"/>
        <w:jc w:val="center"/>
      </w:pPr>
      <w:r>
        <w:rPr>
          <w:rFonts w:ascii="Times New Roman" w:hAnsi="Times New Roman"/>
          <w:b/>
          <w:color w:val="000000"/>
          <w:sz w:val="17"/>
        </w:rPr>
        <w:t>TABLE V</w:t>
      </w:r>
    </w:p>
    <w:p>
      <w:pPr>
        <w:keepNext/>
        <w:spacing w:before="0" w:after="80"/>
        <w:jc w:val="center"/>
      </w:pPr>
      <w:r>
        <w:rPr>
          <w:rFonts w:ascii="Times New Roman" w:hAnsi="Times New Roman"/>
          <w:color w:val="000000"/>
          <w:sz w:val="16"/>
        </w:rPr>
        <w:t>SOVEREIGNTY, PRIVACY, AND UNIQUE DEFENCE CAPABILITY COMPARISON</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il"/>
          <w:right w:val="nil"/>
          <w:insideV w:val="nil"/>
        </w:tblBorders>
      </w:tblPr>
      <w:tblGrid>
        <w:gridCol w:w="2130"/>
        <w:gridCol w:w="2130"/>
        <w:gridCol w:w="2130"/>
        <w:gridCol w:w="2130"/>
        <w:gridCol w:w="2130"/>
      </w:tblGrid>
      <w:tr>
        <w:tc>
          <w:tcPr>
            <w:tcW w:type="dxa" w:w="2381"/>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Property</w:t>
            </w:r>
          </w:p>
        </w:tc>
        <w:tc>
          <w:tcPr>
            <w:tcW w:type="dxa" w:w="181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Snort / Suricata</w:t>
            </w:r>
          </w:p>
        </w:tc>
        <w:tc>
          <w:tcPr>
            <w:tcW w:type="dxa" w:w="1928"/>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Palo Alto / Cisco</w:t>
            </w:r>
          </w:p>
        </w:tc>
        <w:tc>
          <w:tcPr>
            <w:tcW w:type="dxa" w:w="1814"/>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Cloudflare</w:t>
            </w:r>
          </w:p>
        </w:tc>
        <w:tc>
          <w:tcPr>
            <w:tcW w:type="dxa" w:w="2041"/>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Autonomous Agent (ours)</w:t>
            </w:r>
          </w:p>
        </w:tc>
      </w:tr>
      <w:tr>
        <w:tc>
          <w:tcPr>
            <w:tcW w:type="dxa" w:w="2381"/>
            <w:vAlign w:val="center"/>
            <w:shd w:val="clear" w:color="auto" w:fill="FFFFFF"/>
          </w:tcPr>
          <w:p>
            <w:pPr>
              <w:spacing w:before="40" w:after="40"/>
              <w:jc w:val="left"/>
            </w:pPr>
            <w:r>
              <w:rPr>
                <w:rFonts w:ascii="Times New Roman" w:hAnsi="Times New Roman"/>
                <w:b w:val="0"/>
                <w:color w:val="000000"/>
                <w:sz w:val="15"/>
              </w:rPr>
              <w:t>Air-gapped operation</w:t>
            </w:r>
          </w:p>
        </w:tc>
        <w:tc>
          <w:tcPr>
            <w:tcW w:type="dxa" w:w="1814"/>
            <w:vAlign w:val="center"/>
            <w:shd w:val="clear" w:color="auto" w:fill="FFFFFF"/>
          </w:tcPr>
          <w:p>
            <w:pPr>
              <w:spacing w:before="40" w:after="40"/>
              <w:jc w:val="center"/>
            </w:pPr>
            <w:r>
              <w:rPr>
                <w:rFonts w:ascii="Times New Roman" w:hAnsi="Times New Roman"/>
                <w:b w:val="0"/>
                <w:color w:val="000000"/>
                <w:sz w:val="15"/>
              </w:rPr>
              <w:t>Yes (no updates)</w:t>
            </w:r>
          </w:p>
        </w:tc>
        <w:tc>
          <w:tcPr>
            <w:tcW w:type="dxa" w:w="1928"/>
            <w:vAlign w:val="center"/>
            <w:shd w:val="clear" w:color="auto" w:fill="FFFFFF"/>
          </w:tcPr>
          <w:p>
            <w:pPr>
              <w:spacing w:before="40" w:after="40"/>
              <w:jc w:val="center"/>
            </w:pPr>
            <w:r>
              <w:rPr>
                <w:rFonts w:ascii="Times New Roman" w:hAnsi="Times New Roman"/>
                <w:b w:val="0"/>
                <w:color w:val="000000"/>
                <w:sz w:val="15"/>
              </w:rPr>
              <w:t>No (cloud feeds)</w:t>
            </w:r>
          </w:p>
        </w:tc>
        <w:tc>
          <w:tcPr>
            <w:tcW w:type="dxa" w:w="1814"/>
            <w:vAlign w:val="center"/>
            <w:shd w:val="clear" w:color="auto" w:fill="FFFFFF"/>
          </w:tcPr>
          <w:p>
            <w:pPr>
              <w:spacing w:before="40" w:after="40"/>
              <w:jc w:val="center"/>
            </w:pPr>
            <w:r>
              <w:rPr>
                <w:rFonts w:ascii="Times New Roman" w:hAnsi="Times New Roman"/>
                <w:b w:val="0"/>
                <w:color w:val="000000"/>
                <w:sz w:val="15"/>
              </w:rPr>
              <w:t>No (cloud-only)</w:t>
            </w:r>
          </w:p>
        </w:tc>
        <w:tc>
          <w:tcPr>
            <w:tcW w:type="dxa" w:w="2041"/>
            <w:vAlign w:val="center"/>
            <w:shd w:val="clear" w:color="auto" w:fill="FFFFFF"/>
          </w:tcPr>
          <w:p>
            <w:pPr>
              <w:spacing w:before="40" w:after="40"/>
              <w:jc w:val="center"/>
            </w:pPr>
            <w:r>
              <w:rPr>
                <w:rFonts w:ascii="Times New Roman" w:hAnsi="Times New Roman"/>
                <w:b/>
                <w:color w:val="000000"/>
                <w:sz w:val="15"/>
              </w:rPr>
              <w:t>Yes - Full offline</w:t>
            </w:r>
          </w:p>
        </w:tc>
      </w:tr>
      <w:tr>
        <w:tc>
          <w:tcPr>
            <w:tcW w:type="dxa" w:w="2381"/>
            <w:vAlign w:val="center"/>
            <w:shd w:val="clear" w:color="auto" w:fill="FFFFFF"/>
          </w:tcPr>
          <w:p>
            <w:pPr>
              <w:spacing w:before="40" w:after="40"/>
              <w:jc w:val="left"/>
            </w:pPr>
            <w:r>
              <w:rPr>
                <w:rFonts w:ascii="Times New Roman" w:hAnsi="Times New Roman"/>
                <w:b w:val="0"/>
                <w:color w:val="000000"/>
                <w:sz w:val="15"/>
              </w:rPr>
              <w:t>Zero third-party telemetry</w:t>
            </w:r>
          </w:p>
        </w:tc>
        <w:tc>
          <w:tcPr>
            <w:tcW w:type="dxa" w:w="1814"/>
            <w:vAlign w:val="center"/>
            <w:shd w:val="clear" w:color="auto" w:fill="FFFFFF"/>
          </w:tcPr>
          <w:p>
            <w:pPr>
              <w:spacing w:before="40" w:after="40"/>
              <w:jc w:val="center"/>
            </w:pPr>
            <w:r>
              <w:rPr>
                <w:rFonts w:ascii="Times New Roman" w:hAnsi="Times New Roman"/>
                <w:b w:val="0"/>
                <w:color w:val="000000"/>
                <w:sz w:val="15"/>
              </w:rPr>
              <w:t>Yes</w:t>
            </w:r>
          </w:p>
        </w:tc>
        <w:tc>
          <w:tcPr>
            <w:tcW w:type="dxa" w:w="1928"/>
            <w:vAlign w:val="center"/>
            <w:shd w:val="clear" w:color="auto" w:fill="FFFFFF"/>
          </w:tcPr>
          <w:p>
            <w:pPr>
              <w:spacing w:before="40" w:after="40"/>
              <w:jc w:val="center"/>
            </w:pPr>
            <w:r>
              <w:rPr>
                <w:rFonts w:ascii="Times New Roman" w:hAnsi="Times New Roman"/>
                <w:b w:val="0"/>
                <w:color w:val="000000"/>
                <w:sz w:val="15"/>
              </w:rPr>
              <w:t>No (Wildfire/Talos)</w:t>
            </w:r>
          </w:p>
        </w:tc>
        <w:tc>
          <w:tcPr>
            <w:tcW w:type="dxa" w:w="1814"/>
            <w:vAlign w:val="center"/>
            <w:shd w:val="clear" w:color="auto" w:fill="FFFFFF"/>
          </w:tcPr>
          <w:p>
            <w:pPr>
              <w:spacing w:before="40" w:after="40"/>
              <w:jc w:val="center"/>
            </w:pPr>
            <w:r>
              <w:rPr>
                <w:rFonts w:ascii="Times New Roman" w:hAnsi="Times New Roman"/>
                <w:b w:val="0"/>
                <w:color w:val="000000"/>
                <w:sz w:val="15"/>
              </w:rPr>
              <w:t>No (payload inspect)</w:t>
            </w:r>
          </w:p>
        </w:tc>
        <w:tc>
          <w:tcPr>
            <w:tcW w:type="dxa" w:w="2041"/>
            <w:vAlign w:val="center"/>
            <w:shd w:val="clear" w:color="auto" w:fill="FFFFFF"/>
          </w:tcPr>
          <w:p>
            <w:pPr>
              <w:spacing w:before="40" w:after="40"/>
              <w:jc w:val="center"/>
            </w:pPr>
            <w:r>
              <w:rPr>
                <w:rFonts w:ascii="Times New Roman" w:hAnsi="Times New Roman"/>
                <w:b/>
                <w:color w:val="000000"/>
                <w:sz w:val="15"/>
              </w:rPr>
              <w:t>Yes - Zero calls</w:t>
            </w:r>
          </w:p>
        </w:tc>
      </w:tr>
      <w:tr>
        <w:tc>
          <w:tcPr>
            <w:tcW w:type="dxa" w:w="2381"/>
            <w:vAlign w:val="center"/>
            <w:shd w:val="clear" w:color="auto" w:fill="FFFFFF"/>
          </w:tcPr>
          <w:p>
            <w:pPr>
              <w:spacing w:before="40" w:after="40"/>
              <w:jc w:val="left"/>
            </w:pPr>
            <w:r>
              <w:rPr>
                <w:rFonts w:ascii="Times New Roman" w:hAnsi="Times New Roman"/>
                <w:b w:val="0"/>
                <w:color w:val="000000"/>
                <w:sz w:val="15"/>
              </w:rPr>
              <w:t>Post-quantum crypto</w:t>
            </w:r>
          </w:p>
        </w:tc>
        <w:tc>
          <w:tcPr>
            <w:tcW w:type="dxa" w:w="1814"/>
            <w:vAlign w:val="center"/>
            <w:shd w:val="clear" w:color="auto" w:fill="FFFFFF"/>
          </w:tcPr>
          <w:p>
            <w:pPr>
              <w:spacing w:before="40" w:after="40"/>
              <w:jc w:val="center"/>
            </w:pPr>
            <w:r>
              <w:rPr>
                <w:rFonts w:ascii="Times New Roman" w:hAnsi="Times New Roman"/>
                <w:b w:val="0"/>
                <w:color w:val="000000"/>
                <w:sz w:val="15"/>
              </w:rPr>
              <w:t>No</w:t>
            </w:r>
          </w:p>
        </w:tc>
        <w:tc>
          <w:tcPr>
            <w:tcW w:type="dxa" w:w="1928"/>
            <w:vAlign w:val="center"/>
            <w:shd w:val="clear" w:color="auto" w:fill="FFFFFF"/>
          </w:tcPr>
          <w:p>
            <w:pPr>
              <w:spacing w:before="40" w:after="40"/>
              <w:jc w:val="center"/>
            </w:pPr>
            <w:r>
              <w:rPr>
                <w:rFonts w:ascii="Times New Roman" w:hAnsi="Times New Roman"/>
                <w:b w:val="0"/>
                <w:color w:val="000000"/>
                <w:sz w:val="15"/>
              </w:rPr>
              <w:t>Partial (roadmap)</w:t>
            </w:r>
          </w:p>
        </w:tc>
        <w:tc>
          <w:tcPr>
            <w:tcW w:type="dxa" w:w="1814"/>
            <w:vAlign w:val="center"/>
            <w:shd w:val="clear" w:color="auto" w:fill="FFFFFF"/>
          </w:tcPr>
          <w:p>
            <w:pPr>
              <w:spacing w:before="40" w:after="40"/>
              <w:jc w:val="center"/>
            </w:pPr>
            <w:r>
              <w:rPr>
                <w:rFonts w:ascii="Times New Roman" w:hAnsi="Times New Roman"/>
                <w:b w:val="0"/>
                <w:color w:val="000000"/>
                <w:sz w:val="15"/>
              </w:rPr>
              <w:t>Partial (exp.)</w:t>
            </w:r>
          </w:p>
        </w:tc>
        <w:tc>
          <w:tcPr>
            <w:tcW w:type="dxa" w:w="2041"/>
            <w:vAlign w:val="center"/>
            <w:shd w:val="clear" w:color="auto" w:fill="FFFFFF"/>
          </w:tcPr>
          <w:p>
            <w:pPr>
              <w:spacing w:before="40" w:after="40"/>
              <w:jc w:val="center"/>
            </w:pPr>
            <w:r>
              <w:rPr>
                <w:rFonts w:ascii="Times New Roman" w:hAnsi="Times New Roman"/>
                <w:b/>
                <w:color w:val="000000"/>
                <w:sz w:val="15"/>
              </w:rPr>
              <w:t>ML-KEM-1024 + ML-DSA-65</w:t>
            </w:r>
          </w:p>
        </w:tc>
      </w:tr>
      <w:tr>
        <w:tc>
          <w:tcPr>
            <w:tcW w:type="dxa" w:w="2381"/>
            <w:vAlign w:val="center"/>
            <w:shd w:val="clear" w:color="auto" w:fill="FFFFFF"/>
          </w:tcPr>
          <w:p>
            <w:pPr>
              <w:spacing w:before="40" w:after="40"/>
              <w:jc w:val="left"/>
            </w:pPr>
            <w:r>
              <w:rPr>
                <w:rFonts w:ascii="Times New Roman" w:hAnsi="Times New Roman"/>
                <w:b w:val="0"/>
                <w:color w:val="000000"/>
                <w:sz w:val="15"/>
              </w:rPr>
              <w:t>No subscription required</w:t>
            </w:r>
          </w:p>
        </w:tc>
        <w:tc>
          <w:tcPr>
            <w:tcW w:type="dxa" w:w="1814"/>
            <w:vAlign w:val="center"/>
            <w:shd w:val="clear" w:color="auto" w:fill="FFFFFF"/>
          </w:tcPr>
          <w:p>
            <w:pPr>
              <w:spacing w:before="40" w:after="40"/>
              <w:jc w:val="center"/>
            </w:pPr>
            <w:r>
              <w:rPr>
                <w:rFonts w:ascii="Times New Roman" w:hAnsi="Times New Roman"/>
                <w:b w:val="0"/>
                <w:color w:val="000000"/>
                <w:sz w:val="15"/>
              </w:rPr>
              <w:t>Yes</w:t>
            </w:r>
          </w:p>
        </w:tc>
        <w:tc>
          <w:tcPr>
            <w:tcW w:type="dxa" w:w="1928"/>
            <w:vAlign w:val="center"/>
            <w:shd w:val="clear" w:color="auto" w:fill="FFFFFF"/>
          </w:tcPr>
          <w:p>
            <w:pPr>
              <w:spacing w:before="40" w:after="40"/>
              <w:jc w:val="center"/>
            </w:pPr>
            <w:r>
              <w:rPr>
                <w:rFonts w:ascii="Times New Roman" w:hAnsi="Times New Roman"/>
                <w:b w:val="0"/>
                <w:color w:val="000000"/>
                <w:sz w:val="15"/>
              </w:rPr>
              <w:t>No ($40k-$200k/yr)</w:t>
            </w:r>
          </w:p>
        </w:tc>
        <w:tc>
          <w:tcPr>
            <w:tcW w:type="dxa" w:w="1814"/>
            <w:vAlign w:val="center"/>
            <w:shd w:val="clear" w:color="auto" w:fill="FFFFFF"/>
          </w:tcPr>
          <w:p>
            <w:pPr>
              <w:spacing w:before="40" w:after="40"/>
              <w:jc w:val="center"/>
            </w:pPr>
            <w:r>
              <w:rPr>
                <w:rFonts w:ascii="Times New Roman" w:hAnsi="Times New Roman"/>
                <w:b w:val="0"/>
                <w:color w:val="000000"/>
                <w:sz w:val="15"/>
              </w:rPr>
              <w:t>No ($0.05+/Gbps)</w:t>
            </w:r>
          </w:p>
        </w:tc>
        <w:tc>
          <w:tcPr>
            <w:tcW w:type="dxa" w:w="2041"/>
            <w:vAlign w:val="center"/>
            <w:shd w:val="clear" w:color="auto" w:fill="FFFFFF"/>
          </w:tcPr>
          <w:p>
            <w:pPr>
              <w:spacing w:before="40" w:after="40"/>
              <w:jc w:val="center"/>
            </w:pPr>
            <w:r>
              <w:rPr>
                <w:rFonts w:ascii="Times New Roman" w:hAnsi="Times New Roman"/>
                <w:b/>
                <w:color w:val="000000"/>
                <w:sz w:val="15"/>
              </w:rPr>
              <w:t>Yes - Zero cost</w:t>
            </w:r>
          </w:p>
        </w:tc>
      </w:tr>
      <w:tr>
        <w:tc>
          <w:tcPr>
            <w:tcW w:type="dxa" w:w="2381"/>
            <w:vAlign w:val="center"/>
            <w:shd w:val="clear" w:color="auto" w:fill="FFFFFF"/>
          </w:tcPr>
          <w:p>
            <w:pPr>
              <w:spacing w:before="40" w:after="40"/>
              <w:jc w:val="left"/>
            </w:pPr>
            <w:r>
              <w:rPr>
                <w:rFonts w:ascii="Times New Roman" w:hAnsi="Times New Roman"/>
                <w:b w:val="0"/>
                <w:color w:val="000000"/>
                <w:sz w:val="15"/>
              </w:rPr>
              <w:t>Attacker deception/tarpit</w:t>
            </w:r>
          </w:p>
        </w:tc>
        <w:tc>
          <w:tcPr>
            <w:tcW w:type="dxa" w:w="1814"/>
            <w:vAlign w:val="center"/>
            <w:shd w:val="clear" w:color="auto" w:fill="FFFFFF"/>
          </w:tcPr>
          <w:p>
            <w:pPr>
              <w:spacing w:before="40" w:after="40"/>
              <w:jc w:val="center"/>
            </w:pPr>
            <w:r>
              <w:rPr>
                <w:rFonts w:ascii="Times New Roman" w:hAnsi="Times New Roman"/>
                <w:b w:val="0"/>
                <w:color w:val="000000"/>
                <w:sz w:val="15"/>
              </w:rPr>
              <w:t>No</w:t>
            </w:r>
          </w:p>
        </w:tc>
        <w:tc>
          <w:tcPr>
            <w:tcW w:type="dxa" w:w="1928"/>
            <w:vAlign w:val="center"/>
            <w:shd w:val="clear" w:color="auto" w:fill="FFFFFF"/>
          </w:tcPr>
          <w:p>
            <w:pPr>
              <w:spacing w:before="40" w:after="40"/>
              <w:jc w:val="center"/>
            </w:pPr>
            <w:r>
              <w:rPr>
                <w:rFonts w:ascii="Times New Roman" w:hAnsi="Times New Roman"/>
                <w:b w:val="0"/>
                <w:color w:val="000000"/>
                <w:sz w:val="15"/>
              </w:rPr>
              <w:t>No (RST only)</w:t>
            </w:r>
          </w:p>
        </w:tc>
        <w:tc>
          <w:tcPr>
            <w:tcW w:type="dxa" w:w="1814"/>
            <w:vAlign w:val="center"/>
            <w:shd w:val="clear" w:color="auto" w:fill="FFFFFF"/>
          </w:tcPr>
          <w:p>
            <w:pPr>
              <w:spacing w:before="40" w:after="40"/>
              <w:jc w:val="center"/>
            </w:pPr>
            <w:r>
              <w:rPr>
                <w:rFonts w:ascii="Times New Roman" w:hAnsi="Times New Roman"/>
                <w:b w:val="0"/>
                <w:color w:val="000000"/>
                <w:sz w:val="15"/>
              </w:rPr>
              <w:t>No (blackhole only)</w:t>
            </w:r>
          </w:p>
        </w:tc>
        <w:tc>
          <w:tcPr>
            <w:tcW w:type="dxa" w:w="2041"/>
            <w:vAlign w:val="center"/>
            <w:shd w:val="clear" w:color="auto" w:fill="FFFFFF"/>
          </w:tcPr>
          <w:p>
            <w:pPr>
              <w:spacing w:before="40" w:after="40"/>
              <w:jc w:val="center"/>
            </w:pPr>
            <w:r>
              <w:rPr>
                <w:rFonts w:ascii="Times New Roman" w:hAnsi="Times New Roman"/>
                <w:b/>
                <w:color w:val="000000"/>
                <w:sz w:val="15"/>
              </w:rPr>
              <w:t>AI tarpit + honey-token</w:t>
            </w:r>
          </w:p>
        </w:tc>
      </w:tr>
      <w:tr>
        <w:tc>
          <w:tcPr>
            <w:tcW w:type="dxa" w:w="2381"/>
            <w:vAlign w:val="center"/>
            <w:shd w:val="clear" w:color="auto" w:fill="FFFFFF"/>
          </w:tcPr>
          <w:p>
            <w:pPr>
              <w:spacing w:before="40" w:after="40"/>
              <w:jc w:val="left"/>
            </w:pPr>
            <w:r>
              <w:rPr>
                <w:rFonts w:ascii="Times New Roman" w:hAnsi="Times New Roman"/>
                <w:b w:val="0"/>
                <w:color w:val="000000"/>
                <w:sz w:val="15"/>
              </w:rPr>
              <w:t>Moving Target Defence</w:t>
            </w:r>
          </w:p>
        </w:tc>
        <w:tc>
          <w:tcPr>
            <w:tcW w:type="dxa" w:w="1814"/>
            <w:vAlign w:val="center"/>
            <w:shd w:val="clear" w:color="auto" w:fill="FFFFFF"/>
          </w:tcPr>
          <w:p>
            <w:pPr>
              <w:spacing w:before="40" w:after="40"/>
              <w:jc w:val="center"/>
            </w:pPr>
            <w:r>
              <w:rPr>
                <w:rFonts w:ascii="Times New Roman" w:hAnsi="Times New Roman"/>
                <w:b w:val="0"/>
                <w:color w:val="000000"/>
                <w:sz w:val="15"/>
              </w:rPr>
              <w:t>No</w:t>
            </w:r>
          </w:p>
        </w:tc>
        <w:tc>
          <w:tcPr>
            <w:tcW w:type="dxa" w:w="1928"/>
            <w:vAlign w:val="center"/>
            <w:shd w:val="clear" w:color="auto" w:fill="FFFFFF"/>
          </w:tcPr>
          <w:p>
            <w:pPr>
              <w:spacing w:before="40" w:after="40"/>
              <w:jc w:val="center"/>
            </w:pPr>
            <w:r>
              <w:rPr>
                <w:rFonts w:ascii="Times New Roman" w:hAnsi="Times New Roman"/>
                <w:b w:val="0"/>
                <w:color w:val="000000"/>
                <w:sz w:val="15"/>
              </w:rPr>
              <w:t>No</w:t>
            </w:r>
          </w:p>
        </w:tc>
        <w:tc>
          <w:tcPr>
            <w:tcW w:type="dxa" w:w="1814"/>
            <w:vAlign w:val="center"/>
            <w:shd w:val="clear" w:color="auto" w:fill="FFFFFF"/>
          </w:tcPr>
          <w:p>
            <w:pPr>
              <w:spacing w:before="40" w:after="40"/>
              <w:jc w:val="center"/>
            </w:pPr>
            <w:r>
              <w:rPr>
                <w:rFonts w:ascii="Times New Roman" w:hAnsi="Times New Roman"/>
                <w:b w:val="0"/>
                <w:color w:val="000000"/>
                <w:sz w:val="15"/>
              </w:rPr>
              <w:t>No</w:t>
            </w:r>
          </w:p>
        </w:tc>
        <w:tc>
          <w:tcPr>
            <w:tcW w:type="dxa" w:w="2041"/>
            <w:vAlign w:val="center"/>
            <w:shd w:val="clear" w:color="auto" w:fill="FFFFFF"/>
          </w:tcPr>
          <w:p>
            <w:pPr>
              <w:spacing w:before="40" w:after="40"/>
              <w:jc w:val="center"/>
            </w:pPr>
            <w:r>
              <w:rPr>
                <w:rFonts w:ascii="Times New Roman" w:hAnsi="Times New Roman"/>
                <w:b/>
                <w:color w:val="000000"/>
                <w:sz w:val="15"/>
              </w:rPr>
              <w:t>HMAC-SHA256 port hopping</w:t>
            </w:r>
          </w:p>
        </w:tc>
      </w:tr>
    </w:tbl>
    <w:p>
      <w:pPr>
        <w:keepNext/>
        <w:spacing w:before="120" w:after="40"/>
        <w:jc w:val="center"/>
      </w:pPr>
      <w:r>
        <w:drawing>
          <wp:inline xmlns:a="http://schemas.openxmlformats.org/drawingml/2006/main" xmlns:pic="http://schemas.openxmlformats.org/drawingml/2006/picture">
            <wp:extent cx="5940000" cy="2464037"/>
            <wp:docPr id="3" name="Picture 3"/>
            <wp:cNvGraphicFramePr>
              <a:graphicFrameLocks noChangeAspect="1"/>
            </wp:cNvGraphicFramePr>
            <a:graphic>
              <a:graphicData uri="http://schemas.openxmlformats.org/drawingml/2006/picture">
                <pic:pic>
                  <pic:nvPicPr>
                    <pic:cNvPr id="0" name="fig5_capability_matrix.png"/>
                    <pic:cNvPicPr/>
                  </pic:nvPicPr>
                  <pic:blipFill>
                    <a:blip r:embed="rId12"/>
                    <a:stretch>
                      <a:fillRect/>
                    </a:stretch>
                  </pic:blipFill>
                  <pic:spPr>
                    <a:xfrm>
                      <a:off x="0" y="0"/>
                      <a:ext cx="5940000" cy="2464037"/>
                    </a:xfrm>
                    <a:prstGeom prst="rect"/>
                  </pic:spPr>
                </pic:pic>
              </a:graphicData>
            </a:graphic>
          </wp:inline>
        </w:drawing>
      </w:r>
    </w:p>
    <w:p>
      <w:pPr>
        <w:spacing w:before="40" w:after="160"/>
        <w:jc w:val="center"/>
      </w:pPr>
      <w:r>
        <w:rPr>
          <w:rFonts w:ascii="Times New Roman" w:hAnsi="Times New Roman"/>
          <w:color w:val="000000"/>
          <w:sz w:val="16"/>
        </w:rPr>
        <w:t>Fig. 5.  Defense capability, air-gapped readiness, and sovereignty compliance matrix (Table V).</w:t>
      </w:r>
    </w:p>
    <w:p>
      <w:pPr>
        <w:sectPr>
          <w:type w:val="continuous"/>
          <w:pgSz w:w="12240" w:h="15840"/>
          <w:pgMar w:top="1020" w:right="794" w:bottom="1134" w:left="794" w:header="720" w:footer="720" w:gutter="0"/>
          <w:cols w:space="720"/>
          <w:docGrid w:linePitch="360"/>
          <w:cols w:num="2" w:space="540"/>
          <w:cols w:num="1"/>
          <w:cols w:num="2" w:space="540"/>
          <w:cols w:num="1"/>
          <w:cols w:num="2" w:space="540"/>
          <w:cols w:num="1"/>
          <w:cols w:num="2" w:space="540"/>
          <w:cols w:num="1"/>
          <w:cols w:num="2" w:space="540"/>
          <w:cols w:num="1"/>
        </w:sectPr>
      </w:pPr>
    </w:p>
    <w:p>
      <w:pPr>
        <w:keepNext/>
        <w:spacing w:before="240" w:after="80"/>
        <w:jc w:val="center"/>
      </w:pPr>
      <w:r>
        <w:rPr>
          <w:rFonts w:ascii="Times New Roman" w:hAnsi="Times New Roman"/>
          <w:b/>
          <w:color w:val="000000"/>
          <w:sz w:val="20"/>
        </w:rPr>
        <w:t>V.  EXPERIMENTAL SETUP AND RESULTS</w:t>
      </w:r>
    </w:p>
    <w:p>
      <w:pPr>
        <w:keepNext/>
        <w:spacing w:before="160" w:after="40"/>
        <w:jc w:val="left"/>
      </w:pPr>
      <w:r>
        <w:rPr>
          <w:rFonts w:ascii="Times New Roman" w:hAnsi="Times New Roman"/>
          <w:b/>
          <w:i/>
          <w:color w:val="000000"/>
          <w:sz w:val="20"/>
        </w:rPr>
        <w:t>A. Test Environment &amp; Hardware Deployment</w:t>
      </w:r>
    </w:p>
    <w:p>
      <w:pPr>
        <w:spacing w:after="60" w:line="276" w:lineRule="auto"/>
        <w:ind w:firstLine="255"/>
        <w:jc w:val="both"/>
      </w:pPr>
      <w:r>
        <w:rPr>
          <w:rFonts w:ascii="Times New Roman" w:hAnsi="Times New Roman"/>
          <w:i w:val="0"/>
          <w:color w:val="000000"/>
          <w:sz w:val="20"/>
        </w:rPr>
        <w:t>To establish rigorous empirical grounding without ambiguity between physical hardware measurements and statistical modelling, the evaluation methodology explicitly distinguishes between two complementary experimental environments: (1) Physical Hardware Inline Testbed: A physical, resource-constrained commodity edge computing appliance (Intel Core i5-4570 @ 3.20 GHz, 4 cores, 16 GB DDR3 RAM) running Ubuntu Server 22.04 LTS (Linux kernel 6.x, libbpf, Clang/LLVM). This node was configured as a dual-NIC transparent bridge (br0) with Intel 82574L PCIe Gigabit Ethernet controllers situated inline between an upstream WAN boundary router and internal protected network assets. This physical testbed was used to empirically measure live driver-level XDP hook execution, zero-copy packet drop latencies via hardware timestamps, live Nmap scan disruption under active MTD port hopping, real-world Post-Quantum Cryptographic handshakes (NIST FIPS 203 ML-KEM-1024 and FIPS 204 ML-DSA-65), and system daemon resource footprints under continuous operation; and (2) Massive-Scale Offline Monte Carlo Trace Emulation Suite: An automated, high-throughput trace-driven evaluation harness (scripts/run_massive_scale_emulator_test.py) whose synthetic flow generator is calibrated against published flow-level statistical characterisations — including entropy profiles, inter-arrival timing distributions, and class-imbalance ratios — derived from the CSE-CIC-IDS2018 [19], UNSW-NB15 [18], and CTU-13 [20] academic benchmark corpora. Operating across a corpus of 10,000,000 synthetic network flows (approximately 2,998,265 attack flows across 18 distinct threat vectors and 7,001,735 benign flows), this trace emulation environment enables rigorous statistical validation, Wilson score 95% confidence intervals, and confusion-matrix determination that would otherwise be infeasible to collect over months of manual physical packet injection without statistical variance.</w:t>
      </w:r>
    </w:p>
    <w:p>
      <w:pPr>
        <w:keepNext/>
        <w:spacing w:before="160" w:after="40"/>
        <w:jc w:val="left"/>
      </w:pPr>
      <w:r>
        <w:rPr>
          <w:rFonts w:ascii="Times New Roman" w:hAnsi="Times New Roman"/>
          <w:b/>
          <w:i/>
          <w:color w:val="000000"/>
          <w:sz w:val="20"/>
        </w:rPr>
        <w:t>B. End-to-End Verification Suite &amp; Reproducibility Package</w:t>
      </w:r>
    </w:p>
    <w:p>
      <w:pPr>
        <w:spacing w:after="60" w:line="276" w:lineRule="auto"/>
        <w:ind w:firstLine="255"/>
        <w:jc w:val="both"/>
      </w:pPr>
      <w:r>
        <w:rPr>
          <w:rFonts w:ascii="Times New Roman" w:hAnsi="Times New Roman"/>
          <w:i w:val="0"/>
          <w:color w:val="000000"/>
          <w:sz w:val="20"/>
        </w:rPr>
        <w:t>To ensure full experimental reproducibility, the complete open-source implementation is made publicly available at https://github.com/Sadek-Mahmud/asm-shadhin-ai under the MIT licence. The release package includes the automated test harness (scripts/test_master_suite.sh and scripts/test_ubuntu_full.py), self-contained systemd service unit files (sec-inline-bridge, sec-monitor, sec-tarpit), and offline release packaging. The automated validation suite achieves a 9/9 (100%) pass rate across all verification phases:</w:t>
      </w:r>
    </w:p>
    <w:p>
      <w:pPr>
        <w:spacing w:after="80"/>
        <w:ind w:left="283" w:right="283"/>
        <w:shd w:val="clear" w:color="auto" w:fill="F8FAFC"/>
      </w:pPr>
      <w:r>
        <w:rPr>
          <w:rFonts w:ascii="Courier New" w:hAnsi="Courier New"/>
          <w:color w:val="000000"/>
          <w:sz w:val="15"/>
        </w:rPr>
        <w:t>STEP 1/9  Python py_compile (daemon, dashboard, scripts)  ........ PASSED</w:t>
        <w:br/>
        <w:t>STEP 2/9  Bash static syntax (bash -n, 8 scripts)  ............... PASSED</w:t>
        <w:br/>
        <w:t>STEP 3/9  eBPF/XDP clang -target bpf -O2 (ebpf_filter.o, 20KB)  . PASSED</w:t>
        <w:br/>
        <w:t>STEP 4/9  11-check diagnostic integrity suite (11/11 sub-checks) . PASSED</w:t>
        <w:br/>
        <w:t>STEP 5/9  PQC handshake: ML-KEM-1024, ML-DSA-65, AES-256-GCM .... PASSED</w:t>
        <w:br/>
        <w:t>STEP 6/9  Dual-NIC transparent bridge br0 commissioning  ......... PASSED</w:t>
        <w:br/>
        <w:t>STEP 7/9  Isolated L3 gateway (NAT masquerade 10.99.1.0/24)  ..... PASSED</w:t>
        <w:br/>
        <w:t>STEP 8/9  Daemons: LLM verdict, eBPF ctrl, MTD, entropy, tarpit . PASSED</w:t>
        <w:br/>
        <w:t>STEP 9/9  Flask SOC dashboard smoke test (port 9090)  ............. PASSED</w:t>
      </w:r>
    </w:p>
    <w:p>
      <w:pPr>
        <w:keepNext/>
        <w:spacing w:before="160" w:after="40"/>
        <w:jc w:val="left"/>
      </w:pPr>
      <w:r>
        <w:rPr>
          <w:rFonts w:ascii="Times New Roman" w:hAnsi="Times New Roman"/>
          <w:b/>
          <w:i/>
          <w:color w:val="000000"/>
          <w:sz w:val="20"/>
        </w:rPr>
        <w:t>C. XDP Mitigation Latency and Control-Plane Benchmarks</w:t>
      </w:r>
    </w:p>
    <w:p>
      <w:pPr>
        <w:spacing w:after="60" w:line="276" w:lineRule="auto"/>
        <w:ind w:firstLine="255"/>
        <w:jc w:val="both"/>
      </w:pPr>
      <w:r>
        <w:rPr>
          <w:rFonts w:ascii="Times New Roman" w:hAnsi="Times New Roman"/>
          <w:i w:val="0"/>
          <w:color w:val="000000"/>
          <w:sz w:val="20"/>
        </w:rPr>
        <w:t>Physical data-plane latency was measured on the Core i5 physical bridge testbed from NIC DMA completion to XDP_DROP return using high-resolution bpf_ktime_get_ns() timestamps recorded in a per-CPU array map across 100,000 sampled inline packet bursts: median latency p50 = 0.33 us, p90 = 0.92 us, p95 = 4.62 us, and p99 = 20.79 us (the latter reflecting cold-cache map lookups and payload window entropy checks), confirming true line-rate sub-microsecond inline enforcement. In contrast, control-plane LLM semantic reasoning executed on the commodity CPU averaged 2.4 s (with an initial fast-path heuristic triage of 148 ms) at Q4_K_M quantization. Because control-plane inference operates entirely asynchronously via background queue workers consuming from BPF ring buffers, the second-scale LLM processing interval never impedes wire-speed packet forwarding or introduces latency jitter into transit traffic.</w:t>
      </w:r>
    </w:p>
    <w:p>
      <w:pPr>
        <w:keepNext/>
        <w:spacing w:before="160" w:after="40"/>
        <w:jc w:val="left"/>
      </w:pPr>
      <w:r>
        <w:rPr>
          <w:rFonts w:ascii="Times New Roman" w:hAnsi="Times New Roman"/>
          <w:b/>
          <w:i/>
          <w:color w:val="000000"/>
          <w:sz w:val="20"/>
        </w:rPr>
        <w:t>D. MTD Reconnaissance Frustration Test</w:t>
      </w:r>
    </w:p>
    <w:p>
      <w:pPr>
        <w:spacing w:after="60" w:line="276" w:lineRule="auto"/>
        <w:ind w:firstLine="255"/>
        <w:jc w:val="both"/>
      </w:pPr>
      <w:r>
        <w:rPr>
          <w:rFonts w:ascii="Times New Roman" w:hAnsi="Times New Roman"/>
          <w:i w:val="0"/>
          <w:color w:val="000000"/>
          <w:sz w:val="20"/>
        </w:rPr>
        <w:t>An Nmap SYN scan against the monitored host produced a complete TCP service map in 4.2 s without MTD. With MTD active (60 s hop interval), repeat scans at t = 0, 30, 60, 120 s produced service maps that were mutually inconsistent in 100% of port assignments — confirming that no persistent reconnaissance state could be accumulated via standard temporal scanning.</w:t>
      </w:r>
    </w:p>
    <w:p>
      <w:pPr>
        <w:keepNext/>
        <w:spacing w:before="160" w:after="40"/>
        <w:jc w:val="left"/>
      </w:pPr>
      <w:r>
        <w:rPr>
          <w:rFonts w:ascii="Times New Roman" w:hAnsi="Times New Roman"/>
          <w:b/>
          <w:i/>
          <w:color w:val="000000"/>
          <w:sz w:val="20"/>
        </w:rPr>
        <w:t>E. Shannon Entropy C2 Detection Results</w:t>
      </w:r>
    </w:p>
    <w:p>
      <w:pPr>
        <w:spacing w:after="60" w:line="276" w:lineRule="auto"/>
        <w:ind w:firstLine="255"/>
        <w:jc w:val="both"/>
      </w:pPr>
      <w:r>
        <w:rPr>
          <w:rFonts w:ascii="Times New Roman" w:hAnsi="Times New Roman"/>
          <w:i w:val="0"/>
          <w:color w:val="000000"/>
          <w:sz w:val="20"/>
        </w:rPr>
        <w:t>Simulated Cobalt Strike HTTPS beaconing (&lt;= 10% jitter, 5 s interval) was detected in 94.3% of cases within three beacon intervals. Legitimate HTTPS browser traffic was correctly classified as non-beaconing in 98.7% of cases (FPR = 1.3%) — acceptable as a supplementary signal feeding the LLM verdict pipeline rather than a standalone block rule.</w:t>
      </w:r>
    </w:p>
    <w:p>
      <w:pPr>
        <w:keepNext/>
        <w:spacing w:before="240" w:after="80"/>
        <w:jc w:val="center"/>
      </w:pPr>
      <w:r>
        <w:rPr>
          <w:rFonts w:ascii="Times New Roman" w:hAnsi="Times New Roman"/>
          <w:b/>
          <w:color w:val="000000"/>
          <w:sz w:val="20"/>
        </w:rPr>
        <w:t>VI.  LIMITATIONS AND FUTURE WORK</w:t>
      </w:r>
    </w:p>
    <w:p>
      <w:pPr>
        <w:spacing w:after="60" w:line="276" w:lineRule="auto"/>
        <w:ind w:firstLine="255"/>
        <w:jc w:val="both"/>
      </w:pPr>
      <w:r>
        <w:rPr>
          <w:rFonts w:ascii="Times New Roman" w:hAnsi="Times New Roman"/>
          <w:i w:val="0"/>
          <w:color w:val="000000"/>
          <w:sz w:val="20"/>
        </w:rPr>
        <w:t>Three limitations warrant discussion. First, LLM inference latency (148 ms–2.8 s across CPU execution) could become a queue bottleneck during high-volume alert storms. A lightweight pre-filter — a gradient-boosted tree routing low-ambiguity events directly to rule-based decisions and reserving LLM calls for genuinely ambiguous cases — would address this and constitutes the primary ongoing development target.</w:t>
      </w:r>
    </w:p>
    <w:p>
      <w:pPr>
        <w:spacing w:after="60" w:line="276" w:lineRule="auto"/>
        <w:ind w:firstLine="255"/>
        <w:jc w:val="both"/>
      </w:pPr>
      <w:r>
        <w:rPr>
          <w:rFonts w:ascii="Times New Roman" w:hAnsi="Times New Roman"/>
          <w:i w:val="0"/>
          <w:color w:val="000000"/>
          <w:sz w:val="20"/>
        </w:rPr>
        <w:t>Second, Shannon entropy C2 detection operates at flow granularity and cannot distinguish two encrypted flows sharing similar byte-frequency distributions but differing in application semantics. Incorporating TLS fingerprinting (JA3/JA4) and QUIC Connection ID tracking as additional features would improve discrimination without requiring decryption.</w:t>
      </w:r>
    </w:p>
    <w:p>
      <w:pPr>
        <w:spacing w:after="60" w:line="276" w:lineRule="auto"/>
        <w:ind w:firstLine="255"/>
        <w:jc w:val="both"/>
      </w:pPr>
      <w:r>
        <w:rPr>
          <w:rFonts w:ascii="Times New Roman" w:hAnsi="Times New Roman"/>
          <w:i w:val="0"/>
          <w:color w:val="000000"/>
          <w:sz w:val="20"/>
        </w:rPr>
        <w:t>Third, the current implementation handles IPv4 only. Full dual-stack IPv6 support and a REST-API-compatible STIX/TAXII threat-intelligence feed connector are planned for the next release.</w:t>
      </w:r>
    </w:p>
    <w:p>
      <w:pPr>
        <w:keepNext/>
        <w:spacing w:before="240" w:after="80"/>
        <w:jc w:val="center"/>
      </w:pPr>
      <w:r>
        <w:rPr>
          <w:rFonts w:ascii="Times New Roman" w:hAnsi="Times New Roman"/>
          <w:b/>
          <w:color w:val="000000"/>
          <w:sz w:val="20"/>
        </w:rPr>
        <w:t>VII.  ETHICAL CONSIDERATIONS</w:t>
      </w:r>
    </w:p>
    <w:p>
      <w:pPr>
        <w:spacing w:after="60" w:line="276" w:lineRule="auto"/>
        <w:ind w:firstLine="255"/>
        <w:jc w:val="both"/>
      </w:pPr>
      <w:r>
        <w:rPr>
          <w:rFonts w:ascii="Times New Roman" w:hAnsi="Times New Roman"/>
          <w:i w:val="0"/>
          <w:color w:val="000000"/>
          <w:sz w:val="20"/>
        </w:rPr>
        <w:t>All experimental traffic was generated within an isolated laboratory environment using RFC 5737 documentation-range IP addresses (192.0.2.0/24, 198.51.100.0/24, 203.0.113.0/24) and publicly available captured pcap datasets under their respective open-access licences. No production networks, real user data, or third-party infrastructure were used. The honey-token credentials are cryptographically canary-tagged and carry no valid authentication surface outside the controlled evaluation environment.</w:t>
      </w:r>
    </w:p>
    <w:p>
      <w:pPr>
        <w:keepNext/>
        <w:spacing w:before="240" w:after="80"/>
        <w:jc w:val="center"/>
      </w:pPr>
      <w:r>
        <w:rPr>
          <w:rFonts w:ascii="Times New Roman" w:hAnsi="Times New Roman"/>
          <w:b/>
          <w:color w:val="000000"/>
          <w:sz w:val="20"/>
        </w:rPr>
        <w:t>VIII.  CONCLUSION</w:t>
      </w:r>
    </w:p>
    <w:p>
      <w:pPr>
        <w:spacing w:after="60" w:line="276" w:lineRule="auto"/>
        <w:ind w:firstLine="255"/>
        <w:jc w:val="both"/>
      </w:pPr>
      <w:r>
        <w:rPr>
          <w:rFonts w:ascii="Times New Roman" w:hAnsi="Times New Roman"/>
          <w:i w:val="0"/>
          <w:color w:val="000000"/>
          <w:sz w:val="20"/>
        </w:rPr>
        <w:t>This paper presented the Autonomous Post-Quantum Cyber Defense Agent, a hybrid autonomous network security system that advances the state-of-the-art across multiple simultaneously important dimensions: detection accuracy, mitigation latency, encrypted-traffic analysis, attacker deception, data sovereignty, and post-quantum resilience. The central architectural insight is a clean separation of kernel data-plane speed (&lt; 2 us eBPF/XDP) from asynchronous control-plane reasoning (local LLM), allowing each component to operate at its natural timescale without compromising the other. Moving Target Defence and Shannon entropy C2 detection close gaps that no currently deployed open-source or commercial solution addresses without requiring either TLS decryption or continuous cloud connectivity.</w:t>
      </w:r>
    </w:p>
    <w:p>
      <w:pPr>
        <w:spacing w:after="60" w:line="276" w:lineRule="auto"/>
        <w:ind w:firstLine="255"/>
        <w:jc w:val="both"/>
      </w:pPr>
      <w:r>
        <w:rPr>
          <w:rFonts w:ascii="Times New Roman" w:hAnsi="Times New Roman"/>
          <w:i w:val="0"/>
          <w:color w:val="000000"/>
          <w:sz w:val="20"/>
        </w:rPr>
        <w:t>The architecture is fully sovereign, requires zero subscription, runs on commodity ARM64 or x86-64 hardware, and is capable of air-gapped deployment — making it accessible to a far wider range of organisations than existing commercial solutions that demand specialised ASICs and mandatory cloud telemetry reporting.</w:t>
      </w:r>
    </w:p>
    <w:p>
      <w:pPr>
        <w:keepNext/>
        <w:spacing w:before="240" w:after="80"/>
        <w:jc w:val="center"/>
      </w:pPr>
      <w:r>
        <w:rPr>
          <w:rFonts w:ascii="Times New Roman" w:hAnsi="Times New Roman"/>
          <w:b/>
          <w:color w:val="000000"/>
          <w:sz w:val="20"/>
        </w:rPr>
        <w:t>IX.  REFERENCES</w:t>
      </w:r>
    </w:p>
    <w:p>
      <w:pPr>
        <w:spacing w:after="50" w:line="269" w:lineRule="auto"/>
        <w:ind w:left="397" w:hanging="397"/>
        <w:jc w:val="both"/>
      </w:pPr>
      <w:r>
        <w:rPr>
          <w:rFonts w:ascii="Times New Roman" w:hAnsi="Times New Roman"/>
          <w:color w:val="000000"/>
          <w:sz w:val="16"/>
        </w:rPr>
        <w:t>[1]  V. Paxson, "Bro: A System for Detecting Network Intruders in Real-Time," Computer Networks, vol. 31, no. 23-24, pp. 2435-2463, 1999.</w:t>
      </w:r>
    </w:p>
    <w:p>
      <w:pPr>
        <w:spacing w:after="50" w:line="269" w:lineRule="auto"/>
        <w:ind w:left="397" w:hanging="397"/>
        <w:jc w:val="both"/>
      </w:pPr>
      <w:r>
        <w:rPr>
          <w:rFonts w:ascii="Times New Roman" w:hAnsi="Times New Roman"/>
          <w:color w:val="000000"/>
          <w:sz w:val="16"/>
        </w:rPr>
        <w:t>[2]  M. Roesch, "Snort - Lightweight Intrusion Detection for Networks," in Proc. USENIX LISA, 1999, pp. 229-238.</w:t>
      </w:r>
    </w:p>
    <w:p>
      <w:pPr>
        <w:spacing w:after="50" w:line="269" w:lineRule="auto"/>
        <w:ind w:left="397" w:hanging="397"/>
        <w:jc w:val="both"/>
      </w:pPr>
      <w:r>
        <w:rPr>
          <w:rFonts w:ascii="Times New Roman" w:hAnsi="Times New Roman"/>
          <w:color w:val="000000"/>
          <w:sz w:val="16"/>
        </w:rPr>
        <w:t>[3]  A. Miano et al., "Creating Complex Network Services with eBPF: Experience and Lessons Learned," in Proc. IEEE HPCC, 2018.</w:t>
      </w:r>
    </w:p>
    <w:p>
      <w:pPr>
        <w:spacing w:after="50" w:line="269" w:lineRule="auto"/>
        <w:ind w:left="397" w:hanging="397"/>
        <w:jc w:val="both"/>
      </w:pPr>
      <w:r>
        <w:rPr>
          <w:rFonts w:ascii="Times New Roman" w:hAnsi="Times New Roman"/>
          <w:color w:val="000000"/>
          <w:sz w:val="16"/>
        </w:rPr>
        <w:t>[4]  T. Hoiland-Jorgensen et al., "The eXpress Data Path: Fast Programmable Packet Processing in the Operating System Kernel," in Proc. ACM CoNEXT, 2018.</w:t>
      </w:r>
    </w:p>
    <w:p>
      <w:pPr>
        <w:spacing w:after="50" w:line="269" w:lineRule="auto"/>
        <w:ind w:left="397" w:hanging="397"/>
        <w:jc w:val="both"/>
      </w:pPr>
      <w:r>
        <w:rPr>
          <w:rFonts w:ascii="Times New Roman" w:hAnsi="Times New Roman"/>
          <w:color w:val="000000"/>
          <w:sz w:val="16"/>
        </w:rPr>
        <w:t>[5]  S. Miano et al., "Introducing SmartNIC Support in BEBA: P4-Based Stateful Packet Processing at Line Rate," in Proc. IEEE NETSOFT, 2018.</w:t>
      </w:r>
    </w:p>
    <w:p>
      <w:pPr>
        <w:spacing w:after="50" w:line="269" w:lineRule="auto"/>
        <w:ind w:left="397" w:hanging="397"/>
        <w:jc w:val="both"/>
      </w:pPr>
      <w:r>
        <w:rPr>
          <w:rFonts w:ascii="Times New Roman" w:hAnsi="Times New Roman"/>
          <w:color w:val="000000"/>
          <w:sz w:val="16"/>
        </w:rPr>
        <w:t>[6]  M. Tavallaee et al., "A Detailed Analysis of the KDD CUP 99 Data Set," in Proc. IEEE CISSE, 2009.</w:t>
      </w:r>
    </w:p>
    <w:p>
      <w:pPr>
        <w:spacing w:after="50" w:line="269" w:lineRule="auto"/>
        <w:ind w:left="397" w:hanging="397"/>
        <w:jc w:val="both"/>
      </w:pPr>
      <w:r>
        <w:rPr>
          <w:rFonts w:ascii="Times New Roman" w:hAnsi="Times New Roman"/>
          <w:color w:val="000000"/>
          <w:sz w:val="16"/>
        </w:rPr>
        <w:t>[7]  P. Wang et al., "Datanet: Deep Learning Based Encrypted Network Traffic Classification in SDN Home Gateway," IEEE Access, vol. 6, pp. 55380-55391, 2018.</w:t>
      </w:r>
    </w:p>
    <w:p>
      <w:pPr>
        <w:spacing w:after="50" w:line="269" w:lineRule="auto"/>
        <w:ind w:left="397" w:hanging="397"/>
        <w:jc w:val="both"/>
      </w:pPr>
      <w:r>
        <w:rPr>
          <w:rFonts w:ascii="Times New Roman" w:hAnsi="Times New Roman"/>
          <w:color w:val="000000"/>
          <w:sz w:val="16"/>
        </w:rPr>
        <w:t>[8]  Q. Zhao et al., "GRAPHIDS: A Network Anomaly Intrusion Detection Based on Graph Neural Network," IEEE Trans. Network and Service Management, 2023.</w:t>
      </w:r>
    </w:p>
    <w:p>
      <w:pPr>
        <w:spacing w:after="50" w:line="269" w:lineRule="auto"/>
        <w:ind w:left="397" w:hanging="397"/>
        <w:jc w:val="both"/>
      </w:pPr>
      <w:r>
        <w:rPr>
          <w:rFonts w:ascii="Times New Roman" w:hAnsi="Times New Roman"/>
          <w:color w:val="000000"/>
          <w:sz w:val="16"/>
        </w:rPr>
        <w:t>[9]  T. Dettmers et al., "QLoRA: Efficient Finetuning of Quantized LLMs," in Proc. NeurIPS, 2023.</w:t>
      </w:r>
    </w:p>
    <w:p>
      <w:pPr>
        <w:spacing w:after="50" w:line="269" w:lineRule="auto"/>
        <w:ind w:left="397" w:hanging="397"/>
        <w:jc w:val="both"/>
      </w:pPr>
      <w:r>
        <w:rPr>
          <w:rFonts w:ascii="Times New Roman" w:hAnsi="Times New Roman"/>
          <w:color w:val="000000"/>
          <w:sz w:val="16"/>
        </w:rPr>
        <w:t>[10] S. Jajodia et al., Moving Target Defense: Creating Asymmetric Uncertainty for Cyber Threats, Springer, 2011.</w:t>
      </w:r>
    </w:p>
    <w:p>
      <w:pPr>
        <w:spacing w:after="50" w:line="269" w:lineRule="auto"/>
        <w:ind w:left="397" w:hanging="397"/>
        <w:jc w:val="both"/>
      </w:pPr>
      <w:r>
        <w:rPr>
          <w:rFonts w:ascii="Times New Roman" w:hAnsi="Times New Roman"/>
          <w:color w:val="000000"/>
          <w:sz w:val="16"/>
        </w:rPr>
        <w:t>[11] M. Atighetchi et al., "Adaptive Use of Network-Centric Mechanisms in Cyber-Defense," in Proc. IEEE ISORC, 2003.</w:t>
      </w:r>
    </w:p>
    <w:p>
      <w:pPr>
        <w:spacing w:after="50" w:line="269" w:lineRule="auto"/>
        <w:ind w:left="397" w:hanging="397"/>
        <w:jc w:val="both"/>
      </w:pPr>
      <w:r>
        <w:rPr>
          <w:rFonts w:ascii="Times New Roman" w:hAnsi="Times New Roman"/>
          <w:color w:val="000000"/>
          <w:sz w:val="16"/>
        </w:rPr>
        <w:t>[12] B. Anderson and D. McGrew, "Identifying Encrypted Malware Traffic with Contextual Flow Data," in Proc. ACM AISec, 2016.</w:t>
      </w:r>
    </w:p>
    <w:p>
      <w:pPr>
        <w:spacing w:after="50" w:line="269" w:lineRule="auto"/>
        <w:ind w:left="397" w:hanging="397"/>
        <w:jc w:val="both"/>
      </w:pPr>
      <w:r>
        <w:rPr>
          <w:rFonts w:ascii="Times New Roman" w:hAnsi="Times New Roman"/>
          <w:color w:val="000000"/>
          <w:sz w:val="16"/>
        </w:rPr>
        <w:t>[13] F. Tegeler et al., "BotFinder: Finding Bots in Network Traffic Without Deep Packet Inspection," in Proc. ACM CoNEXT, 2012.</w:t>
      </w:r>
    </w:p>
    <w:p>
      <w:pPr>
        <w:spacing w:after="50" w:line="269" w:lineRule="auto"/>
        <w:ind w:left="397" w:hanging="397"/>
        <w:jc w:val="both"/>
      </w:pPr>
      <w:r>
        <w:rPr>
          <w:rFonts w:ascii="Times New Roman" w:hAnsi="Times New Roman"/>
          <w:color w:val="000000"/>
          <w:sz w:val="16"/>
        </w:rPr>
        <w:t>[14] OISF, "Suricata Open Source IDS/IPS/NSM Engine," Open Information Security Foundation, https://suricata.io, 2024.</w:t>
      </w:r>
    </w:p>
    <w:p>
      <w:pPr>
        <w:spacing w:after="50" w:line="269" w:lineRule="auto"/>
        <w:ind w:left="397" w:hanging="397"/>
        <w:jc w:val="both"/>
      </w:pPr>
      <w:r>
        <w:rPr>
          <w:rFonts w:ascii="Times New Roman" w:hAnsi="Times New Roman"/>
          <w:color w:val="000000"/>
          <w:sz w:val="16"/>
        </w:rPr>
        <w:t>[15] M. Sarhan et al., "Towards a Standard Feature Set of NIDS Datasets," IEEE Trans. Information Forensics and Security, vol. 17, pp. 367-381, 2022.</w:t>
      </w:r>
    </w:p>
    <w:p>
      <w:pPr>
        <w:spacing w:after="50" w:line="269" w:lineRule="auto"/>
        <w:ind w:left="397" w:hanging="397"/>
        <w:jc w:val="both"/>
      </w:pPr>
      <w:r>
        <w:rPr>
          <w:rFonts w:ascii="Times New Roman" w:hAnsi="Times New Roman"/>
          <w:color w:val="000000"/>
          <w:sz w:val="16"/>
        </w:rPr>
        <w:t>[16] M. Ring et al., "A Survey of Network-based Intrusion Detection Data Sets," Computers &amp; Security, vol. 86, pp. 147-167, 2019.</w:t>
      </w:r>
    </w:p>
    <w:p>
      <w:pPr>
        <w:spacing w:after="50" w:line="269" w:lineRule="auto"/>
        <w:ind w:left="397" w:hanging="397"/>
        <w:jc w:val="both"/>
      </w:pPr>
      <w:r>
        <w:rPr>
          <w:rFonts w:ascii="Times New Roman" w:hAnsi="Times New Roman"/>
          <w:color w:val="000000"/>
          <w:sz w:val="16"/>
        </w:rPr>
        <w:t>[17] Y. Mirsky et al., "Kitsune: An Ensemble of Autoencoders for Online Network Intrusion Detection," in Proc. NDSS, 2018.</w:t>
      </w:r>
    </w:p>
    <w:p>
      <w:pPr>
        <w:spacing w:after="50" w:line="269" w:lineRule="auto"/>
        <w:ind w:left="397" w:hanging="397"/>
        <w:jc w:val="both"/>
      </w:pPr>
      <w:r>
        <w:rPr>
          <w:rFonts w:ascii="Times New Roman" w:hAnsi="Times New Roman"/>
          <w:color w:val="000000"/>
          <w:sz w:val="16"/>
        </w:rPr>
        <w:t>[18] N. Moustafa and J. Slay, "UNSW-NB15: A Comprehensive Data Set for Network Intrusion Detection Systems," in Proc. MilCIS, 2015.</w:t>
      </w:r>
    </w:p>
    <w:p>
      <w:pPr>
        <w:spacing w:after="50" w:line="269" w:lineRule="auto"/>
        <w:ind w:left="397" w:hanging="397"/>
        <w:jc w:val="both"/>
      </w:pPr>
      <w:r>
        <w:rPr>
          <w:rFonts w:ascii="Times New Roman" w:hAnsi="Times New Roman"/>
          <w:color w:val="000000"/>
          <w:sz w:val="16"/>
        </w:rPr>
        <w:t>[19] I. Sharafaldin et al., "Toward Generating a New Intrusion Detection Dataset and Intrusion Traffic Characterization," in Proc. ICISSP, 2018.</w:t>
      </w:r>
    </w:p>
    <w:p>
      <w:pPr>
        <w:spacing w:after="50" w:line="269" w:lineRule="auto"/>
        <w:ind w:left="397" w:hanging="397"/>
        <w:jc w:val="both"/>
      </w:pPr>
      <w:r>
        <w:rPr>
          <w:rFonts w:ascii="Times New Roman" w:hAnsi="Times New Roman"/>
          <w:color w:val="000000"/>
          <w:sz w:val="16"/>
        </w:rPr>
        <w:t>[20] S. Garcia et al., "An Empirical Analysis of Botnet Detection Using Flow-Based Features (CTU-13 Dataset)," Computers &amp; Security, vol. 45, pp. 100-124, 2014.</w:t>
      </w:r>
    </w:p>
    <w:p>
      <w:pPr>
        <w:spacing w:after="50" w:line="269" w:lineRule="auto"/>
        <w:ind w:left="397" w:hanging="397"/>
        <w:jc w:val="both"/>
      </w:pPr>
      <w:r>
        <w:rPr>
          <w:rFonts w:ascii="Times New Roman" w:hAnsi="Times New Roman"/>
          <w:color w:val="000000"/>
          <w:sz w:val="16"/>
        </w:rPr>
        <w:t>[21] National Institute of Standards and Technology (NIST), "Module-Lattice-Based Key-Encapsulation Mechanism Standard (ML-KEM)," FIPS PUB 203, Aug. 2024.</w:t>
      </w:r>
    </w:p>
    <w:p>
      <w:pPr>
        <w:spacing w:after="50" w:line="269" w:lineRule="auto"/>
        <w:ind w:left="397" w:hanging="397"/>
        <w:jc w:val="both"/>
      </w:pPr>
      <w:r>
        <w:rPr>
          <w:rFonts w:ascii="Times New Roman" w:hAnsi="Times New Roman"/>
          <w:color w:val="000000"/>
          <w:sz w:val="16"/>
        </w:rPr>
        <w:t>[22] National Institute of Standards and Technology (NIST), "Module-Lattice-Based Digital Signature Standard (ML-DSA)," FIPS PUB 204, Aug. 2024.</w:t>
      </w:r>
    </w:p>
    <w:p>
      <w:pPr>
        <w:sectPr>
          <w:type w:val="continuous"/>
          <w:pgSz w:w="12240" w:h="15840"/>
          <w:pgMar w:top="1020" w:right="794" w:bottom="1134" w:left="794" w:header="720" w:footer="720" w:gutter="0"/>
          <w:cols w:space="720"/>
          <w:docGrid w:linePitch="360"/>
          <w:cols w:num="2" w:space="540"/>
          <w:cols w:num="1"/>
          <w:cols w:num="2" w:space="540"/>
          <w:cols w:num="1"/>
          <w:cols w:num="2" w:space="540"/>
          <w:cols w:num="1"/>
          <w:cols w:num="2" w:space="540"/>
          <w:cols w:num="1"/>
          <w:cols w:num="2" w:space="540"/>
          <w:cols w:num="1"/>
          <w:cols w:num="2" w:space="540"/>
        </w:sectPr>
      </w:pPr>
    </w:p>
    <w:p>
      <w:pPr>
        <w:keepNext/>
        <w:spacing w:before="240" w:after="80"/>
        <w:jc w:val="center"/>
      </w:pPr>
      <w:r>
        <w:rPr>
          <w:rFonts w:ascii="Times New Roman" w:hAnsi="Times New Roman"/>
          <w:b/>
          <w:color w:val="000000"/>
          <w:sz w:val="20"/>
        </w:rPr>
        <w:t>APPENDIX: SYSTEM INTEGRITY &amp; REPRODUCIBILITY</w:t>
      </w:r>
    </w:p>
    <w:p>
      <w:pPr>
        <w:spacing w:after="80"/>
        <w:jc w:val="both"/>
      </w:pPr>
      <w:r>
        <w:rPr>
          <w:rFonts w:ascii="Times New Roman" w:hAnsi="Times New Roman"/>
          <w:sz w:val="17"/>
        </w:rPr>
        <w:t>To establish empirical reproducibility prior to publication, the core subsystems were evaluated using the automated test suite (scripts/test_system_integrity.py) on an authentic Ubuntu Server 22.04 LTS host (Linux kernel 6.x, libbpf). Table VII itemises the verification criteria and outcomes. All eleven module-level checks passed without manual intervention.</w:t>
      </w:r>
    </w:p>
    <w:p>
      <w:pPr>
        <w:keepNext/>
        <w:spacing w:before="160" w:after="20"/>
        <w:jc w:val="center"/>
      </w:pPr>
      <w:r>
        <w:rPr>
          <w:rFonts w:ascii="Times New Roman" w:hAnsi="Times New Roman"/>
          <w:b/>
          <w:color w:val="000000"/>
          <w:sz w:val="17"/>
        </w:rPr>
        <w:t>TABLE VII</w:t>
      </w:r>
    </w:p>
    <w:p>
      <w:pPr>
        <w:keepNext/>
        <w:spacing w:before="0" w:after="80"/>
        <w:jc w:val="center"/>
      </w:pPr>
      <w:r>
        <w:rPr>
          <w:rFonts w:ascii="Times New Roman" w:hAnsi="Times New Roman"/>
          <w:color w:val="000000"/>
          <w:sz w:val="16"/>
        </w:rPr>
        <w:t>SYSTEM DIAGNOSTIC AND LOGICAL INTEGRITY VERIFICATION</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il"/>
          <w:right w:val="nil"/>
          <w:insideV w:val="nil"/>
        </w:tblBorders>
      </w:tblPr>
      <w:tblGrid>
        <w:gridCol w:w="2663"/>
        <w:gridCol w:w="2663"/>
        <w:gridCol w:w="2663"/>
        <w:gridCol w:w="2663"/>
      </w:tblGrid>
      <w:tr>
        <w:tc>
          <w:tcPr>
            <w:tcW w:type="dxa" w:w="680"/>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w:t>
            </w:r>
          </w:p>
        </w:tc>
        <w:tc>
          <w:tcPr>
            <w:tcW w:type="dxa" w:w="2551"/>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Target Subsystem</w:t>
            </w:r>
          </w:p>
        </w:tc>
        <w:tc>
          <w:tcPr>
            <w:tcW w:type="dxa" w:w="4819"/>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Verification Standard / Criteria</w:t>
            </w:r>
          </w:p>
        </w:tc>
        <w:tc>
          <w:tcPr>
            <w:tcW w:type="dxa" w:w="1928"/>
            <w:tcBorders>
              <w:bottom w:val="single" w:sz="8" w:space="0" w:color="000000"/>
            </w:tcBorders>
            <w:shd w:val="clear" w:color="auto" w:fill="FFFFFF"/>
            <w:vAlign w:val="center"/>
          </w:tcPr>
          <w:p>
            <w:pPr>
              <w:spacing w:before="60" w:after="60"/>
              <w:jc w:val="center"/>
            </w:pPr>
            <w:r>
              <w:rPr>
                <w:rFonts w:ascii="Times New Roman" w:hAnsi="Times New Roman"/>
                <w:b/>
                <w:color w:val="000000"/>
                <w:sz w:val="15"/>
              </w:rPr>
              <w:t>Verdict</w:t>
            </w:r>
          </w:p>
        </w:tc>
      </w:tr>
      <w:tr>
        <w:tc>
          <w:tcPr>
            <w:tcW w:type="dxa" w:w="680"/>
            <w:vAlign w:val="center"/>
            <w:shd w:val="clear" w:color="auto" w:fill="FFFFFF"/>
          </w:tcPr>
          <w:p>
            <w:pPr>
              <w:spacing w:before="40" w:after="40"/>
              <w:jc w:val="center"/>
            </w:pPr>
            <w:r>
              <w:rPr>
                <w:rFonts w:ascii="Times New Roman" w:hAnsi="Times New Roman"/>
                <w:b w:val="0"/>
                <w:color w:val="000000"/>
                <w:sz w:val="15"/>
              </w:rPr>
              <w:t>1</w:t>
            </w:r>
          </w:p>
        </w:tc>
        <w:tc>
          <w:tcPr>
            <w:tcW w:type="dxa" w:w="2551"/>
            <w:vAlign w:val="center"/>
            <w:shd w:val="clear" w:color="auto" w:fill="FFFFFF"/>
          </w:tcPr>
          <w:p>
            <w:pPr>
              <w:spacing w:before="40" w:after="40"/>
              <w:jc w:val="left"/>
            </w:pPr>
            <w:r>
              <w:rPr>
                <w:rFonts w:ascii="Times New Roman" w:hAnsi="Times New Roman"/>
                <w:b w:val="0"/>
                <w:color w:val="000000"/>
                <w:sz w:val="15"/>
              </w:rPr>
              <w:t>Shell Automation</w:t>
            </w:r>
          </w:p>
        </w:tc>
        <w:tc>
          <w:tcPr>
            <w:tcW w:type="dxa" w:w="4819"/>
            <w:vAlign w:val="center"/>
            <w:shd w:val="clear" w:color="auto" w:fill="FFFFFF"/>
          </w:tcPr>
          <w:p>
            <w:pPr>
              <w:spacing w:before="40" w:after="40"/>
              <w:jc w:val="left"/>
            </w:pPr>
            <w:r>
              <w:rPr>
                <w:rFonts w:ascii="Times New Roman" w:hAnsi="Times New Roman"/>
                <w:b w:val="0"/>
                <w:color w:val="000000"/>
                <w:sz w:val="15"/>
              </w:rPr>
              <w:t>POSIX / Bash static syntax validation (bash -n)</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r>
        <w:tc>
          <w:tcPr>
            <w:tcW w:type="dxa" w:w="680"/>
            <w:vAlign w:val="center"/>
            <w:shd w:val="clear" w:color="auto" w:fill="FFFFFF"/>
          </w:tcPr>
          <w:p>
            <w:pPr>
              <w:spacing w:before="40" w:after="40"/>
              <w:jc w:val="center"/>
            </w:pPr>
            <w:r>
              <w:rPr>
                <w:rFonts w:ascii="Times New Roman" w:hAnsi="Times New Roman"/>
                <w:b w:val="0"/>
                <w:color w:val="000000"/>
                <w:sz w:val="15"/>
              </w:rPr>
              <w:t>2</w:t>
            </w:r>
          </w:p>
        </w:tc>
        <w:tc>
          <w:tcPr>
            <w:tcW w:type="dxa" w:w="2551"/>
            <w:vAlign w:val="center"/>
            <w:shd w:val="clear" w:color="auto" w:fill="FFFFFF"/>
          </w:tcPr>
          <w:p>
            <w:pPr>
              <w:spacing w:before="40" w:after="40"/>
              <w:jc w:val="left"/>
            </w:pPr>
            <w:r>
              <w:rPr>
                <w:rFonts w:ascii="Times New Roman" w:hAnsi="Times New Roman"/>
                <w:b w:val="0"/>
                <w:color w:val="000000"/>
                <w:sz w:val="15"/>
              </w:rPr>
              <w:t>Local LLM Engine</w:t>
            </w:r>
          </w:p>
        </w:tc>
        <w:tc>
          <w:tcPr>
            <w:tcW w:type="dxa" w:w="4819"/>
            <w:vAlign w:val="center"/>
            <w:shd w:val="clear" w:color="auto" w:fill="FFFFFF"/>
          </w:tcPr>
          <w:p>
            <w:pPr>
              <w:spacing w:before="40" w:after="40"/>
              <w:jc w:val="left"/>
            </w:pPr>
            <w:r>
              <w:rPr>
                <w:rFonts w:ascii="Times New Roman" w:hAnsi="Times New Roman"/>
                <w:b w:val="0"/>
                <w:color w:val="000000"/>
                <w:sz w:val="15"/>
              </w:rPr>
              <w:t>Modelfile parameters &amp; strict JSON grammar</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r>
        <w:tc>
          <w:tcPr>
            <w:tcW w:type="dxa" w:w="680"/>
            <w:vAlign w:val="center"/>
            <w:shd w:val="clear" w:color="auto" w:fill="FFFFFF"/>
          </w:tcPr>
          <w:p>
            <w:pPr>
              <w:spacing w:before="40" w:after="40"/>
              <w:jc w:val="center"/>
            </w:pPr>
            <w:r>
              <w:rPr>
                <w:rFonts w:ascii="Times New Roman" w:hAnsi="Times New Roman"/>
                <w:b w:val="0"/>
                <w:color w:val="000000"/>
                <w:sz w:val="15"/>
              </w:rPr>
              <w:t>3</w:t>
            </w:r>
          </w:p>
        </w:tc>
        <w:tc>
          <w:tcPr>
            <w:tcW w:type="dxa" w:w="2551"/>
            <w:vAlign w:val="center"/>
            <w:shd w:val="clear" w:color="auto" w:fill="FFFFFF"/>
          </w:tcPr>
          <w:p>
            <w:pPr>
              <w:spacing w:before="40" w:after="40"/>
              <w:jc w:val="left"/>
            </w:pPr>
            <w:r>
              <w:rPr>
                <w:rFonts w:ascii="Times New Roman" w:hAnsi="Times New Roman"/>
                <w:b w:val="0"/>
                <w:color w:val="000000"/>
                <w:sz w:val="15"/>
              </w:rPr>
              <w:t>Post-Quantum Crypto</w:t>
            </w:r>
          </w:p>
        </w:tc>
        <w:tc>
          <w:tcPr>
            <w:tcW w:type="dxa" w:w="4819"/>
            <w:vAlign w:val="center"/>
            <w:shd w:val="clear" w:color="auto" w:fill="FFFFFF"/>
          </w:tcPr>
          <w:p>
            <w:pPr>
              <w:spacing w:before="40" w:after="40"/>
              <w:jc w:val="left"/>
            </w:pPr>
            <w:r>
              <w:rPr>
                <w:rFonts w:ascii="Times New Roman" w:hAnsi="Times New Roman"/>
                <w:b w:val="0"/>
                <w:color w:val="000000"/>
                <w:sz w:val="15"/>
              </w:rPr>
              <w:t>NIST FIPS 203 (ML-KEM-1024) &amp; ML-DSA-65</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r>
        <w:tc>
          <w:tcPr>
            <w:tcW w:type="dxa" w:w="680"/>
            <w:vAlign w:val="center"/>
            <w:shd w:val="clear" w:color="auto" w:fill="FFFFFF"/>
          </w:tcPr>
          <w:p>
            <w:pPr>
              <w:spacing w:before="40" w:after="40"/>
              <w:jc w:val="center"/>
            </w:pPr>
            <w:r>
              <w:rPr>
                <w:rFonts w:ascii="Times New Roman" w:hAnsi="Times New Roman"/>
                <w:b w:val="0"/>
                <w:color w:val="000000"/>
                <w:sz w:val="15"/>
              </w:rPr>
              <w:t>4</w:t>
            </w:r>
          </w:p>
        </w:tc>
        <w:tc>
          <w:tcPr>
            <w:tcW w:type="dxa" w:w="2551"/>
            <w:vAlign w:val="center"/>
            <w:shd w:val="clear" w:color="auto" w:fill="FFFFFF"/>
          </w:tcPr>
          <w:p>
            <w:pPr>
              <w:spacing w:before="40" w:after="40"/>
              <w:jc w:val="left"/>
            </w:pPr>
            <w:r>
              <w:rPr>
                <w:rFonts w:ascii="Times New Roman" w:hAnsi="Times New Roman"/>
                <w:b w:val="0"/>
                <w:color w:val="000000"/>
                <w:sz w:val="15"/>
              </w:rPr>
              <w:t>eBPF Kernel Driver</w:t>
            </w:r>
          </w:p>
        </w:tc>
        <w:tc>
          <w:tcPr>
            <w:tcW w:type="dxa" w:w="4819"/>
            <w:vAlign w:val="center"/>
            <w:shd w:val="clear" w:color="auto" w:fill="FFFFFF"/>
          </w:tcPr>
          <w:p>
            <w:pPr>
              <w:spacing w:before="40" w:after="40"/>
              <w:jc w:val="left"/>
            </w:pPr>
            <w:r>
              <w:rPr>
                <w:rFonts w:ascii="Times New Roman" w:hAnsi="Times New Roman"/>
                <w:b w:val="0"/>
                <w:color w:val="000000"/>
                <w:sz w:val="15"/>
              </w:rPr>
              <w:t>24-byte struct alignment &amp; TTL expiry engine</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r>
        <w:tc>
          <w:tcPr>
            <w:tcW w:type="dxa" w:w="680"/>
            <w:vAlign w:val="center"/>
            <w:shd w:val="clear" w:color="auto" w:fill="FFFFFF"/>
          </w:tcPr>
          <w:p>
            <w:pPr>
              <w:spacing w:before="40" w:after="40"/>
              <w:jc w:val="center"/>
            </w:pPr>
            <w:r>
              <w:rPr>
                <w:rFonts w:ascii="Times New Roman" w:hAnsi="Times New Roman"/>
                <w:b w:val="0"/>
                <w:color w:val="000000"/>
                <w:sz w:val="15"/>
              </w:rPr>
              <w:t>5</w:t>
            </w:r>
          </w:p>
        </w:tc>
        <w:tc>
          <w:tcPr>
            <w:tcW w:type="dxa" w:w="2551"/>
            <w:vAlign w:val="center"/>
            <w:shd w:val="clear" w:color="auto" w:fill="FFFFFF"/>
          </w:tcPr>
          <w:p>
            <w:pPr>
              <w:spacing w:before="40" w:after="40"/>
              <w:jc w:val="left"/>
            </w:pPr>
            <w:r>
              <w:rPr>
                <w:rFonts w:ascii="Times New Roman" w:hAnsi="Times New Roman"/>
                <w:b w:val="0"/>
                <w:color w:val="000000"/>
                <w:sz w:val="15"/>
              </w:rPr>
              <w:t>Threat Parser</w:t>
            </w:r>
          </w:p>
        </w:tc>
        <w:tc>
          <w:tcPr>
            <w:tcW w:type="dxa" w:w="4819"/>
            <w:vAlign w:val="center"/>
            <w:shd w:val="clear" w:color="auto" w:fill="FFFFFF"/>
          </w:tcPr>
          <w:p>
            <w:pPr>
              <w:spacing w:before="40" w:after="40"/>
              <w:jc w:val="left"/>
            </w:pPr>
            <w:r>
              <w:rPr>
                <w:rFonts w:ascii="Times New Roman" w:hAnsi="Times New Roman"/>
                <w:b w:val="0"/>
                <w:color w:val="000000"/>
                <w:sz w:val="15"/>
              </w:rPr>
              <w:t>Suricata alert parser &amp; deterministic XDP fallback</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r>
        <w:tc>
          <w:tcPr>
            <w:tcW w:type="dxa" w:w="680"/>
            <w:vAlign w:val="center"/>
            <w:shd w:val="clear" w:color="auto" w:fill="FFFFFF"/>
          </w:tcPr>
          <w:p>
            <w:pPr>
              <w:spacing w:before="40" w:after="40"/>
              <w:jc w:val="center"/>
            </w:pPr>
            <w:r>
              <w:rPr>
                <w:rFonts w:ascii="Times New Roman" w:hAnsi="Times New Roman"/>
                <w:b w:val="0"/>
                <w:color w:val="000000"/>
                <w:sz w:val="15"/>
              </w:rPr>
              <w:t>6</w:t>
            </w:r>
          </w:p>
        </w:tc>
        <w:tc>
          <w:tcPr>
            <w:tcW w:type="dxa" w:w="2551"/>
            <w:vAlign w:val="center"/>
            <w:shd w:val="clear" w:color="auto" w:fill="FFFFFF"/>
          </w:tcPr>
          <w:p>
            <w:pPr>
              <w:spacing w:before="40" w:after="40"/>
              <w:jc w:val="left"/>
            </w:pPr>
            <w:r>
              <w:rPr>
                <w:rFonts w:ascii="Times New Roman" w:hAnsi="Times New Roman"/>
                <w:b w:val="0"/>
                <w:color w:val="000000"/>
                <w:sz w:val="15"/>
              </w:rPr>
              <w:t>AI-Tarpit Deception</w:t>
            </w:r>
          </w:p>
        </w:tc>
        <w:tc>
          <w:tcPr>
            <w:tcW w:type="dxa" w:w="4819"/>
            <w:vAlign w:val="center"/>
            <w:shd w:val="clear" w:color="auto" w:fill="FFFFFF"/>
          </w:tcPr>
          <w:p>
            <w:pPr>
              <w:spacing w:before="40" w:after="40"/>
              <w:jc w:val="left"/>
            </w:pPr>
            <w:r>
              <w:rPr>
                <w:rFonts w:ascii="Times New Roman" w:hAnsi="Times New Roman"/>
                <w:b w:val="0"/>
                <w:color w:val="000000"/>
                <w:sz w:val="15"/>
              </w:rPr>
              <w:t>Context-exhaustion payloads &amp; honey-tokens</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r>
        <w:tc>
          <w:tcPr>
            <w:tcW w:type="dxa" w:w="680"/>
            <w:vAlign w:val="center"/>
            <w:shd w:val="clear" w:color="auto" w:fill="FFFFFF"/>
          </w:tcPr>
          <w:p>
            <w:pPr>
              <w:spacing w:before="40" w:after="40"/>
              <w:jc w:val="center"/>
            </w:pPr>
            <w:r>
              <w:rPr>
                <w:rFonts w:ascii="Times New Roman" w:hAnsi="Times New Roman"/>
                <w:b w:val="0"/>
                <w:color w:val="000000"/>
                <w:sz w:val="15"/>
              </w:rPr>
              <w:t>7</w:t>
            </w:r>
          </w:p>
        </w:tc>
        <w:tc>
          <w:tcPr>
            <w:tcW w:type="dxa" w:w="2551"/>
            <w:vAlign w:val="center"/>
            <w:shd w:val="clear" w:color="auto" w:fill="FFFFFF"/>
          </w:tcPr>
          <w:p>
            <w:pPr>
              <w:spacing w:before="40" w:after="40"/>
              <w:jc w:val="left"/>
            </w:pPr>
            <w:r>
              <w:rPr>
                <w:rFonts w:ascii="Times New Roman" w:hAnsi="Times New Roman"/>
                <w:b w:val="0"/>
                <w:color w:val="000000"/>
                <w:sz w:val="15"/>
              </w:rPr>
              <w:t>Systemd Daemons</w:t>
            </w:r>
          </w:p>
        </w:tc>
        <w:tc>
          <w:tcPr>
            <w:tcW w:type="dxa" w:w="4819"/>
            <w:vAlign w:val="center"/>
            <w:shd w:val="clear" w:color="auto" w:fill="FFFFFF"/>
          </w:tcPr>
          <w:p>
            <w:pPr>
              <w:spacing w:before="40" w:after="40"/>
              <w:jc w:val="left"/>
            </w:pPr>
            <w:r>
              <w:rPr>
                <w:rFonts w:ascii="Times New Roman" w:hAnsi="Times New Roman"/>
                <w:b w:val="0"/>
                <w:color w:val="000000"/>
                <w:sz w:val="15"/>
              </w:rPr>
              <w:t>Unit syntax for sec-monitor, sec-tarpit, sec-bridge</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r>
        <w:tc>
          <w:tcPr>
            <w:tcW w:type="dxa" w:w="680"/>
            <w:vAlign w:val="center"/>
            <w:shd w:val="clear" w:color="auto" w:fill="FFFFFF"/>
          </w:tcPr>
          <w:p>
            <w:pPr>
              <w:spacing w:before="40" w:after="40"/>
              <w:jc w:val="center"/>
            </w:pPr>
            <w:r>
              <w:rPr>
                <w:rFonts w:ascii="Times New Roman" w:hAnsi="Times New Roman"/>
                <w:b w:val="0"/>
                <w:color w:val="000000"/>
                <w:sz w:val="15"/>
              </w:rPr>
              <w:t>8</w:t>
            </w:r>
          </w:p>
        </w:tc>
        <w:tc>
          <w:tcPr>
            <w:tcW w:type="dxa" w:w="2551"/>
            <w:vAlign w:val="center"/>
            <w:shd w:val="clear" w:color="auto" w:fill="FFFFFF"/>
          </w:tcPr>
          <w:p>
            <w:pPr>
              <w:spacing w:before="40" w:after="40"/>
              <w:jc w:val="left"/>
            </w:pPr>
            <w:r>
              <w:rPr>
                <w:rFonts w:ascii="Times New Roman" w:hAnsi="Times New Roman"/>
                <w:b w:val="0"/>
                <w:color w:val="000000"/>
                <w:sz w:val="15"/>
              </w:rPr>
              <w:t>Moving Target Defence</w:t>
            </w:r>
          </w:p>
        </w:tc>
        <w:tc>
          <w:tcPr>
            <w:tcW w:type="dxa" w:w="4819"/>
            <w:vAlign w:val="center"/>
            <w:shd w:val="clear" w:color="auto" w:fill="FFFFFF"/>
          </w:tcPr>
          <w:p>
            <w:pPr>
              <w:spacing w:before="40" w:after="40"/>
              <w:jc w:val="left"/>
            </w:pPr>
            <w:r>
              <w:rPr>
                <w:rFonts w:ascii="Times New Roman" w:hAnsi="Times New Roman"/>
                <w:b w:val="0"/>
                <w:color w:val="000000"/>
                <w:sz w:val="15"/>
              </w:rPr>
              <w:t>HMAC-SHA256 polymorphic port hopping &amp; grace</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r>
        <w:tc>
          <w:tcPr>
            <w:tcW w:type="dxa" w:w="680"/>
            <w:vAlign w:val="center"/>
            <w:shd w:val="clear" w:color="auto" w:fill="FFFFFF"/>
          </w:tcPr>
          <w:p>
            <w:pPr>
              <w:spacing w:before="40" w:after="40"/>
              <w:jc w:val="center"/>
            </w:pPr>
            <w:r>
              <w:rPr>
                <w:rFonts w:ascii="Times New Roman" w:hAnsi="Times New Roman"/>
                <w:b w:val="0"/>
                <w:color w:val="000000"/>
                <w:sz w:val="15"/>
              </w:rPr>
              <w:t>9</w:t>
            </w:r>
          </w:p>
        </w:tc>
        <w:tc>
          <w:tcPr>
            <w:tcW w:type="dxa" w:w="2551"/>
            <w:vAlign w:val="center"/>
            <w:shd w:val="clear" w:color="auto" w:fill="FFFFFF"/>
          </w:tcPr>
          <w:p>
            <w:pPr>
              <w:spacing w:before="40" w:after="40"/>
              <w:jc w:val="left"/>
            </w:pPr>
            <w:r>
              <w:rPr>
                <w:rFonts w:ascii="Times New Roman" w:hAnsi="Times New Roman"/>
                <w:b w:val="0"/>
                <w:color w:val="000000"/>
                <w:sz w:val="15"/>
              </w:rPr>
              <w:t>Encrypted Traffic</w:t>
            </w:r>
          </w:p>
        </w:tc>
        <w:tc>
          <w:tcPr>
            <w:tcW w:type="dxa" w:w="4819"/>
            <w:vAlign w:val="center"/>
            <w:shd w:val="clear" w:color="auto" w:fill="FFFFFF"/>
          </w:tcPr>
          <w:p>
            <w:pPr>
              <w:spacing w:before="40" w:after="40"/>
              <w:jc w:val="left"/>
            </w:pPr>
            <w:r>
              <w:rPr>
                <w:rFonts w:ascii="Times New Roman" w:hAnsi="Times New Roman"/>
                <w:b w:val="0"/>
                <w:color w:val="000000"/>
                <w:sz w:val="15"/>
              </w:rPr>
              <w:t>Shannon byte entropy (H &gt;= 7.1) &amp; C2 beacon detector</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r>
        <w:tc>
          <w:tcPr>
            <w:tcW w:type="dxa" w:w="680"/>
            <w:vAlign w:val="center"/>
            <w:shd w:val="clear" w:color="auto" w:fill="FFFFFF"/>
          </w:tcPr>
          <w:p>
            <w:pPr>
              <w:spacing w:before="40" w:after="40"/>
              <w:jc w:val="center"/>
            </w:pPr>
            <w:r>
              <w:rPr>
                <w:rFonts w:ascii="Times New Roman" w:hAnsi="Times New Roman"/>
                <w:b w:val="0"/>
                <w:color w:val="000000"/>
                <w:sz w:val="15"/>
              </w:rPr>
              <w:t>10</w:t>
            </w:r>
          </w:p>
        </w:tc>
        <w:tc>
          <w:tcPr>
            <w:tcW w:type="dxa" w:w="2551"/>
            <w:vAlign w:val="center"/>
            <w:shd w:val="clear" w:color="auto" w:fill="FFFFFF"/>
          </w:tcPr>
          <w:p>
            <w:pPr>
              <w:spacing w:before="40" w:after="40"/>
              <w:jc w:val="left"/>
            </w:pPr>
            <w:r>
              <w:rPr>
                <w:rFonts w:ascii="Times New Roman" w:hAnsi="Times New Roman"/>
                <w:b w:val="0"/>
                <w:color w:val="000000"/>
                <w:sz w:val="15"/>
              </w:rPr>
              <w:t>Forensic Audit Chain</w:t>
            </w:r>
          </w:p>
        </w:tc>
        <w:tc>
          <w:tcPr>
            <w:tcW w:type="dxa" w:w="4819"/>
            <w:vAlign w:val="center"/>
            <w:shd w:val="clear" w:color="auto" w:fill="FFFFFF"/>
          </w:tcPr>
          <w:p>
            <w:pPr>
              <w:spacing w:before="40" w:after="40"/>
              <w:jc w:val="left"/>
            </w:pPr>
            <w:r>
              <w:rPr>
                <w:rFonts w:ascii="Times New Roman" w:hAnsi="Times New Roman"/>
                <w:b w:val="0"/>
                <w:color w:val="000000"/>
                <w:sz w:val="15"/>
              </w:rPr>
              <w:t>NIST FIPS 180-4 SHA-512 immutable tamper detection</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r>
        <w:tc>
          <w:tcPr>
            <w:tcW w:type="dxa" w:w="680"/>
            <w:vAlign w:val="center"/>
            <w:shd w:val="clear" w:color="auto" w:fill="FFFFFF"/>
          </w:tcPr>
          <w:p>
            <w:pPr>
              <w:spacing w:before="40" w:after="40"/>
              <w:jc w:val="center"/>
            </w:pPr>
            <w:r>
              <w:rPr>
                <w:rFonts w:ascii="Times New Roman" w:hAnsi="Times New Roman"/>
                <w:b w:val="0"/>
                <w:color w:val="000000"/>
                <w:sz w:val="15"/>
              </w:rPr>
              <w:t>11</w:t>
            </w:r>
          </w:p>
        </w:tc>
        <w:tc>
          <w:tcPr>
            <w:tcW w:type="dxa" w:w="2551"/>
            <w:vAlign w:val="center"/>
            <w:shd w:val="clear" w:color="auto" w:fill="FFFFFF"/>
          </w:tcPr>
          <w:p>
            <w:pPr>
              <w:spacing w:before="40" w:after="40"/>
              <w:jc w:val="left"/>
            </w:pPr>
            <w:r>
              <w:rPr>
                <w:rFonts w:ascii="Times New Roman" w:hAnsi="Times New Roman"/>
                <w:b w:val="0"/>
                <w:color w:val="000000"/>
                <w:sz w:val="15"/>
              </w:rPr>
              <w:t>Memory-Hard Auth Guard</w:t>
            </w:r>
          </w:p>
        </w:tc>
        <w:tc>
          <w:tcPr>
            <w:tcW w:type="dxa" w:w="4819"/>
            <w:vAlign w:val="center"/>
            <w:shd w:val="clear" w:color="auto" w:fill="FFFFFF"/>
          </w:tcPr>
          <w:p>
            <w:pPr>
              <w:spacing w:before="40" w:after="40"/>
              <w:jc w:val="left"/>
            </w:pPr>
            <w:r>
              <w:rPr>
                <w:rFonts w:ascii="Times New Roman" w:hAnsi="Times New Roman"/>
                <w:b w:val="0"/>
                <w:color w:val="000000"/>
                <w:sz w:val="15"/>
              </w:rPr>
              <w:t>RFC 9106 Argon2id (64 MiB) &amp; HMAC-SHA512</w:t>
            </w:r>
          </w:p>
        </w:tc>
        <w:tc>
          <w:tcPr>
            <w:tcW w:type="dxa" w:w="1928"/>
            <w:vAlign w:val="center"/>
            <w:shd w:val="clear" w:color="auto" w:fill="FFFFFF"/>
          </w:tcPr>
          <w:p>
            <w:pPr>
              <w:spacing w:before="40" w:after="40"/>
              <w:jc w:val="center"/>
            </w:pPr>
            <w:r>
              <w:rPr>
                <w:rFonts w:ascii="Times New Roman" w:hAnsi="Times New Roman"/>
                <w:b/>
                <w:color w:val="000000"/>
                <w:sz w:val="15"/>
              </w:rPr>
              <w:t>PASSED [✓]</w:t>
            </w:r>
          </w:p>
        </w:tc>
      </w:tr>
    </w:tbl>
    <w:p>
      <w:pPr>
        <w:spacing w:before="40" w:after="120"/>
        <w:jc w:val="left"/>
      </w:pPr>
      <w:r>
        <w:rPr>
          <w:rFonts w:ascii="Times New Roman" w:hAnsi="Times New Roman"/>
          <w:i/>
          <w:color w:val="555555"/>
          <w:sz w:val="14"/>
        </w:rPr>
        <w:t>*All 11/11 tests passed in production host environment. Full test logs and automated suite are verifiable at: https://github.com/Sadek-Mahmud/asm-shadhin-ai.</w:t>
      </w:r>
    </w:p>
    <w:p>
      <w:pPr>
        <w:keepNext/>
        <w:spacing w:before="240" w:after="80"/>
        <w:jc w:val="center"/>
      </w:pPr>
      <w:r>
        <w:rPr>
          <w:rFonts w:ascii="Times New Roman" w:hAnsi="Times New Roman"/>
          <w:b/>
          <w:color w:val="000000"/>
          <w:sz w:val="20"/>
        </w:rPr>
        <w:t>AUTHOR BIOGRAPHY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326"/>
        <w:gridCol w:w="5326"/>
      </w:tblGrid>
      <w:tr>
        <w:tc>
          <w:tcPr>
            <w:tcW w:type="dxa" w:w="1814"/>
          </w:tcPr>
          <w:p>
            <w:pPr>
              <w:jc w:val="center"/>
            </w:pPr>
            <w:r>
              <w:drawing>
                <wp:inline xmlns:a="http://schemas.openxmlformats.org/drawingml/2006/main" xmlns:pic="http://schemas.openxmlformats.org/drawingml/2006/picture">
                  <wp:extent cx="972000" cy="1295190"/>
                  <wp:docPr id="4" name="Picture 4"/>
                  <wp:cNvGraphicFramePr>
                    <a:graphicFrameLocks noChangeAspect="1"/>
                  </wp:cNvGraphicFramePr>
                  <a:graphic>
                    <a:graphicData uri="http://schemas.openxmlformats.org/drawingml/2006/picture">
                      <pic:pic>
                        <pic:nvPicPr>
                          <pic:cNvPr id="0" name="ref_photo.jpg"/>
                          <pic:cNvPicPr/>
                        </pic:nvPicPr>
                        <pic:blipFill>
                          <a:blip r:embed="rId13"/>
                          <a:stretch>
                            <a:fillRect/>
                          </a:stretch>
                        </pic:blipFill>
                        <pic:spPr>
                          <a:xfrm>
                            <a:off x="0" y="0"/>
                            <a:ext cx="972000" cy="1295190"/>
                          </a:xfrm>
                          <a:prstGeom prst="rect"/>
                        </pic:spPr>
                      </pic:pic>
                    </a:graphicData>
                  </a:graphic>
                </wp:inline>
              </w:drawing>
            </w:r>
          </w:p>
        </w:tc>
        <w:tc>
          <w:tcPr>
            <w:tcW w:type="dxa" w:w="7824"/>
          </w:tcPr>
          <w:p>
            <w:pPr>
              <w:jc w:val="both"/>
            </w:pPr>
            <w:r>
              <w:rPr>
                <w:rFonts w:ascii="Times New Roman" w:hAnsi="Times New Roman"/>
                <w:b/>
                <w:sz w:val="18"/>
              </w:rPr>
              <w:t xml:space="preserve">A S M Hossain Mahmud (Shadhin) </w:t>
            </w:r>
            <w:r>
              <w:rPr>
                <w:rFonts w:ascii="Times New Roman" w:hAnsi="Times New Roman"/>
                <w:sz w:val="17"/>
              </w:rPr>
              <w:t>received the B.Sc. degree in Computer Science and Engineering. His primary research interests include kernel-space high-throughput packet processing using eBPF/XDP, post-quantum cryptographic implementations (NIST FIPS 203 ML-KEM-1024 and FIPS 204 ML-DSA-65), sovereign local artificial intelligence architectures for automated threat reasoning, proactive moving target defense (HMAC-SHA256 port hopping), and active cyber deception. He is the lead architect and developer of the Autonomous Post-Quantum Cyber Defense Agent (asm-shadhin-ai) framework.</w:t>
            </w:r>
          </w:p>
        </w:tc>
      </w:tr>
    </w:tbl>
    <w:p>
      <w:pPr>
        <w:sectPr>
          <w:type w:val="continuous"/>
          <w:pgSz w:w="12240" w:h="15840"/>
          <w:pgMar w:top="1020" w:right="794" w:bottom="1134" w:left="794" w:header="720" w:footer="720" w:gutter="0"/>
          <w:cols w:space="720"/>
          <w:docGrid w:linePitch="360"/>
          <w:cols w:num="2" w:space="540"/>
          <w:cols w:num="1"/>
          <w:cols w:num="2" w:space="540"/>
          <w:cols w:num="1"/>
          <w:cols w:num="2" w:space="540"/>
          <w:cols w:num="1"/>
          <w:cols w:num="2" w:space="540"/>
          <w:cols w:num="1"/>
          <w:cols w:num="2" w:space="540"/>
          <w:cols w:num="1"/>
          <w:cols w:num="2" w:space="540"/>
          <w:cols w:num="1"/>
        </w:sectPr>
      </w:pPr>
    </w:p>
    <w:sectPr w:rsidR="00FC693F" w:rsidRPr="0006063C" w:rsidSect="00034616">
      <w:type w:val="continuous"/>
      <w:pgSz w:w="12240" w:h="15840"/>
      <w:pgMar w:top="1020" w:right="794" w:bottom="1134" w:left="794" w:header="720" w:footer="720" w:gutter="0"/>
      <w:cols w:space="720"/>
      <w:docGrid w:linePitch="360"/>
      <w:cols w:num="2" w:space="540"/>
      <w:cols w:num="1"/>
      <w:cols w:num="2" w:space="540"/>
      <w:cols w:num="1"/>
      <w:cols w:num="2" w:space="540"/>
      <w:cols w:num="1"/>
      <w:cols w:num="2" w:space="540"/>
      <w:cols w:num="1"/>
      <w:cols w:num="2" w:space="540"/>
      <w:cols w:num="1"/>
      <w:cols w:num="2" w:space="540"/>
      <w:cols w:num="1"/>
      <w:cols w:num="2" w:space="5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Post-Quantum Cyber Defense Agent: Sovereign Line-Rate Intrusion Defence via Kernel-eBPF and Local-LLM</dc:title>
  <dc:subject>IEEE Transactions Research Paper</dc:subject>
  <dc:creator>A S M Hossain Mahmud (Shadhin)</dc:creator>
  <cp:keywords>eBPF, XDP, Autonomous Cyber Defense, Post-Quantum Cryptography, ML-KEM-1024, Shannon Entropy</cp:keywords>
  <dc:description>generated by python-docx</dc:description>
  <cp:lastModifiedBy>Microsoft Word for Microsoft 365</cp:lastModifiedBy>
  <cp:revision>1</cp:revision>
  <dcterms:created xsi:type="dcterms:W3CDTF">2013-12-23T23:15:00Z</dcterms:created>
  <dcterms:modified xsi:type="dcterms:W3CDTF">2013-12-23T23:15:00Z</dcterms:modified>
  <cp:category/>
</cp:coreProperties>
</file>