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120" w:after="160"/>
        <w:jc w:val="center"/>
      </w:pPr>
      <w:r>
        <w:rPr>
          <w:rFonts w:ascii="Times New Roman" w:hAnsi="Times New Roman"/>
          <w:color w:val="000000"/>
          <w:sz w:val="48"/>
        </w:rPr>
        <w:t xml:space="preserve">Autonomous Post-Quantum Cyber Defense </w:t>
      </w:r>
      <w:r>
        <w:rPr>
          <w:rFonts w:ascii="Times New Roman" w:hAnsi="Times New Roman"/>
          <w:color w:val="000000"/>
          <w:sz w:val="52"/>
        </w:rPr>
        <w:t>AGENT</w:t>
      </w:r>
      <w:r>
        <w:rPr>
          <w:rFonts w:ascii="Times New Roman" w:hAnsi="Times New Roman"/>
          <w:color w:val="000000"/>
          <w:sz w:val="48"/>
        </w:rPr>
        <w:t xml:space="preserve">: Sovereign Line-Rate Intrusion Defence </w:t>
      </w:r>
      <w:r>
        <w:rPr>
          <w:rFonts w:ascii="Times New Roman" w:hAnsi="Times New Roman"/>
          <w:color w:val="000000"/>
          <w:sz w:val="48"/>
        </w:rPr>
        <w:t>via Kernel-eBPF and Local-LLM</w:t>
      </w:r>
    </w:p>
    <w:p>
      <w:pPr>
        <w:spacing w:after="40"/>
        <w:jc w:val="center"/>
      </w:pPr>
      <w:r>
        <w:rPr>
          <w:rFonts w:ascii="Times New Roman" w:hAnsi="Times New Roman"/>
          <w:b/>
          <w:color w:val="000000"/>
          <w:sz w:val="23"/>
        </w:rPr>
        <w:t>Anonymous Author(s)</w:t>
      </w:r>
    </w:p>
    <w:p>
      <w:pPr>
        <w:spacing w:after="40"/>
        <w:jc w:val="center"/>
      </w:pPr>
      <w:r>
        <w:rPr>
          <w:rFonts w:ascii="Times New Roman" w:hAnsi="Times New Roman"/>
          <w:b w:val="0"/>
          <w:color w:val="333333"/>
          <w:sz w:val="19"/>
        </w:rPr>
        <w:t>Affiliation and Contact Details Suppressed for Double-Blind Review</w:t>
      </w:r>
    </w:p>
    <w:p>
      <w:pPr>
        <w:spacing w:after="120"/>
        <w:jc w:val="center"/>
      </w:pPr>
      <w:r>
        <w:rPr>
          <w:rFonts w:ascii="Times New Roman" w:hAnsi="Times New Roman"/>
          <w:b w:val="0"/>
          <w:color w:val="000000"/>
          <w:sz w:val="17"/>
        </w:rPr>
        <w:t>Anonymized Code &amp; Artifacts: https://anonymous.4open.science/r/asm-defense-agent</w:t>
      </w:r>
    </w:p>
    <w:p>
      <w:pPr>
        <w:spacing w:before="0" w:after="120"/>
        <w:pBdr>
          <w:bottom w:val="single" w:sz="6" w:space="2" w:color="000000"/>
        </w:pBdr>
      </w:pPr>
    </w:p>
    <w:p>
      <w:pPr>
        <w:sectPr>
          <w:footerReference w:type="default" r:id="rId9"/>
          <w:pgSz w:w="12240" w:h="15840"/>
          <w:pgMar w:top="1009" w:right="935" w:bottom="1009" w:left="935" w:header="431" w:footer="431" w:gutter="0"/>
          <w:cols w:space="720"/>
          <w:docGrid w:linePitch="360"/>
        </w:sectPr>
      </w:pPr>
    </w:p>
    <w:p>
      <w:pPr>
        <w:spacing w:after="80" w:line="276" w:lineRule="auto"/>
        <w:ind w:left="0" w:right="0"/>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(asm-defense-agent)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0" w:right="0"/>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footerReference w:type="default" r:id="rId10"/>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footerReference w:type="default" r:id="rId11"/>
          <w:type w:val="continuous"/>
          <w:pgSz w:w="12240" w:h="15840"/>
          <w:pgMar w:top="1009" w:right="935" w:bottom="1009" w:left="935" w:header="431" w:footer="431" w:gutter="0"/>
          <w:docGrid w:linePitch="36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an autonomous cyber defense model [anonymized-agent].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footerReference w:type="default" r:id="rId12"/>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footerReference w:type="default" r:id="rId13"/>
          <w:type w:val="continuous"/>
          <w:pgSz w:w="12240" w:h="15840"/>
          <w:pgMar w:top="1009" w:right="935" w:bottom="1009" w:left="935" w:header="431" w:footer="431" w:gutter="0"/>
          <w:docGrid w:linePitch="36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footerReference w:type="default" r:id="rId14"/>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481"/>
        <w:gridCol w:w="1481"/>
        <w:gridCol w:w="1481"/>
        <w:gridCol w:w="1481"/>
        <w:gridCol w:w="1481"/>
        <w:gridCol w:w="1481"/>
        <w:gridCol w:w="1481"/>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keepLines/>
        <w:spacing w:before="80" w:after="40"/>
        <w:jc w:val="center"/>
      </w:pPr>
      <w:r>
        <w:drawing>
          <wp:inline xmlns:a="http://schemas.openxmlformats.org/drawingml/2006/main" xmlns:pic="http://schemas.openxmlformats.org/drawingml/2006/picture">
            <wp:extent cx="5580000" cy="3558547"/>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6"/>
                    <a:stretch>
                      <a:fillRect/>
                    </a:stretch>
                  </pic:blipFill>
                  <pic:spPr>
                    <a:xfrm>
                      <a:off x="0" y="0"/>
                      <a:ext cx="5580000" cy="3558547"/>
                    </a:xfrm>
                    <a:prstGeom prst="rect"/>
                  </pic:spPr>
                </pic:pic>
              </a:graphicData>
            </a:graphic>
          </wp:inline>
        </w:drawing>
      </w:r>
    </w:p>
    <w:p>
      <w:pPr>
        <w:keepLines/>
        <w:spacing w:before="40" w:after="120"/>
        <w:jc w:val="center"/>
      </w:pPr>
      <w:r>
        <w:rPr>
          <w:rFonts w:ascii="Times New Roman" w:hAnsi="Times New Roman"/>
          <w:color w:val="000000"/>
          <w:sz w:val="16"/>
        </w:rPr>
        <w:t>Fig. 3.  Detection accuracy and evasion resistance comparison across 10M flows (Table III).</w:t>
      </w:r>
    </w:p>
    <w:p>
      <w:pPr>
        <w:sectPr>
          <w:footerReference w:type="default" r:id="rId15"/>
          <w:type w:val="continuous"/>
          <w:pgSz w:w="12240" w:h="15840"/>
          <w:pgMar w:top="1009" w:right="935" w:bottom="1009" w:left="935" w:header="431" w:footer="431" w:gutter="0"/>
          <w:docGrid w:linePitch="360"/>
          <w:cols w:num="1"/>
        </w:sectPr>
      </w:pP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footerReference w:type="default" r:id="rId17"/>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keepNext/>
        <w:keepLines/>
        <w:spacing w:before="80" w:after="40"/>
        <w:jc w:val="center"/>
      </w:pPr>
      <w:r>
        <w:drawing>
          <wp:inline xmlns:a="http://schemas.openxmlformats.org/drawingml/2006/main" xmlns:pic="http://schemas.openxmlformats.org/drawingml/2006/picture">
            <wp:extent cx="5580000" cy="3296235"/>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19"/>
                    <a:stretch>
                      <a:fillRect/>
                    </a:stretch>
                  </pic:blipFill>
                  <pic:spPr>
                    <a:xfrm>
                      <a:off x="0" y="0"/>
                      <a:ext cx="5580000" cy="3296235"/>
                    </a:xfrm>
                    <a:prstGeom prst="rect"/>
                  </pic:spPr>
                </pic:pic>
              </a:graphicData>
            </a:graphic>
          </wp:inline>
        </w:drawing>
      </w:r>
    </w:p>
    <w:p>
      <w:pPr>
        <w:keepLines/>
        <w:spacing w:before="40" w:after="120"/>
        <w:jc w:val="center"/>
      </w:pPr>
      <w:r>
        <w:rPr>
          <w:rFonts w:ascii="Times New Roman" w:hAnsi="Times New Roman"/>
          <w:color w:val="000000"/>
          <w:sz w:val="16"/>
        </w:rPr>
        <w:t>Fig. 4.  Log-scale latency spectrum comparing data-plane mitigation and control-plane triage (Table IV).</w:t>
      </w:r>
    </w:p>
    <w:p>
      <w:pPr>
        <w:sectPr>
          <w:footerReference w:type="default" r:id="rId18"/>
          <w:type w:val="continuous"/>
          <w:pgSz w:w="12240" w:h="15840"/>
          <w:pgMar w:top="1009" w:right="935" w:bottom="1009" w:left="935" w:header="431" w:footer="431" w:gutter="0"/>
          <w:docGrid w:linePitch="360"/>
          <w:cols w:num="1"/>
        </w:sectPr>
      </w:pP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footerReference w:type="default" r:id="rId20"/>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keepNext/>
        <w:keepLines/>
        <w:spacing w:before="80" w:after="40"/>
        <w:jc w:val="center"/>
      </w:pPr>
      <w:r>
        <w:drawing>
          <wp:inline xmlns:a="http://schemas.openxmlformats.org/drawingml/2006/main" xmlns:pic="http://schemas.openxmlformats.org/drawingml/2006/picture">
            <wp:extent cx="5400000" cy="2240034"/>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22"/>
                    <a:stretch>
                      <a:fillRect/>
                    </a:stretch>
                  </pic:blipFill>
                  <pic:spPr>
                    <a:xfrm>
                      <a:off x="0" y="0"/>
                      <a:ext cx="5400000" cy="2240034"/>
                    </a:xfrm>
                    <a:prstGeom prst="rect"/>
                  </pic:spPr>
                </pic:pic>
              </a:graphicData>
            </a:graphic>
          </wp:inline>
        </w:drawing>
      </w:r>
    </w:p>
    <w:p>
      <w:pPr>
        <w:keepLines/>
        <w:spacing w:before="40" w:after="120"/>
        <w:jc w:val="center"/>
      </w:pPr>
      <w:r>
        <w:rPr>
          <w:rFonts w:ascii="Times New Roman" w:hAnsi="Times New Roman"/>
          <w:color w:val="000000"/>
          <w:sz w:val="16"/>
        </w:rPr>
        <w:t>Fig. 5.  Defense capability, air-gapped readiness, and sovereignty compliance matrix (Table V).</w:t>
      </w:r>
    </w:p>
    <w:p>
      <w:pPr>
        <w:sectPr>
          <w:footerReference w:type="default" r:id="rId21"/>
          <w:type w:val="continuous"/>
          <w:pgSz w:w="12240" w:h="15840"/>
          <w:pgMar w:top="1009" w:right="935" w:bottom="1009" w:left="935" w:header="431" w:footer="431" w:gutter="0"/>
          <w:docGrid w:linePitch="360"/>
          <w:cols w:num="1"/>
        </w:sectPr>
      </w:pP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https://anonymous.4open.science/r/asm-defense-agent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footerReference w:type="default" r:id="rId23"/>
          <w:type w:val="continuous"/>
          <w:pgSz w:w="12240" w:h="15840"/>
          <w:pgMar w:top="1009" w:right="935" w:bottom="1009" w:left="935" w:header="431" w:footer="431" w:gutter="0"/>
          <w:docGrid w:linePitch="360"/>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https://anonymous.4open.science/r/asm-defense-agent.</w:t>
      </w:r>
    </w:p>
    <w:p>
      <w:pPr>
        <w:sectPr>
          <w:footerReference w:type="default" r:id="rId24"/>
          <w:type w:val="continuous"/>
          <w:pgSz w:w="12240" w:h="15840"/>
          <w:pgMar w:top="1009" w:right="935" w:bottom="1009" w:left="935" w:header="431" w:footer="431" w:gutter="0"/>
          <w:docGrid w:linePitch="360"/>
          <w:cols w:num="1"/>
        </w:sectPr>
      </w:pPr>
    </w:p>
    <w:sectPr w:rsidR="00FC693F" w:rsidRPr="0006063C" w:rsidSect="00034616">
      <w:footerReference w:type="default" r:id="rId25"/>
      <w:type w:val="continuous"/>
      <w:pgSz w:w="12240" w:h="15840"/>
      <w:pgMar w:top="1009" w:right="935" w:bottom="1009" w:left="935" w:header="431" w:footer="431" w:gutter="0"/>
      <w:docGrid w:linePitch="360"/>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image" Target="media/image1.png"/><Relationship Id="rId17" Type="http://schemas.openxmlformats.org/officeDocument/2006/relationships/footer" Target="footer8.xml"/><Relationship Id="rId18" Type="http://schemas.openxmlformats.org/officeDocument/2006/relationships/footer" Target="footer9.xml"/><Relationship Id="rId19" Type="http://schemas.openxmlformats.org/officeDocument/2006/relationships/image" Target="media/image2.png"/><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image" Target="media/image3.png"/><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Anonymous Author(s)</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