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00000"/>
          <w:sz w:val="36"/>
        </w:rPr>
        <w:t>Autonomous Post-Quantum Cyber Defense Agent: Sovereign Line-Rate Intrusion Defence via Kernel-eBPF and Local-LLM</w:t>
      </w:r>
    </w:p>
    <w:p>
      <w:pPr>
        <w:spacing w:after="40"/>
        <w:jc w:val="center"/>
      </w:pPr>
      <w:r>
        <w:rPr>
          <w:rFonts w:ascii="Times New Roman" w:hAnsi="Times New Roman"/>
          <w:b/>
          <w:color w:val="000000"/>
          <w:sz w:val="23"/>
        </w:rPr>
        <w:t>A S M Hossain Mahmud (Shadhin)</w:t>
      </w:r>
    </w:p>
    <w:p>
      <w:pPr>
        <w:spacing w:after="20"/>
        <w:jc w:val="center"/>
      </w:pPr>
      <w:r>
        <w:rPr>
          <w:rFonts w:ascii="Times New Roman" w:hAnsi="Times New Roman"/>
          <w:b w:val="0"/>
          <w:color w:val="333333"/>
          <w:sz w:val="19"/>
        </w:rPr>
        <w:t>Department of Computer Science and Engineering</w:t>
      </w:r>
    </w:p>
    <w:p>
      <w:pPr>
        <w:spacing w:after="40"/>
        <w:jc w:val="center"/>
      </w:pPr>
      <w:r>
        <w:rPr>
          <w:rFonts w:ascii="Times New Roman" w:hAnsi="Times New Roman"/>
          <w:b w:val="0"/>
          <w:color w:val="333333"/>
          <w:sz w:val="18"/>
        </w:rPr>
        <w:t>Bangladesh Army University of Science and Technology (BAUST), Saidpur 5310, Bangladesh</w:t>
      </w:r>
    </w:p>
    <w:p>
      <w:pPr>
        <w:spacing w:after="120"/>
        <w:jc w:val="center"/>
      </w:pPr>
      <w:r>
        <w:rPr>
          <w:rFonts w:ascii="Times New Roman" w:hAnsi="Times New Roman"/>
          <w:b w:val="0"/>
          <w:color w:val="000000"/>
          <w:sz w:val="17"/>
        </w:rPr>
        <w:t>Email: sadekshadhin2000@gmail.com  •  Open-Source Code: https://github.com/Sadek-Mahmud/asm-shadhin-ai</w:t>
      </w:r>
    </w:p>
    <w:p>
      <w:pPr>
        <w:spacing w:before="0" w:after="120"/>
        <w:pBdr>
          <w:bottom w:val="single" w:sz="6" w:space="2" w:color="000000"/>
        </w:pBdr>
      </w:pPr>
    </w:p>
    <w:p>
      <w:pPr>
        <w:spacing w:after="80" w:line="276" w:lineRule="auto"/>
        <w:ind w:left="567" w:right="567"/>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567" w:right="567"/>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sectPr>
          <w:footerReference w:type="default" r:id="rId9"/>
          <w:pgSz w:w="12240" w:h="15840"/>
          <w:pgMar w:top="1020" w:right="794" w:bottom="1134" w:left="794" w:header="720" w:footer="720" w:gutter="0"/>
          <w:cols w:space="720"/>
          <w:docGrid w:linePitch="360"/>
        </w:sectP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type w:val="continuous"/>
          <w:pgSz w:w="12240" w:h="15840"/>
          <w:pgMar w:top="1020" w:right="794" w:bottom="1134" w:left="794" w:header="720" w:footer="720" w:gutter="0"/>
          <w:cols w:space="72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keepNext/>
        <w:spacing w:before="12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940000" cy="2970000"/>
                    </a:xfrm>
                    <a:prstGeom prst="rect"/>
                  </pic:spPr>
                </pic:pic>
              </a:graphicData>
            </a:graphic>
          </wp:inline>
        </w:drawing>
      </w:r>
    </w:p>
    <w:p>
      <w:pPr>
        <w:spacing w:before="40" w:after="160"/>
        <w:jc w:val="center"/>
      </w:pPr>
      <w:r>
        <w:rPr>
          <w:rFonts w:ascii="Times New Roman" w:hAnsi="Times New Roman"/>
          <w:color w:val="000000"/>
          <w:sz w:val="16"/>
        </w:rPr>
        <w:t>Fig. 1.  In-kernel XDP packet processing stage latencies (Intel Core i5 testbed).</w:t>
      </w:r>
    </w:p>
    <w:p>
      <w:pPr>
        <w:sectPr>
          <w:type w:val="continuous"/>
          <w:pgSz w:w="12240" w:h="15840"/>
          <w:pgMar w:top="1020" w:right="794" w:bottom="1134" w:left="794" w:header="720" w:footer="720" w:gutter="0"/>
          <w:cols w:space="720"/>
          <w:docGrid w:linePitch="360"/>
          <w:cols w:num="2" w:space="54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type w:val="continuous"/>
          <w:pgSz w:w="12240" w:h="15840"/>
          <w:pgMar w:top="1020" w:right="794" w:bottom="1134" w:left="794" w:header="720" w:footer="720" w:gutter="0"/>
          <w:cols w:space="720"/>
          <w:docGrid w:linePitch="360"/>
          <w:cols w:num="2" w:space="540"/>
          <w:cols w:num="1"/>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keepNext/>
        <w:spacing w:before="120" w:after="40"/>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5940000" cy="2970000"/>
                    </a:xfrm>
                    <a:prstGeom prst="rect"/>
                  </pic:spPr>
                </pic:pic>
              </a:graphicData>
            </a:graphic>
          </wp:inline>
        </w:drawing>
      </w:r>
    </w:p>
    <w:p>
      <w:pPr>
        <w:spacing w:before="40" w:after="160"/>
        <w:jc w:val="center"/>
      </w:pPr>
      <w:r>
        <w:rPr>
          <w:rFonts w:ascii="Times New Roman" w:hAnsi="Times New Roman"/>
          <w:color w:val="000000"/>
          <w:sz w:val="16"/>
        </w:rPr>
        <w:t>Fig. 2.  Architectural sovereignty, air-gap capability, and autonomy comparison curves (Table II).</w:t>
      </w:r>
    </w:p>
    <w:p>
      <w:pPr>
        <w:sectPr>
          <w:type w:val="continuous"/>
          <w:pgSz w:w="12240" w:h="15840"/>
          <w:pgMar w:top="1020" w:right="794" w:bottom="1134" w:left="794" w:header="720" w:footer="720" w:gutter="0"/>
          <w:cols w:space="720"/>
          <w:docGrid w:linePitch="360"/>
          <w:cols w:num="2" w:space="540"/>
          <w:cols w:num="1"/>
          <w:cols w:num="2" w:space="54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type w:val="continuous"/>
          <w:pgSz w:w="12240" w:h="15840"/>
          <w:pgMar w:top="1020" w:right="794" w:bottom="1134" w:left="794" w:header="720" w:footer="720" w:gutter="0"/>
          <w:cols w:space="720"/>
          <w:docGrid w:linePitch="360"/>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522"/>
        <w:gridCol w:w="1522"/>
        <w:gridCol w:w="1522"/>
        <w:gridCol w:w="1522"/>
        <w:gridCol w:w="1522"/>
        <w:gridCol w:w="1522"/>
        <w:gridCol w:w="1522"/>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N/A</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keepNext/>
        <w:spacing w:before="120" w:after="40"/>
        <w:jc w:val="center"/>
      </w:pPr>
      <w:r>
        <w:drawing>
          <wp:inline xmlns:a="http://schemas.openxmlformats.org/drawingml/2006/main" xmlns:pic="http://schemas.openxmlformats.org/drawingml/2006/picture">
            <wp:extent cx="5940000" cy="3282632"/>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940000" cy="3282632"/>
                    </a:xfrm>
                    <a:prstGeom prst="rect"/>
                  </pic:spPr>
                </pic:pic>
              </a:graphicData>
            </a:graphic>
          </wp:inline>
        </w:drawing>
      </w:r>
    </w:p>
    <w:p>
      <w:pPr>
        <w:spacing w:before="40" w:after="160"/>
        <w:jc w:val="center"/>
      </w:pPr>
      <w:r>
        <w:rPr>
          <w:rFonts w:ascii="Times New Roman" w:hAnsi="Times New Roman"/>
          <w:color w:val="000000"/>
          <w:sz w:val="16"/>
        </w:rPr>
        <w:t>Fig. 3.  Detection accuracy and evasion resistance comparison across 10M flows (Table III).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keepNext/>
        <w:spacing w:before="120" w:after="40"/>
        <w:jc w:val="center"/>
      </w:pPr>
      <w:r>
        <w:drawing>
          <wp:inline xmlns:a="http://schemas.openxmlformats.org/drawingml/2006/main" xmlns:pic="http://schemas.openxmlformats.org/drawingml/2006/picture">
            <wp:extent cx="5940000" cy="3210811"/>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940000" cy="3210811"/>
                    </a:xfrm>
                    <a:prstGeom prst="rect"/>
                  </pic:spPr>
                </pic:pic>
              </a:graphicData>
            </a:graphic>
          </wp:inline>
        </w:drawing>
      </w:r>
    </w:p>
    <w:p>
      <w:pPr>
        <w:spacing w:before="40" w:after="160"/>
        <w:jc w:val="center"/>
      </w:pPr>
      <w:r>
        <w:rPr>
          <w:rFonts w:ascii="Times New Roman" w:hAnsi="Times New Roman"/>
          <w:color w:val="000000"/>
          <w:sz w:val="16"/>
        </w:rPr>
        <w:t>Fig. 4.  Log-scale latency spectrum comparing data-plane mitigation and control-plane triage (Table IV).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sectPr>
      </w:pP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130"/>
        <w:gridCol w:w="2130"/>
        <w:gridCol w:w="2130"/>
        <w:gridCol w:w="2130"/>
        <w:gridCol w:w="2130"/>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keepNext/>
        <w:spacing w:before="120" w:after="40"/>
        <w:jc w:val="center"/>
      </w:pPr>
      <w:r>
        <w:drawing>
          <wp:inline xmlns:a="http://schemas.openxmlformats.org/drawingml/2006/main" xmlns:pic="http://schemas.openxmlformats.org/drawingml/2006/picture">
            <wp:extent cx="5940000" cy="2464037"/>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940000" cy="2464037"/>
                    </a:xfrm>
                    <a:prstGeom prst="rect"/>
                  </pic:spPr>
                </pic:pic>
              </a:graphicData>
            </a:graphic>
          </wp:inline>
        </w:drawing>
      </w:r>
    </w:p>
    <w:p>
      <w:pPr>
        <w:spacing w:before="40" w:after="160"/>
        <w:jc w:val="center"/>
      </w:pPr>
      <w:r>
        <w:rPr>
          <w:rFonts w:ascii="Times New Roman" w:hAnsi="Times New Roman"/>
          <w:color w:val="000000"/>
          <w:sz w:val="16"/>
        </w:rPr>
        <w:t>Fig. 5.  Defense capability, air-gapped readiness, and sovereignty compliance matrix (Table V).</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sectPr>
      </w:pP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663"/>
        <w:gridCol w:w="2663"/>
        <w:gridCol w:w="2663"/>
        <w:gridCol w:w="2663"/>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sectPr>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sectPr>
      </w:pPr>
    </w:p>
    <w:sectPr w:rsidR="00FC693F" w:rsidRPr="0006063C" w:rsidSect="00034616">
      <w:type w:val="continuous"/>
      <w:pgSz w:w="12240" w:h="15840"/>
      <w:pgMar w:top="1020" w:right="794" w:bottom="1134" w:left="794" w:header="720" w:footer="720" w:gutter="0"/>
      <w:cols w:space="720"/>
      <w:docGrid w:linePitch="360"/>
      <w:cols w:num="2" w:space="540"/>
      <w:cols w:num="1"/>
      <w:cols w:num="2" w:space="540"/>
      <w:cols w:num="1"/>
      <w:cols w:num="2" w:space="540"/>
      <w:cols w:num="1"/>
      <w:cols w:num="2" w:space="540"/>
      <w:cols w:num="1"/>
      <w:cols w:num="2" w:space="540"/>
      <w:cols w:num="1"/>
      <w:cols w:num="2" w:space="540"/>
      <w:cols w:num="1"/>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