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cols w:space="72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keepNext/>
        <w:spacing w:before="12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fig1_xdp_pipeline.png"/>
                    <pic:cNvPicPr/>
                  </pic:nvPicPr>
                  <pic:blipFill>
                    <a:blip r:embed="rId10"/>
                    <a:stretch>
                      <a:fillRect/>
                    </a:stretch>
                  </pic:blipFill>
                  <pic:spPr>
                    <a:xfrm>
                      <a:off x="0" y="0"/>
                      <a:ext cx="5940000" cy="2970000"/>
                    </a:xfrm>
                    <a:prstGeom prst="rect"/>
                  </pic:spPr>
                </pic:pic>
              </a:graphicData>
            </a:graphic>
          </wp:inline>
        </w:drawing>
      </w:r>
    </w:p>
    <w:p>
      <w:pPr>
        <w:spacing w:before="40" w:after="160"/>
        <w:jc w:val="center"/>
      </w:pPr>
      <w:r>
        <w:rPr>
          <w:rFonts w:ascii="Times New Roman" w:hAnsi="Times New Roman"/>
          <w:color w:val="000000"/>
          <w:sz w:val="16"/>
        </w:rPr>
        <w:t>Fig. 1.  In-kernel XDP packet processing stage latencies (Intel Core i5 testbed).</w:t>
      </w:r>
    </w:p>
    <w:p>
      <w:pPr>
        <w:sectPr>
          <w:type w:val="continuous"/>
          <w:pgSz w:w="12240" w:h="15840"/>
          <w:pgMar w:top="1020" w:right="794" w:bottom="1134" w:left="794" w:header="720" w:footer="720" w:gutter="0"/>
          <w:cols w:space="720"/>
          <w:docGrid w:linePitch="360"/>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cols w:space="720"/>
          <w:docGrid w:linePitch="360"/>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keepNext/>
        <w:spacing w:before="120" w:after="40"/>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fig2_architecture_comparison.png"/>
                    <pic:cNvPicPr/>
                  </pic:nvPicPr>
                  <pic:blipFill>
                    <a:blip r:embed="rId11"/>
                    <a:stretch>
                      <a:fillRect/>
                    </a:stretch>
                  </pic:blipFill>
                  <pic:spPr>
                    <a:xfrm>
                      <a:off x="0" y="0"/>
                      <a:ext cx="5940000" cy="2970000"/>
                    </a:xfrm>
                    <a:prstGeom prst="rect"/>
                  </pic:spPr>
                </pic:pic>
              </a:graphicData>
            </a:graphic>
          </wp:inline>
        </w:drawing>
      </w:r>
    </w:p>
    <w:p>
      <w:pPr>
        <w:spacing w:before="40" w:after="160"/>
        <w:jc w:val="center"/>
      </w:pPr>
      <w:r>
        <w:rPr>
          <w:rFonts w:ascii="Times New Roman" w:hAnsi="Times New Roman"/>
          <w:color w:val="000000"/>
          <w:sz w:val="16"/>
        </w:rPr>
        <w:t>Fig. 2.  Architectural sovereignty, air-gap capability, and autonomy comparison curves (Table II).</w:t>
      </w:r>
    </w:p>
    <w:p>
      <w:pPr>
        <w:sectPr>
          <w:type w:val="continuous"/>
          <w:pgSz w:w="12240" w:h="15840"/>
          <w:pgMar w:top="1020" w:right="794" w:bottom="1134" w:left="794" w:header="720" w:footer="720" w:gutter="0"/>
          <w:cols w:space="720"/>
          <w:docGrid w:linePitch="360"/>
          <w:cols w:num="2" w:space="540"/>
          <w:cols w:num="1"/>
          <w:cols w:num="2" w:space="54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cols w:space="720"/>
          <w:docGrid w:linePitch="360"/>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N/A</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282632"/>
            <wp:docPr id="3" name="Picture 3"/>
            <wp:cNvGraphicFramePr>
              <a:graphicFrameLocks noChangeAspect="1"/>
            </wp:cNvGraphicFramePr>
            <a:graphic>
              <a:graphicData uri="http://schemas.openxmlformats.org/drawingml/2006/picture">
                <pic:pic>
                  <pic:nvPicPr>
                    <pic:cNvPr id="0" name="fig3_detection_accuracy.png"/>
                    <pic:cNvPicPr/>
                  </pic:nvPicPr>
                  <pic:blipFill>
                    <a:blip r:embed="rId12"/>
                    <a:stretch>
                      <a:fillRect/>
                    </a:stretch>
                  </pic:blipFill>
                  <pic:spPr>
                    <a:xfrm>
                      <a:off x="0" y="0"/>
                      <a:ext cx="5940000" cy="3282632"/>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210811"/>
            <wp:docPr id="4" name="Picture 4"/>
            <wp:cNvGraphicFramePr>
              <a:graphicFrameLocks noChangeAspect="1"/>
            </wp:cNvGraphicFramePr>
            <a:graphic>
              <a:graphicData uri="http://schemas.openxmlformats.org/drawingml/2006/picture">
                <pic:pic>
                  <pic:nvPicPr>
                    <pic:cNvPr id="0" name="fig4_latency_comparison.png"/>
                    <pic:cNvPicPr/>
                  </pic:nvPicPr>
                  <pic:blipFill>
                    <a:blip r:embed="rId13"/>
                    <a:stretch>
                      <a:fillRect/>
                    </a:stretch>
                  </pic:blipFill>
                  <pic:spPr>
                    <a:xfrm>
                      <a:off x="0" y="0"/>
                      <a:ext cx="5940000" cy="3210811"/>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5" name="Picture 5"/>
            <wp:cNvGraphicFramePr>
              <a:graphicFrameLocks noChangeAspect="1"/>
            </wp:cNvGraphicFramePr>
            <a:graphic>
              <a:graphicData uri="http://schemas.openxmlformats.org/drawingml/2006/picture">
                <pic:pic>
                  <pic:nvPicPr>
                    <pic:cNvPr id="0" name="fig5_capability_matrix.png"/>
                    <pic:cNvPicPr/>
                  </pic:nvPicPr>
                  <pic:blipFill>
                    <a:blip r:embed="rId14"/>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sectPr>
      </w:pPr>
    </w:p>
    <w:sectPr w:rsidR="00FC693F" w:rsidRPr="0006063C" w:rsidSect="00034616">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