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80"/>
        <w:jc w:val="left"/>
      </w:pPr>
      <w:r>
        <w:rPr>
          <w:rFonts w:ascii="Calibri" w:hAnsi="Calibri"/>
          <w:b/>
          <w:color w:val="000000"/>
          <w:sz w:val="23"/>
        </w:rPr>
        <w:t>C. Latency and Throughput Comparison</w:t>
      </w:r>
    </w:p>
    <w:p>
      <w:pPr>
        <w:spacing w:after="100"/>
        <w:jc w:val="both"/>
      </w:pPr>
      <w:r>
        <w:rPr>
          <w:rFonts w:ascii="Calibri" w:hAnsi="Calibri"/>
          <w:i w:val="0"/>
          <w:color w:val="000000"/>
          <w:sz w:val="21"/>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25-120 us (local)</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p>
      <w:pPr>
        <w:spacing w:after="100"/>
        <w:jc w:val="both"/>
      </w:pPr>
      <w:r>
        <w:rPr>
          <w:rFonts w:ascii="Calibri" w:hAnsi="Calibri"/>
          <w:i w:val="0"/>
          <w:color w:val="000000"/>
          <w:sz w:val="21"/>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