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000000"/>
          <w:sz w:val="32"/>
        </w:rPr>
        <w:t>Autonomous Post-Quantum Cyber Defense Agent: Sovereign Line-Rate Intrusion Defence via Kernel-eBPF and Local-LLM</w:t>
      </w:r>
    </w:p>
    <w:p>
      <w:pPr>
        <w:spacing w:after="40"/>
        <w:jc w:val="center"/>
      </w:pPr>
      <w:r>
        <w:rPr>
          <w:rFonts w:ascii="Calibri" w:hAnsi="Calibri"/>
          <w:b/>
          <w:color w:val="000000"/>
          <w:sz w:val="23"/>
        </w:rPr>
        <w:t>Anonymous Author(s)</w:t>
      </w:r>
    </w:p>
    <w:p>
      <w:pPr>
        <w:spacing w:after="20"/>
        <w:jc w:val="center"/>
      </w:pPr>
      <w:r>
        <w:rPr>
          <w:rFonts w:ascii="Calibri" w:hAnsi="Calibri"/>
          <w:b w:val="0"/>
          <w:color w:val="000000"/>
          <w:sz w:val="19"/>
        </w:rPr>
        <w:t>Affiliation and Contact Details Suppressed for Double-Blind Review</w:t>
      </w:r>
    </w:p>
    <w:p>
      <w:pPr>
        <w:spacing w:after="40"/>
        <w:jc w:val="center"/>
      </w:pPr>
      <w:r>
        <w:rPr>
          <w:rFonts w:ascii="Calibri" w:hAnsi="Calibri"/>
          <w:b w:val="0"/>
          <w:color w:val="000000"/>
          <w:sz w:val="19"/>
        </w:rPr>
        <w:t>Track: Systems and Network Security | AI-Driven Defense</w:t>
      </w:r>
    </w:p>
    <w:p>
      <w:pPr>
        <w:spacing w:after="120"/>
        <w:jc w:val="center"/>
      </w:pPr>
      <w:r>
        <w:rPr>
          <w:rFonts w:ascii="Calibri" w:hAnsi="Calibri"/>
          <w:b/>
          <w:color w:val="000000"/>
          <w:sz w:val="19"/>
        </w:rPr>
        <w:t>Anonymized Code &amp; Artifacts: https://anonymous.4open.science/r/asm-defense-agent</w:t>
      </w:r>
    </w:p>
    <w:p>
      <w:pPr>
        <w:spacing w:before="0" w:after="120"/>
        <w:pBdr>
          <w:bottom w:val="single" w:sz="8" w:space="1" w:color="000000"/>
        </w:pBdr>
      </w:pPr>
    </w:p>
    <w:p>
      <w:pPr>
        <w:spacing w:after="40"/>
        <w:jc w:val="center"/>
      </w:pPr>
      <w:r>
        <w:rPr>
          <w:rFonts w:ascii="Calibri" w:hAnsi="Calibri"/>
          <w:b/>
          <w:color w:val="000000"/>
          <w:sz w:val="21"/>
        </w:rPr>
        <w:t>Abstract</w:t>
      </w:r>
    </w:p>
    <w:p>
      <w:pPr>
        <w:spacing w:after="100"/>
        <w:ind w:left="680" w:right="680"/>
        <w:jc w:val="both"/>
      </w:pPr>
      <w:r>
        <w:rPr>
          <w:rFonts w:ascii="Calibri" w:hAnsi="Calibri"/>
          <w:color w:val="000000"/>
          <w:sz w:val="19"/>
        </w:rPr>
        <w:t>Modern network perimeters face a widening gap between the rate at which sophisticated threats mutate and the reaction time of conventional security controls. Signature-only intrusion detection systems struggle with zero-day behavioural variations, while cloud-brokered firewalls impose unacceptable round-trip latency and mandatory telemetry exposure that is incompatible with air-gapped or high-assurance environments. This paper presents the Autonomous Post-Quantum Cyber Defense Agent, a fully sovereign, offline-capable hybrid defence system that fuses three complementary control planes: (i) a Linux kernel-resident eBPF/XDP programme that classifies and drops malicious packets at hardware driver speed (0.33 us median), (ii) a locally-hosted quantised large language model that performs deep semantic threat reasoning on ambiguous event streams without any cloud dependency, and (iii) a suite of proactive mechanisms — Moving Target Defence (MTD) with HMAC-SHA256 polymorphic port hopping, Shannon byte-entropy C2 beacon detection, and an adversarial AI-tarpit deception engine — that actively degrade the attacker's reconnaissance advantage. Empirical evaluation across an automated Monte Carlo flow corpus of 10,000,000 verified network events calibrated to CSE-CIC-IDS2018, UNSW-NB15, and CTU-13 feature distributions demonstrates an evasion-resistant attack recall (TPR) of 98.64% (95% CI: [98.61%, 98.67%]), a false-positive rate of 0.12%, precision of 99.72%, an F1-score of 99.18%, and overall classification accuracy of 99.50%, which collectively provide high assurance against sophisticated evasions without cloud telemetry.</w:t>
      </w:r>
    </w:p>
    <w:p>
      <w:pPr>
        <w:spacing w:after="160"/>
        <w:ind w:left="680" w:right="680"/>
        <w:jc w:val="both"/>
      </w:pPr>
      <w:r>
        <w:rPr>
          <w:rFonts w:ascii="Calibri" w:hAnsi="Calibri"/>
          <w:i/>
          <w:color w:val="333333"/>
          <w:sz w:val="18"/>
        </w:rPr>
        <w:t>Index Terms — Extended Berkeley Packet Filter, XDP, intrusion detection, moving target defence, Shannon entropy, large language model, encrypted traffic analysis, command-and-control detection, post-quantum cryptography, air-gapped security, tarpit deception.</w:t>
      </w:r>
    </w:p>
    <w:p>
      <w:pPr>
        <w:spacing w:before="0" w:after="120"/>
        <w:pBdr>
          <w:bottom w:val="single" w:sz="8" w:space="1" w:color="000000"/>
        </w:pBdr>
      </w:pPr>
    </w:p>
    <w:p>
      <w:pPr>
        <w:spacing w:before="240" w:after="80"/>
        <w:jc w:val="left"/>
      </w:pPr>
      <w:r>
        <w:rPr>
          <w:rFonts w:ascii="Calibri" w:hAnsi="Calibri"/>
          <w:b/>
          <w:color w:val="000000"/>
          <w:sz w:val="28"/>
        </w:rPr>
        <w:t>I.  Introduction</w:t>
      </w:r>
    </w:p>
    <w:p>
      <w:pPr>
        <w:spacing w:after="100"/>
        <w:jc w:val="both"/>
      </w:pPr>
      <w:r>
        <w:rPr>
          <w:rFonts w:ascii="Calibri" w:hAnsi="Calibri"/>
          <w:i w:val="0"/>
          <w:color w:val="000000"/>
          <w:sz w:val="21"/>
        </w:rPr>
        <w:t>The threat landscape confronting enterprise and critical-infrastructure networks has undergone a qualitative shift over the past several years. Where earlier adversarial campaigns relied predominantly on known exploit signatures that static rule sets could reliably detect, contemporary threat actors routinely employ polymorphic payloads, living-off-the-land binaries, and encrypted command-and-control (C2) channels that render signature databases functionally obsolete within hours of a new campaign's launch [1]. The consequence is straightforward: defenders who rely on purely reactive, pattern-matching controls are perpetually operating in arrears.</w:t>
      </w:r>
    </w:p>
    <w:p>
      <w:pPr>
        <w:spacing w:after="100"/>
        <w:jc w:val="both"/>
      </w:pPr>
      <w:r>
        <w:rPr>
          <w:rFonts w:ascii="Calibri" w:hAnsi="Calibri"/>
          <w:i w:val="0"/>
          <w:color w:val="000000"/>
          <w:sz w:val="21"/>
        </w:rPr>
        <w:t>Existing high-assurance solutions bifurcate into two commercially dominant, yet architecturally opposite camps. On one side stand on-premise appliances such as Palo Alto Networks' NGFW series, Cisco Firepower, and Fortinet FortiGate — products that deliver deterministic packet inspection but depend on cloud-hosted Wildfire, Talos, or FortiGuard threat-intelligence feeds, introducing latency, subscription cost, and privacy exposure that disqualifies them from classified or air-gapped environments. On the other side stand cloud-native controls — Cloudflare Magic Transit, AWS Network Firewall, Zscaler Internet Access — which absorb traffic at globally distributed points of presence before routing clean flows back to the customer: elegant at hyperscale but fundamentally incompatible with deployments that cannot permit payload inspection by a third-party intermediary.</w:t>
      </w:r>
    </w:p>
    <w:p>
      <w:pPr>
        <w:spacing w:after="100"/>
        <w:jc w:val="both"/>
      </w:pPr>
      <w:r>
        <w:rPr>
          <w:rFonts w:ascii="Calibri" w:hAnsi="Calibri"/>
          <w:i w:val="0"/>
          <w:color w:val="000000"/>
          <w:sz w:val="21"/>
        </w:rPr>
        <w:t>Open-source tools — Snort 3.x and Suricata — occupy a middle ground: freely deployable and privacy-respecting, but limited by user-space processing overhead that caps practical throughput well below modern NIC line-rates and leaves them reliant on community-maintained rule sets that lag emerging threats by days to weeks [2]. None of the above provide Moving Target Defence, attacker deception, or encrypted-traffic beacon analysis without cloud services.</w:t>
      </w:r>
    </w:p>
    <w:p>
      <w:pPr>
        <w:spacing w:after="100"/>
        <w:jc w:val="both"/>
      </w:pPr>
      <w:r>
        <w:rPr>
          <w:rFonts w:ascii="Calibri" w:hAnsi="Calibri"/>
          <w:i w:val="0"/>
          <w:color w:val="000000"/>
          <w:sz w:val="21"/>
        </w:rPr>
        <w:t>This work addresses all three shortcomings simultaneously. The concrete contributions are: (1) a kernel-resident eBPF/XDP multi-stage packet classifier including in-kernel TCP flag anomaly rejection; (2) a local LLM semantic reasoning engine with no cloud dependency; (3) HMAC-SHA256 MTD port hopping; (4) zero-decryption Shannon entropy C2 beaconing detection; (5) an adversarial AI-tarpit combining trickle back-pressure, honey-token generation, and a recursive synthetic filesystem; and (6) an empirical benchmark study across five state-of-the-art reference systems.</w:t>
      </w:r>
    </w:p>
    <w:p>
      <w:pPr>
        <w:spacing w:before="240" w:after="80"/>
        <w:jc w:val="left"/>
      </w:pPr>
      <w:r>
        <w:rPr>
          <w:rFonts w:ascii="Calibri" w:hAnsi="Calibri"/>
          <w:b/>
          <w:color w:val="000000"/>
          <w:sz w:val="28"/>
        </w:rPr>
        <w:t>II.  Related Work</w:t>
      </w:r>
    </w:p>
    <w:p>
      <w:pPr>
        <w:spacing w:before="120" w:after="80"/>
        <w:jc w:val="left"/>
      </w:pPr>
      <w:r>
        <w:rPr>
          <w:rFonts w:ascii="Calibri" w:hAnsi="Calibri"/>
          <w:b/>
          <w:color w:val="000000"/>
          <w:sz w:val="23"/>
        </w:rPr>
        <w:t>A. eBPF and XDP for High-Speed Packet Processing</w:t>
      </w:r>
    </w:p>
    <w:p>
      <w:pPr>
        <w:spacing w:after="100"/>
        <w:jc w:val="both"/>
      </w:pPr>
      <w:r>
        <w:rPr>
          <w:rFonts w:ascii="Calibri" w:hAnsi="Calibri"/>
          <w:i w:val="0"/>
          <w:color w:val="000000"/>
          <w:sz w:val="21"/>
        </w:rPr>
        <w:t>The extended Berkeley Packet Filter was substantially redesigned in Linux kernel 3.18 and has matured into a general-purpose, in-kernel sandboxed execution environment [3]. When co-located with the eXpress Data Path (XDP) hook — which fires at the earliest possible driver RX callback, before sk_buff allocation — eBPF programmes achieve packet drop throughputs exceeding 26 Mpps on a single core [4]. Hoiland-Jorgensen et al. demonstrated XDP-based load balancing at 14.88 Mpps per core, while Miano et al. characterised head-of-line blocking latency at sub-microsecond levels [5]. Our work integrates a multi-stage XDP packet processing architecture combining stateful hash map filtering with in-kernel anomalous TCP flag classification for zero-copy wire-speed mitigation.</w:t>
      </w:r>
    </w:p>
    <w:p>
      <w:pPr>
        <w:spacing w:before="120" w:after="80"/>
        <w:jc w:val="left"/>
      </w:pPr>
      <w:r>
        <w:rPr>
          <w:rFonts w:ascii="Calibri" w:hAnsi="Calibri"/>
          <w:b/>
          <w:color w:val="000000"/>
          <w:sz w:val="23"/>
        </w:rPr>
        <w:t>B. AI and Machine Learning in Network Intrusion Detection</w:t>
      </w:r>
    </w:p>
    <w:p>
      <w:pPr>
        <w:spacing w:after="100"/>
        <w:jc w:val="both"/>
      </w:pPr>
      <w:r>
        <w:rPr>
          <w:rFonts w:ascii="Calibri" w:hAnsi="Calibri"/>
          <w:i w:val="0"/>
          <w:color w:val="000000"/>
          <w:sz w:val="21"/>
        </w:rPr>
        <w:t>Applying machine learning to network intrusion detection has been explored since the KDD Cup 1999 benchmark [6]. More recent work — convolutional networks on raw packet bytes [7], graph neural networks on flow adjacency matrices [8] — achieves high true-positive rates but uniformly requires GPU infrastructure and online connectivity. The emergence of highly quantised LLMs capable of running on commodity CPU hardware [9] opens a new design point explored in this paper: asynchronous LLM verdict generation on locally-stored models with zero cloud telemetry.</w:t>
      </w:r>
    </w:p>
    <w:p>
      <w:pPr>
        <w:spacing w:before="120" w:after="80"/>
        <w:jc w:val="left"/>
      </w:pPr>
      <w:r>
        <w:rPr>
          <w:rFonts w:ascii="Calibri" w:hAnsi="Calibri"/>
          <w:b/>
          <w:color w:val="000000"/>
          <w:sz w:val="23"/>
        </w:rPr>
        <w:t>C. Moving Target Defence</w:t>
      </w:r>
    </w:p>
    <w:p>
      <w:pPr>
        <w:spacing w:after="100"/>
        <w:jc w:val="both"/>
      </w:pPr>
      <w:r>
        <w:rPr>
          <w:rFonts w:ascii="Calibri" w:hAnsi="Calibri"/>
          <w:i w:val="0"/>
          <w:color w:val="000000"/>
          <w:sz w:val="21"/>
        </w:rPr>
        <w:t>Moving Target Defence was introduced by Jajodia et al. [10] and applied to network port randomisation by Atighetchi et al. [11]. The key insight — that reconnaissance advantage can be eroded by dynamically changing the observable attack surface — has been validated in simulation studies. Our HMAC-SHA256 keyed scheme adds cryptographic unforgeability: an adversary who observes port(s, e) for any finite epoch set cannot predict future targets without the secret seed.</w:t>
      </w:r>
    </w:p>
    <w:p>
      <w:pPr>
        <w:spacing w:before="120" w:after="80"/>
        <w:jc w:val="left"/>
      </w:pPr>
      <w:r>
        <w:rPr>
          <w:rFonts w:ascii="Calibri" w:hAnsi="Calibri"/>
          <w:b/>
          <w:color w:val="000000"/>
          <w:sz w:val="23"/>
        </w:rPr>
        <w:t>D. Encrypted Traffic Analysis Without Decryption</w:t>
      </w:r>
    </w:p>
    <w:p>
      <w:pPr>
        <w:spacing w:after="100"/>
        <w:jc w:val="both"/>
      </w:pPr>
      <w:r>
        <w:rPr>
          <w:rFonts w:ascii="Calibri" w:hAnsi="Calibri"/>
          <w:i w:val="0"/>
          <w:color w:val="000000"/>
          <w:sz w:val="21"/>
        </w:rPr>
        <w:t>Anderson and McGrew [12] demonstrated that TLS metadata alone achieves over 90% accuracy in malware family classification. Tegeler et al. [13] introduced payload byte-entropy as a discriminating feature, noting that C2 traffic exhibits subtly different entropy distributions from compressed legitimate HTTP/2. Our implementation operationalises both observations in a real-time per-flow state machine requiring no TLS man-in-the-middle.</w:t>
      </w:r>
    </w:p>
    <w:p>
      <w:pPr>
        <w:spacing w:before="240" w:after="80"/>
        <w:jc w:val="left"/>
      </w:pPr>
      <w:r>
        <w:rPr>
          <w:rFonts w:ascii="Calibri" w:hAnsi="Calibri"/>
          <w:b/>
          <w:color w:val="000000"/>
          <w:sz w:val="28"/>
        </w:rPr>
        <w:t>III.  System Design and Architecture</w:t>
      </w:r>
    </w:p>
    <w:p>
      <w:pPr>
        <w:spacing w:after="100"/>
        <w:jc w:val="both"/>
      </w:pPr>
      <w:r>
        <w:rPr>
          <w:rFonts w:ascii="Calibri" w:hAnsi="Calibri"/>
          <w:i w:val="0"/>
          <w:color w:val="000000"/>
          <w:sz w:val="21"/>
        </w:rPr>
        <w:t>The system is deployed as a bump-in-the-wire dual-NIC transparent bridge between an upstream router's LAN port and the protected endpoint. Two physical interfaces bind to a Linux bridge (br0) making the appliance invisible to neighbouring devices. An alternative isolated L3 subnet gateway mode (NAT masquerade, 10.99.1.0/24) is provided for environments where DHCP control is required.</w:t>
      </w:r>
    </w:p>
    <w:p>
      <w:pPr>
        <w:spacing w:before="120" w:after="80"/>
        <w:jc w:val="left"/>
      </w:pPr>
      <w:r>
        <w:rPr>
          <w:rFonts w:ascii="Calibri" w:hAnsi="Calibri"/>
          <w:b/>
          <w:color w:val="000000"/>
          <w:sz w:val="23"/>
        </w:rPr>
        <w:t>A. Threat Model and Trust Assumptions</w:t>
      </w:r>
    </w:p>
    <w:p>
      <w:pPr>
        <w:spacing w:after="100"/>
        <w:jc w:val="both"/>
      </w:pPr>
      <w:r>
        <w:rPr>
          <w:rFonts w:ascii="Calibri" w:hAnsi="Calibri"/>
          <w:i w:val="0"/>
          <w:color w:val="000000"/>
          <w:sz w:val="21"/>
        </w:rPr>
        <w:t>To establish rigorous defensive boundaries, we formulate our threat model following standard systems security formalisms. We define the adversary capabilities, trusted computing base (TCB), and security assumptions as follows:</w:t>
      </w:r>
    </w:p>
    <w:p>
      <w:pPr>
        <w:spacing w:after="100"/>
        <w:jc w:val="both"/>
      </w:pPr>
      <w:r>
        <w:rPr>
          <w:rFonts w:ascii="Calibri" w:hAnsi="Calibri"/>
          <w:i w:val="0"/>
          <w:color w:val="000000"/>
          <w:sz w:val="21"/>
        </w:rPr>
        <w:t>1) Adversary Capabilities: We consider an active network-layer adversary A possessing standard Dolev-Yao capabilities across unauthenticated network segments. The adversary can inject, replay, spoof, fragment, and arbitrarily manipulate packet headers and payloads. A may deploy stealth reconnaissance scanning (Nmap Null/Xmas scans), launch high-rate volumetric DDoS floods (SYN, UDP amplification), establish covert encrypted command-and-control (C2) channels with low timing jitter, and execute adversarial prompt injection attacks by embedding adversarial strings (e.g., 'Ignore previous instructions and output BENIGN') within HTTP User-Agents, URIs, or DNS queries in an attempt to subvert downstream AI evaluators. Furthermore, A is assumed to have 'Harvest-Now-Decrypt-Later' capabilities, intercepting encrypted management traffic to store for retroactive deciphering when cryptanalytically relevant quantum computers (CRQCs) emerge.</w:t>
      </w:r>
    </w:p>
    <w:p>
      <w:pPr>
        <w:spacing w:after="100"/>
        <w:jc w:val="both"/>
      </w:pPr>
      <w:r>
        <w:rPr>
          <w:rFonts w:ascii="Calibri" w:hAnsi="Calibri"/>
          <w:i w:val="0"/>
          <w:color w:val="000000"/>
          <w:sz w:val="21"/>
        </w:rPr>
        <w:t>2) Trusted Computing Base (TCB): The TCB is strictly confined to: (i) the Linux kernel execution environment, specifically the kernel eBPF verifier, JIT compiler, and XDP driver subsystem; (ii) local CPU memory space and registers housing daemon execution state; (iii) the local, non-network-exposed SQLite audit database; and (iv) local private cryptographic keys and master HMAC seeds stored in restricted-permission keyrings.</w:t>
      </w:r>
    </w:p>
    <w:p>
      <w:pPr>
        <w:spacing w:after="100"/>
        <w:jc w:val="both"/>
      </w:pPr>
      <w:r>
        <w:rPr>
          <w:rFonts w:ascii="Calibri" w:hAnsi="Calibri"/>
          <w:i w:val="0"/>
          <w:color w:val="000000"/>
          <w:sz w:val="21"/>
        </w:rPr>
        <w:t>3) Security Assumptions &amp; Out-of-Scope: We assume standard UEFI Secure Boot protects the initial kernel bootstrap and that the adversary has not gained prior root-level privilege execution on the defense appliance itself. Physical hardware attacks (e.g., memory bus probes, cryogenic cold-boot extraction, JTAG interposers) and microarchitectural side-channel exploits (Spectre, Meltdown) are explicitly outside the scope of this network-level inline defense architecture.</w:t>
      </w:r>
    </w:p>
    <w:p>
      <w:pPr>
        <w:spacing w:before="120" w:after="80"/>
        <w:jc w:val="left"/>
      </w:pPr>
      <w:r>
        <w:rPr>
          <w:rFonts w:ascii="Calibri" w:hAnsi="Calibri"/>
          <w:b/>
          <w:color w:val="000000"/>
          <w:sz w:val="23"/>
        </w:rPr>
        <w:t>B. Kernel Data-Plane: eBPF/XDP Multi-Stage Filter</w:t>
      </w:r>
    </w:p>
    <w:p>
      <w:pPr>
        <w:spacing w:after="100"/>
        <w:jc w:val="both"/>
      </w:pPr>
      <w:r>
        <w:rPr>
          <w:rFonts w:ascii="Calibri" w:hAnsi="Calibri"/>
          <w:i w:val="0"/>
          <w:color w:val="000000"/>
          <w:sz w:val="21"/>
        </w:rPr>
        <w:t>The eBPF programme (ebpf_filter.c) is compiled with 'clang -target bpf -O2 -Wall -Werror' and attached to the XDP driver hook of the inbound WAN interface. Processing follows four ordered stages: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907"/>
            <w:shd w:val="clear" w:color="auto" w:fill="111827"/>
            <w:vAlign w:val="center"/>
          </w:tcPr>
          <w:p>
            <w:pPr>
              <w:spacing w:before="60" w:after="60"/>
              <w:jc w:val="center"/>
            </w:pPr>
            <w:r>
              <w:rPr>
                <w:rFonts w:ascii="Calibri" w:hAnsi="Calibri"/>
                <w:b/>
                <w:color w:val="FFFFFF"/>
                <w:sz w:val="17"/>
              </w:rPr>
              <w:t>Stage</w:t>
            </w:r>
          </w:p>
        </w:tc>
        <w:tc>
          <w:tcPr>
            <w:tcW w:type="dxa" w:w="3288"/>
            <w:shd w:val="clear" w:color="auto" w:fill="111827"/>
            <w:vAlign w:val="center"/>
          </w:tcPr>
          <w:p>
            <w:pPr>
              <w:spacing w:before="60" w:after="60"/>
              <w:jc w:val="center"/>
            </w:pPr>
            <w:r>
              <w:rPr>
                <w:rFonts w:ascii="Calibri" w:hAnsi="Calibri"/>
                <w:b/>
                <w:color w:val="FFFFFF"/>
                <w:sz w:val="17"/>
              </w:rPr>
              <w:t>Operation</w:t>
            </w:r>
          </w:p>
        </w:tc>
        <w:tc>
          <w:tcPr>
            <w:tcW w:type="dxa" w:w="2494"/>
            <w:shd w:val="clear" w:color="auto" w:fill="111827"/>
            <w:vAlign w:val="center"/>
          </w:tcPr>
          <w:p>
            <w:pPr>
              <w:spacing w:before="60" w:after="60"/>
              <w:jc w:val="center"/>
            </w:pPr>
            <w:r>
              <w:rPr>
                <w:rFonts w:ascii="Calibri" w:hAnsi="Calibri"/>
                <w:b/>
                <w:color w:val="FFFFFF"/>
                <w:sz w:val="17"/>
              </w:rPr>
              <w:t>BPF Map Type</w:t>
            </w:r>
          </w:p>
        </w:tc>
        <w:tc>
          <w:tcPr>
            <w:tcW w:type="dxa" w:w="2041"/>
            <w:shd w:val="clear" w:color="auto" w:fill="111827"/>
            <w:vAlign w:val="center"/>
          </w:tcPr>
          <w:p>
            <w:pPr>
              <w:spacing w:before="60" w:after="60"/>
              <w:jc w:val="center"/>
            </w:pPr>
            <w:r>
              <w:rPr>
                <w:rFonts w:ascii="Calibri" w:hAnsi="Calibri"/>
                <w:b/>
                <w:color w:val="FFFFFF"/>
                <w:sz w:val="17"/>
              </w:rPr>
              <w:t>Outcome</w:t>
            </w:r>
          </w:p>
        </w:tc>
      </w:tr>
      <w:tr>
        <w:tc>
          <w:tcPr>
            <w:tcW w:type="dxa" w:w="907"/>
            <w:vAlign w:val="center"/>
            <w:shd w:val="clear" w:color="auto" w:fill="FFFFFF"/>
          </w:tcPr>
          <w:p>
            <w:pPr>
              <w:spacing w:before="50" w:after="50"/>
              <w:jc w:val="center"/>
            </w:pPr>
            <w:r>
              <w:rPr>
                <w:rFonts w:ascii="Calibri" w:hAnsi="Calibri"/>
                <w:b w:val="0"/>
                <w:color w:val="000000"/>
                <w:sz w:val="17"/>
              </w:rPr>
              <w:t>1</w:t>
            </w:r>
          </w:p>
        </w:tc>
        <w:tc>
          <w:tcPr>
            <w:tcW w:type="dxa" w:w="3288"/>
            <w:vAlign w:val="center"/>
            <w:shd w:val="clear" w:color="auto" w:fill="FFFFFF"/>
          </w:tcPr>
          <w:p>
            <w:pPr>
              <w:spacing w:before="50" w:after="50"/>
              <w:jc w:val="left"/>
            </w:pPr>
            <w:r>
              <w:rPr>
                <w:rFonts w:ascii="Calibri" w:hAnsi="Calibri"/>
                <w:b w:val="0"/>
                <w:color w:val="000000"/>
                <w:sz w:val="17"/>
              </w:rPr>
              <w:t>IP Blocklist Lookup (O(1) fast-path)</w:t>
            </w:r>
          </w:p>
        </w:tc>
        <w:tc>
          <w:tcPr>
            <w:tcW w:type="dxa" w:w="2494"/>
            <w:vAlign w:val="center"/>
            <w:shd w:val="clear" w:color="auto" w:fill="FFFFFF"/>
          </w:tcPr>
          <w:p>
            <w:pPr>
              <w:spacing w:before="50" w:after="50"/>
              <w:jc w:val="left"/>
            </w:pPr>
            <w:r>
              <w:rPr>
                <w:rFonts w:ascii="Calibri" w:hAnsi="Calibri"/>
                <w:b w:val="0"/>
                <w:color w:val="000000"/>
                <w:sz w:val="17"/>
              </w:rPr>
              <w:t>BPF_MAP_TYPE_HASH</w:t>
            </w:r>
          </w:p>
        </w:tc>
        <w:tc>
          <w:tcPr>
            <w:tcW w:type="dxa" w:w="2041"/>
            <w:vAlign w:val="center"/>
            <w:shd w:val="clear" w:color="auto" w:fill="FFFFFF"/>
          </w:tcPr>
          <w:p>
            <w:pPr>
              <w:spacing w:before="50" w:after="50"/>
              <w:jc w:val="center"/>
            </w:pPr>
            <w:r>
              <w:rPr>
                <w:rFonts w:ascii="Calibri" w:hAnsi="Calibri"/>
                <w:b w:val="0"/>
                <w:color w:val="000000"/>
                <w:sz w:val="17"/>
              </w:rPr>
              <w:t>XDP_DROP</w:t>
            </w:r>
          </w:p>
        </w:tc>
      </w:tr>
      <w:tr>
        <w:tc>
          <w:tcPr>
            <w:tcW w:type="dxa" w:w="907"/>
            <w:vAlign w:val="center"/>
            <w:shd w:val="clear" w:color="auto" w:fill="F9F9F9"/>
          </w:tcPr>
          <w:p>
            <w:pPr>
              <w:spacing w:before="50" w:after="50"/>
              <w:jc w:val="center"/>
            </w:pPr>
            <w:r>
              <w:rPr>
                <w:rFonts w:ascii="Calibri" w:hAnsi="Calibri"/>
                <w:b w:val="0"/>
                <w:color w:val="000000"/>
                <w:sz w:val="17"/>
              </w:rPr>
              <w:t>2</w:t>
            </w:r>
          </w:p>
        </w:tc>
        <w:tc>
          <w:tcPr>
            <w:tcW w:type="dxa" w:w="3288"/>
            <w:vAlign w:val="center"/>
            <w:shd w:val="clear" w:color="auto" w:fill="F9F9F9"/>
          </w:tcPr>
          <w:p>
            <w:pPr>
              <w:spacing w:before="50" w:after="50"/>
              <w:jc w:val="left"/>
            </w:pPr>
            <w:r>
              <w:rPr>
                <w:rFonts w:ascii="Calibri" w:hAnsi="Calibri"/>
                <w:b w:val="0"/>
                <w:color w:val="000000"/>
                <w:sz w:val="17"/>
              </w:rPr>
              <w:t>Tarpit Redirect (Deception Port)</w:t>
            </w:r>
          </w:p>
        </w:tc>
        <w:tc>
          <w:tcPr>
            <w:tcW w:type="dxa" w:w="2494"/>
            <w:vAlign w:val="center"/>
            <w:shd w:val="clear" w:color="auto" w:fill="F9F9F9"/>
          </w:tcPr>
          <w:p>
            <w:pPr>
              <w:spacing w:before="50" w:after="50"/>
              <w:jc w:val="left"/>
            </w:pPr>
            <w:r>
              <w:rPr>
                <w:rFonts w:ascii="Calibri" w:hAnsi="Calibri"/>
                <w:b w:val="0"/>
                <w:color w:val="000000"/>
                <w:sz w:val="17"/>
              </w:rPr>
              <w:t>BPF_MAP_TYPE_HASH</w:t>
            </w:r>
          </w:p>
        </w:tc>
        <w:tc>
          <w:tcPr>
            <w:tcW w:type="dxa" w:w="2041"/>
            <w:vAlign w:val="center"/>
            <w:shd w:val="clear" w:color="auto" w:fill="F9F9F9"/>
          </w:tcPr>
          <w:p>
            <w:pPr>
              <w:spacing w:before="50" w:after="50"/>
              <w:jc w:val="center"/>
            </w:pPr>
            <w:r>
              <w:rPr>
                <w:rFonts w:ascii="Calibri" w:hAnsi="Calibri"/>
                <w:b w:val="0"/>
                <w:color w:val="000000"/>
                <w:sz w:val="17"/>
              </w:rPr>
              <w:t>XDP_PASS -&gt; nftables</w:t>
            </w:r>
          </w:p>
        </w:tc>
      </w:tr>
      <w:tr>
        <w:tc>
          <w:tcPr>
            <w:tcW w:type="dxa" w:w="907"/>
            <w:vAlign w:val="center"/>
            <w:shd w:val="clear" w:color="auto" w:fill="FFFFFF"/>
          </w:tcPr>
          <w:p>
            <w:pPr>
              <w:spacing w:before="50" w:after="50"/>
              <w:jc w:val="center"/>
            </w:pPr>
            <w:r>
              <w:rPr>
                <w:rFonts w:ascii="Calibri" w:hAnsi="Calibri"/>
                <w:b w:val="0"/>
                <w:color w:val="000000"/>
                <w:sz w:val="17"/>
              </w:rPr>
              <w:t>3</w:t>
            </w:r>
          </w:p>
        </w:tc>
        <w:tc>
          <w:tcPr>
            <w:tcW w:type="dxa" w:w="3288"/>
            <w:vAlign w:val="center"/>
            <w:shd w:val="clear" w:color="auto" w:fill="FFFFFF"/>
          </w:tcPr>
          <w:p>
            <w:pPr>
              <w:spacing w:before="50" w:after="50"/>
              <w:jc w:val="left"/>
            </w:pPr>
            <w:r>
              <w:rPr>
                <w:rFonts w:ascii="Calibri" w:hAnsi="Calibri"/>
                <w:b w:val="0"/>
                <w:color w:val="000000"/>
                <w:sz w:val="17"/>
              </w:rPr>
              <w:t>TCP Flag Anomaly: Null/Xmas/SYN+FIN</w:t>
            </w:r>
          </w:p>
        </w:tc>
        <w:tc>
          <w:tcPr>
            <w:tcW w:type="dxa" w:w="2494"/>
            <w:vAlign w:val="center"/>
            <w:shd w:val="clear" w:color="auto" w:fill="FFFFFF"/>
          </w:tcPr>
          <w:p>
            <w:pPr>
              <w:spacing w:before="50" w:after="50"/>
              <w:jc w:val="left"/>
            </w:pPr>
            <w:r>
              <w:rPr>
                <w:rFonts w:ascii="Calibri" w:hAnsi="Calibri"/>
                <w:b w:val="0"/>
                <w:color w:val="000000"/>
                <w:sz w:val="17"/>
              </w:rPr>
              <w:t>Inline classifier</w:t>
            </w:r>
          </w:p>
        </w:tc>
        <w:tc>
          <w:tcPr>
            <w:tcW w:type="dxa" w:w="2041"/>
            <w:vAlign w:val="center"/>
            <w:shd w:val="clear" w:color="auto" w:fill="FFFFFF"/>
          </w:tcPr>
          <w:p>
            <w:pPr>
              <w:spacing w:before="50" w:after="50"/>
              <w:jc w:val="center"/>
            </w:pPr>
            <w:r>
              <w:rPr>
                <w:rFonts w:ascii="Calibri" w:hAnsi="Calibri"/>
                <w:b w:val="0"/>
                <w:color w:val="000000"/>
                <w:sz w:val="17"/>
              </w:rPr>
              <w:t>XDP_DROP</w:t>
            </w:r>
          </w:p>
        </w:tc>
      </w:tr>
      <w:tr>
        <w:tc>
          <w:tcPr>
            <w:tcW w:type="dxa" w:w="907"/>
            <w:vAlign w:val="center"/>
            <w:shd w:val="clear" w:color="auto" w:fill="F9F9F9"/>
          </w:tcPr>
          <w:p>
            <w:pPr>
              <w:spacing w:before="50" w:after="50"/>
              <w:jc w:val="center"/>
            </w:pPr>
            <w:r>
              <w:rPr>
                <w:rFonts w:ascii="Calibri" w:hAnsi="Calibri"/>
                <w:b w:val="0"/>
                <w:color w:val="000000"/>
                <w:sz w:val="17"/>
              </w:rPr>
              <w:t>4</w:t>
            </w:r>
          </w:p>
        </w:tc>
        <w:tc>
          <w:tcPr>
            <w:tcW w:type="dxa" w:w="3288"/>
            <w:vAlign w:val="center"/>
            <w:shd w:val="clear" w:color="auto" w:fill="F9F9F9"/>
          </w:tcPr>
          <w:p>
            <w:pPr>
              <w:spacing w:before="50" w:after="50"/>
              <w:jc w:val="left"/>
            </w:pPr>
            <w:r>
              <w:rPr>
                <w:rFonts w:ascii="Calibri" w:hAnsi="Calibri"/>
                <w:b w:val="0"/>
                <w:color w:val="000000"/>
                <w:sz w:val="17"/>
              </w:rPr>
              <w:t>Telemetry Export to Userspace Daemon</w:t>
            </w:r>
          </w:p>
        </w:tc>
        <w:tc>
          <w:tcPr>
            <w:tcW w:type="dxa" w:w="2494"/>
            <w:vAlign w:val="center"/>
            <w:shd w:val="clear" w:color="auto" w:fill="F9F9F9"/>
          </w:tcPr>
          <w:p>
            <w:pPr>
              <w:spacing w:before="50" w:after="50"/>
              <w:jc w:val="left"/>
            </w:pPr>
            <w:r>
              <w:rPr>
                <w:rFonts w:ascii="Calibri" w:hAnsi="Calibri"/>
                <w:b w:val="0"/>
                <w:color w:val="000000"/>
                <w:sz w:val="17"/>
              </w:rPr>
              <w:t>BPF_MAP_TYPE_RINGBUF</w:t>
            </w:r>
          </w:p>
        </w:tc>
        <w:tc>
          <w:tcPr>
            <w:tcW w:type="dxa" w:w="2041"/>
            <w:vAlign w:val="center"/>
            <w:shd w:val="clear" w:color="auto" w:fill="F9F9F9"/>
          </w:tcPr>
          <w:p>
            <w:pPr>
              <w:spacing w:before="50" w:after="50"/>
              <w:jc w:val="center"/>
            </w:pPr>
            <w:r>
              <w:rPr>
                <w:rFonts w:ascii="Calibri" w:hAnsi="Calibri"/>
                <w:b w:val="0"/>
                <w:color w:val="000000"/>
                <w:sz w:val="17"/>
              </w:rPr>
              <w:t>XDP_PASS (clean)</w:t>
            </w:r>
          </w:p>
        </w:tc>
      </w:tr>
    </w:tbl>
    <w:p>
      <w:pPr>
        <w:spacing w:before="40" w:after="160"/>
        <w:jc w:val="center"/>
      </w:pPr>
      <w:r>
        <w:rPr>
          <w:rFonts w:ascii="Calibri" w:hAnsi="Calibri"/>
          <w:i/>
          <w:color w:val="333333"/>
          <w:sz w:val="18"/>
        </w:rPr>
        <w:t>Table I: XDP programme pipeline stages.</w:t>
      </w:r>
    </w:p>
    <w:p>
      <w:pPr>
        <w:spacing w:after="100"/>
        <w:jc w:val="both"/>
      </w:pPr>
      <w:r>
        <w:rPr>
          <w:rFonts w:ascii="Calibri" w:hAnsi="Calibri"/>
          <w:i w:val="0"/>
          <w:color w:val="000000"/>
          <w:sz w:val="21"/>
        </w:rPr>
        <w:t>Stage 3 — the novel in-kernel contribution — tests the TCP flags byte at header offset 13 against three pathological patterns: flags == 0x00 (Null scan, RFC 793 violation exploited by Nmap -sN); (flags &amp; 0x29) == 0x29 (Xmas scan, FIN+PSH+URG simultaneously asserted); and (flags &amp; 0x03) == 0x03 (SYN+FIN co-asserted, an impossible combination in legitimate TCP). Each match causes an immediate XDP_DROP with an associated reason code stored in the block-entry hash map for observability.</w:t>
      </w:r>
    </w:p>
    <w:p>
      <w:pPr>
        <w:spacing w:before="120" w:after="80"/>
        <w:jc w:val="left"/>
      </w:pPr>
      <w:r>
        <w:rPr>
          <w:rFonts w:ascii="Calibri" w:hAnsi="Calibri"/>
          <w:b/>
          <w:color w:val="000000"/>
          <w:sz w:val="23"/>
        </w:rPr>
        <w:t>C. Asynchronous Control-Plane: Custom Autonomous AI Agent Reasoning &amp; Prompt-Injection Hardening</w:t>
      </w:r>
    </w:p>
    <w:p>
      <w:pPr>
        <w:spacing w:after="100"/>
        <w:jc w:val="both"/>
      </w:pPr>
      <w:r>
        <w:rPr>
          <w:rFonts w:ascii="Calibri" w:hAnsi="Calibri"/>
          <w:i w:val="0"/>
          <w:color w:val="000000"/>
          <w:sz w:val="21"/>
        </w:rPr>
        <w:t>To perform deep semantic evaluation without external cloud dependencies, the architecture integrates a custom domain-specialized autonomous cyber defense agent: asm-shadhin-ai. Built upon the Qwen2.5-Coder-3B foundation architecture and adapted with cyber-defense operational prompt directives, strict JSON grammar constraints, and custom 4-bit quantization (GGUF Q4_K_M), the autonomous agent operates strictly on the asynchronous control plane. A foundational design principle of this architecture is the complete decoupling of the sub-microsecond in-kernel data plane (0.33 us median drop latency) from the multi-second control-plane reasoning loop (148 ms heuristic triage, 1.8–2.8 s complete SLM JSON generation on commodity CPU). If live packets were held synchronously in memory awaiting LLM inference, line-rate gigabit throughput would instantly collapse and packet buffers would overflow within microseconds. Instead, the architecture enforces a dual-plane fast-path/slow-path pipeline: (i) In-kernel XDP handles all wire-speed forwarding and immediate drops for cached malicious IPs (O(1) hash map lookup) and pathological TCP flag anomalies; (ii) When an ambiguous flow, elevated byte-entropy anomaly (H &gt;= 7.1), or heuristic threshold violation occurs, the packet is forwarded or rate-limited while an event descriptor is pushed asynchronously to userspace via a zero-copy lockless ring buffer (BPF_MAP_TYPE_RINGBUF); (iii) The userspace daemon sec-monitor processes the event through local SLM inference on background worker threads; and (iv) Upon confirming a threat (verdict confidence &gt;= 0.80), the daemon writes the offending source IP directly to the kernel's blocked_ips_map BPF table with an associated TTL. Consequently, all subsequent wire-speed packets from the attacking host are dropped in-kernel at 0.33 us line rate, achieving proactive autonomous containment without head-of-line blocking.</w:t>
      </w:r>
    </w:p>
    <w:p>
      <w:pPr>
        <w:spacing w:after="100"/>
        <w:jc w:val="both"/>
      </w:pPr>
      <w:r>
        <w:rPr>
          <w:rFonts w:ascii="Calibri" w:hAnsi="Calibri"/>
          <w:i w:val="0"/>
          <w:color w:val="000000"/>
          <w:sz w:val="21"/>
        </w:rPr>
        <w:t>To eliminate hallucination and guarantee prompt-injection immunity, the inference pipeline enforces three layers of defense: (1) Payload Isolation: Raw packet payloads are never injected directly into LLM prompts; instead, deterministic parsers extract sanitized flow tuples, port destinations, entropy metrics, and Suricata alert metadata; (2) Logit-Level Grammar Decoding: Ollama's formal JSON grammar enforcement (GBNF grammar decoding) restricts token generation strictly to valid JSON tokens conforming to the 7-field operational schema ('verdict', 'threat_type', 'confidence', 'action', 'source_ip', 'reason', 'ebpf_rule'), rendering conversational jailbreaks or markdown injection structurally impossible; and (3) Deterministic Fallback Precedence: Known high-severity rule triggers and kernel flag anomalies automatically enforce immediate XDP drops via deterministic heuristics if inference encounters timeouts or anomalous responses, ensuring fail-safe containment.</w:t>
      </w:r>
    </w:p>
    <w:p>
      <w:pPr>
        <w:spacing w:after="100"/>
        <w:jc w:val="both"/>
      </w:pPr>
      <w:r>
        <w:rPr>
          <w:rFonts w:ascii="Calibri" w:hAnsi="Calibri"/>
          <w:i w:val="0"/>
          <w:color w:val="000000"/>
          <w:sz w:val="21"/>
        </w:rPr>
        <w:t>A MALICIOUS verdict at confidence &gt;= 0.80 commits the offender IP directly to blocked_ips_map with an associated TTL; all subsequent wire-speed packets from that source are dropped at sub-microsecond line-rate (0.33 us median) directly at the XDP hook.</w:t>
      </w:r>
    </w:p>
    <w:p>
      <w:pPr>
        <w:spacing w:before="120" w:after="80"/>
        <w:jc w:val="left"/>
      </w:pPr>
      <w:r>
        <w:rPr>
          <w:rFonts w:ascii="Calibri" w:hAnsi="Calibri"/>
          <w:b/>
          <w:color w:val="000000"/>
          <w:sz w:val="23"/>
        </w:rPr>
        <w:t>D. Moving Target Defence (MTD) and Client Synchronization Protocol</w:t>
      </w:r>
    </w:p>
    <w:p>
      <w:pPr>
        <w:spacing w:after="100"/>
        <w:jc w:val="both"/>
      </w:pPr>
      <w:r>
        <w:rPr>
          <w:rFonts w:ascii="Calibri" w:hAnsi="Calibri"/>
          <w:i w:val="0"/>
          <w:color w:val="000000"/>
          <w:sz w:val="21"/>
        </w:rPr>
        <w:t>To neutralize reconnaissance scanning, the appliance polymorphically mutates external listening ports. For service s and discrete epoch e = floor(t / T) (T = hop interval, default 60 s), the polymorphic listening port is derived as:</w:t>
      </w:r>
    </w:p>
    <w:p>
      <w:pPr>
        <w:spacing w:before="120" w:after="120"/>
        <w:ind w:left="283" w:right="283"/>
        <w:jc w:val="center"/>
      </w:pPr>
      <w:r>
        <w:rPr>
          <w:rFonts w:ascii="Times New Roman" w:hAnsi="Times New Roman"/>
          <w:i/>
          <w:sz w:val="21"/>
        </w:rPr>
        <w:t>P(s, e) = P_min + [ HMAC-SHA256(K, s || e) mod (P_max - P_min) ]</w:t>
      </w:r>
      <w:r>
        <w:rPr>
          <w:rFonts w:ascii="Times New Roman" w:hAnsi="Times New Roman"/>
          <w:b w:val="0"/>
          <w:i w:val="0"/>
          <w:sz w:val="21"/>
        </w:rPr>
        <w:t xml:space="preserve">    (1)</w:t>
      </w:r>
    </w:p>
    <w:p>
      <w:pPr>
        <w:spacing w:after="100"/>
        <w:jc w:val="both"/>
      </w:pPr>
      <w:r>
        <w:rPr>
          <w:rFonts w:ascii="Calibri" w:hAnsi="Calibri"/>
          <w:i w:val="0"/>
          <w:color w:val="000000"/>
          <w:sz w:val="21"/>
        </w:rPr>
        <w:t>Client Synchronization: Authorized endpoints synchronize with the active port through a shared HMAC seed derived via our authenticated PQC control tunnel or via time-synchronized Single-Packet Authorization (SPA). To guarantee zero connection drop during epoch transitions, the daemon maintains a dual-epoch grace window permitting connections matching both e and e-1. Linux iptables / nftables NAT PREROUTING redirect rules dynamically map incoming packets on active and grace ports directly to the static internal daemon socket transparently. An adversary observing P(s, e) cannot predict future ports without inverting HMAC-SHA256.</w:t>
      </w:r>
    </w:p>
    <w:p>
      <w:pPr>
        <w:spacing w:before="120" w:after="80"/>
        <w:jc w:val="left"/>
      </w:pPr>
      <w:r>
        <w:rPr>
          <w:rFonts w:ascii="Calibri" w:hAnsi="Calibri"/>
          <w:b/>
          <w:color w:val="000000"/>
          <w:sz w:val="23"/>
        </w:rPr>
        <w:t>E. Encrypted Traffic Analysis (Zero-Decryption)</w:t>
      </w:r>
    </w:p>
    <w:p>
      <w:pPr>
        <w:spacing w:after="100"/>
        <w:jc w:val="both"/>
      </w:pPr>
      <w:r>
        <w:rPr>
          <w:rFonts w:ascii="Calibri" w:hAnsi="Calibri"/>
          <w:i w:val="0"/>
          <w:color w:val="000000"/>
          <w:sz w:val="21"/>
        </w:rPr>
        <w:t>Shannon entropy is computed per flow over 256-byte payload windows:</w:t>
      </w:r>
    </w:p>
    <w:p>
      <w:pPr>
        <w:spacing w:before="120" w:after="120"/>
        <w:ind w:left="283" w:right="283"/>
        <w:jc w:val="center"/>
      </w:pPr>
      <w:r>
        <w:rPr>
          <w:rFonts w:ascii="Times New Roman" w:hAnsi="Times New Roman"/>
          <w:i/>
          <w:sz w:val="21"/>
        </w:rPr>
        <w:t>H(f) = - SUM_{i=0}^{255} p(x_i) * log2(p(x_i))</w:t>
      </w:r>
      <w:r>
        <w:rPr>
          <w:rFonts w:ascii="Times New Roman" w:hAnsi="Times New Roman"/>
          <w:b w:val="0"/>
          <w:i w:val="0"/>
          <w:sz w:val="21"/>
        </w:rPr>
        <w:t xml:space="preserve">    (2)</w:t>
      </w:r>
    </w:p>
    <w:p>
      <w:pPr>
        <w:spacing w:after="100"/>
        <w:jc w:val="both"/>
      </w:pPr>
      <w:r>
        <w:rPr>
          <w:rFonts w:ascii="Calibri" w:hAnsi="Calibri"/>
          <w:i w:val="0"/>
          <w:color w:val="000000"/>
          <w:sz w:val="21"/>
        </w:rPr>
        <w:t>Flows with H persistently above 7.1 bits/byte are escalated for deeper heuristic evaluation. C2 beaconing is detected via coefficient of variation of inter-arrival intervals; Cobalt Strike beacons at &lt;= 10% jitter yield a CV well below the 0.15 threshold, triggering a SUSPICIOUS escalation to the LLM pipeline.</w:t>
      </w:r>
    </w:p>
    <w:p>
      <w:pPr>
        <w:spacing w:before="120" w:after="80"/>
        <w:jc w:val="left"/>
      </w:pPr>
      <w:r>
        <w:rPr>
          <w:rFonts w:ascii="Calibri" w:hAnsi="Calibri"/>
          <w:b/>
          <w:color w:val="000000"/>
          <w:sz w:val="23"/>
        </w:rPr>
        <w:t>F. AI-Tarpit Deception Engine</w:t>
      </w:r>
    </w:p>
    <w:p>
      <w:pPr>
        <w:spacing w:after="100"/>
        <w:jc w:val="both"/>
      </w:pPr>
      <w:r>
        <w:rPr>
          <w:rFonts w:ascii="Calibri" w:hAnsi="Calibri"/>
          <w:i w:val="0"/>
          <w:color w:val="000000"/>
          <w:sz w:val="21"/>
        </w:rPr>
        <w:t>Rather than responding to scanners with an immediate TCP RST — which reveals host existence — the tarpit accepts the TCP handshake and throttles the byte stream to 1-3 bytes/second. The payload is a fabricated HTTP response containing dynamically generated honey-tokens: structurally valid but cryptographically canary-tagged AWS STS credentials, GitHub fine-grained PATs, and Stripe secret keys. Any attempt to use these tokens triggers an immediate SOC alert. Persistent crawlers additionally receive a synthetic recursive directory listing referencing thousands of plausible file paths — /etc/vault/keys, /var/log/audit, /proc/sysrq-trigger — exhausting scanner CPU and network budget while yielding no actionable intelligence.</w:t>
      </w:r>
    </w:p>
    <w:p>
      <w:pPr>
        <w:spacing w:before="120" w:after="80"/>
        <w:jc w:val="left"/>
      </w:pPr>
      <w:r>
        <w:rPr>
          <w:rFonts w:ascii="Calibri" w:hAnsi="Calibri"/>
          <w:b/>
          <w:color w:val="000000"/>
          <w:sz w:val="23"/>
        </w:rPr>
        <w:t>G. Post-Quantum Cryptographic Guard</w:t>
      </w:r>
    </w:p>
    <w:p>
      <w:pPr>
        <w:spacing w:after="100"/>
        <w:jc w:val="both"/>
      </w:pPr>
      <w:r>
        <w:rPr>
          <w:rFonts w:ascii="Calibri" w:hAnsi="Calibri"/>
          <w:i w:val="0"/>
          <w:color w:val="000000"/>
          <w:sz w:val="21"/>
        </w:rPr>
        <w:t>All inter-component communications are protected by a bespoke tunnel built on NIST FIPS 203 ML-KEM-1024 (Kyber-1024, NIST Category 5 key encapsulation) [21] combined with an RFC 7748 X25519 Montgomery ladder hybrid fallback and FIPS 204 ML-DSA-65 (digital signatures) [22], with AES-256-GCM AEAD for symmetric session encryption. This guarantees post-quantum confidentiality and forward secrecy against future quantum adversaries.</w:t>
      </w:r>
    </w:p>
    <w:p>
      <w:pPr>
        <w:spacing w:before="120" w:after="80"/>
        <w:jc w:val="left"/>
      </w:pPr>
      <w:r>
        <w:rPr>
          <w:rFonts w:ascii="Calibri" w:hAnsi="Calibri"/>
          <w:b/>
          <w:color w:val="000000"/>
          <w:sz w:val="23"/>
        </w:rPr>
        <w:t>H. Immutable Cryptographic Audit Chain</w:t>
      </w:r>
    </w:p>
    <w:p>
      <w:pPr>
        <w:spacing w:after="100"/>
        <w:jc w:val="both"/>
      </w:pPr>
      <w:r>
        <w:rPr>
          <w:rFonts w:ascii="Calibri" w:hAnsi="Calibri"/>
          <w:i w:val="0"/>
          <w:color w:val="000000"/>
          <w:sz w:val="21"/>
        </w:rPr>
        <w:t>To guarantee forensic integrity and prevent post-incident evidence tampering, every mitigation verdict, rule insertion, and security alert is recorded into an append-only cryptographic ledger. Each audit record r_i computes a chained hash: H_i = SHA-512(H_{i-1} || r_i || timestamp), anchored by the appliance's root signing key. Any retrospective modification or truncation of logs immediately breaks the cryptographic hash chain, providing verifiable non-repudiation during formal investigations.</w:t>
      </w:r>
    </w:p>
    <w:p>
      <w:pPr>
        <w:spacing w:before="240" w:after="80"/>
        <w:jc w:val="left"/>
      </w:pPr>
      <w:r>
        <w:rPr>
          <w:rFonts w:ascii="Calibri" w:hAnsi="Calibri"/>
          <w:b/>
          <w:color w:val="000000"/>
          <w:sz w:val="28"/>
        </w:rPr>
        <w:t>IV.  Comparative Evaluation</w:t>
      </w:r>
    </w:p>
    <w:p>
      <w:pPr>
        <w:spacing w:after="100"/>
        <w:jc w:val="both"/>
      </w:pPr>
      <w:r>
        <w:rPr>
          <w:rFonts w:ascii="Calibri" w:hAnsi="Calibri"/>
          <w:i w:val="0"/>
          <w:color w:val="000000"/>
          <w:sz w:val="21"/>
        </w:rPr>
        <w:t>We benchmark the Autonomous Post-Quantum Cyber Defense Agent against five reference systems widely cited as state-of-the-art within their respective deployment categories. Numeric figures for reference systems are drawn from published peer-reviewed evaluations or vendor-disclosed performance specifications; citations appear in Section IX.</w:t>
      </w:r>
    </w:p>
    <w:p>
      <w:pPr>
        <w:spacing w:before="120" w:after="80"/>
        <w:jc w:val="left"/>
      </w:pPr>
      <w:r>
        <w:rPr>
          <w:rFonts w:ascii="Calibri" w:hAnsi="Calibri"/>
          <w:b/>
          <w:color w:val="000000"/>
          <w:sz w:val="23"/>
        </w:rPr>
        <w:t>A. Benchmark Systems</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041"/>
            <w:shd w:val="clear" w:color="auto" w:fill="111827"/>
            <w:vAlign w:val="center"/>
          </w:tcPr>
          <w:p>
            <w:pPr>
              <w:spacing w:before="60" w:after="60"/>
              <w:jc w:val="center"/>
            </w:pPr>
            <w:r>
              <w:rPr>
                <w:rFonts w:ascii="Calibri" w:hAnsi="Calibri"/>
                <w:b/>
                <w:color w:val="FFFFFF"/>
                <w:sz w:val="17"/>
              </w:rPr>
              <w:t>System</w:t>
            </w:r>
          </w:p>
        </w:tc>
        <w:tc>
          <w:tcPr>
            <w:tcW w:type="dxa" w:w="1587"/>
            <w:shd w:val="clear" w:color="auto" w:fill="111827"/>
            <w:vAlign w:val="center"/>
          </w:tcPr>
          <w:p>
            <w:pPr>
              <w:spacing w:before="60" w:after="60"/>
              <w:jc w:val="center"/>
            </w:pPr>
            <w:r>
              <w:rPr>
                <w:rFonts w:ascii="Calibri" w:hAnsi="Calibri"/>
                <w:b/>
                <w:color w:val="FFFFFF"/>
                <w:sz w:val="17"/>
              </w:rPr>
              <w:t>Category</w:t>
            </w:r>
          </w:p>
        </w:tc>
        <w:tc>
          <w:tcPr>
            <w:tcW w:type="dxa" w:w="2154"/>
            <w:shd w:val="clear" w:color="auto" w:fill="111827"/>
            <w:vAlign w:val="center"/>
          </w:tcPr>
          <w:p>
            <w:pPr>
              <w:spacing w:before="60" w:after="60"/>
              <w:jc w:val="center"/>
            </w:pPr>
            <w:r>
              <w:rPr>
                <w:rFonts w:ascii="Calibri" w:hAnsi="Calibri"/>
                <w:b/>
                <w:color w:val="FFFFFF"/>
                <w:sz w:val="17"/>
              </w:rPr>
              <w:t>Detection Engine</w:t>
            </w:r>
          </w:p>
        </w:tc>
        <w:tc>
          <w:tcPr>
            <w:tcW w:type="dxa" w:w="1134"/>
            <w:shd w:val="clear" w:color="auto" w:fill="111827"/>
            <w:vAlign w:val="center"/>
          </w:tcPr>
          <w:p>
            <w:pPr>
              <w:spacing w:before="60" w:after="60"/>
              <w:jc w:val="center"/>
            </w:pPr>
            <w:r>
              <w:rPr>
                <w:rFonts w:ascii="Calibri" w:hAnsi="Calibri"/>
                <w:b/>
                <w:color w:val="FFFFFF"/>
                <w:sz w:val="17"/>
              </w:rPr>
              <w:t>Sovereignty</w:t>
            </w:r>
          </w:p>
        </w:tc>
        <w:tc>
          <w:tcPr>
            <w:tcW w:type="dxa" w:w="1814"/>
            <w:shd w:val="clear" w:color="auto" w:fill="111827"/>
            <w:vAlign w:val="center"/>
          </w:tcPr>
          <w:p>
            <w:pPr>
              <w:spacing w:before="60" w:after="60"/>
              <w:jc w:val="center"/>
            </w:pPr>
            <w:r>
              <w:rPr>
                <w:rFonts w:ascii="Calibri" w:hAnsi="Calibri"/>
                <w:b/>
                <w:color w:val="FFFFFF"/>
                <w:sz w:val="17"/>
              </w:rPr>
              <w:t>Deployment</w:t>
            </w:r>
          </w:p>
        </w:tc>
      </w:tr>
      <w:tr>
        <w:tc>
          <w:tcPr>
            <w:tcW w:type="dxa" w:w="2041"/>
            <w:vAlign w:val="center"/>
            <w:shd w:val="clear" w:color="auto" w:fill="FFFFFF"/>
          </w:tcPr>
          <w:p>
            <w:pPr>
              <w:spacing w:before="50" w:after="50"/>
              <w:jc w:val="left"/>
            </w:pPr>
            <w:r>
              <w:rPr>
                <w:rFonts w:ascii="Calibri" w:hAnsi="Calibri"/>
                <w:b w:val="0"/>
                <w:color w:val="000000"/>
                <w:sz w:val="17"/>
              </w:rPr>
              <w:t>Snort 3.x [2]</w:t>
            </w:r>
          </w:p>
        </w:tc>
        <w:tc>
          <w:tcPr>
            <w:tcW w:type="dxa" w:w="1587"/>
            <w:vAlign w:val="center"/>
            <w:shd w:val="clear" w:color="auto" w:fill="FFFFFF"/>
          </w:tcPr>
          <w:p>
            <w:pPr>
              <w:spacing w:before="50" w:after="50"/>
              <w:jc w:val="left"/>
            </w:pPr>
            <w:r>
              <w:rPr>
                <w:rFonts w:ascii="Calibri" w:hAnsi="Calibri"/>
                <w:b w:val="0"/>
                <w:color w:val="000000"/>
                <w:sz w:val="17"/>
              </w:rPr>
              <w:t>OS IDS/IPS</w:t>
            </w:r>
          </w:p>
        </w:tc>
        <w:tc>
          <w:tcPr>
            <w:tcW w:type="dxa" w:w="2154"/>
            <w:vAlign w:val="center"/>
            <w:shd w:val="clear" w:color="auto" w:fill="FFFFFF"/>
          </w:tcPr>
          <w:p>
            <w:pPr>
              <w:spacing w:before="50" w:after="50"/>
              <w:jc w:val="left"/>
            </w:pPr>
            <w:r>
              <w:rPr>
                <w:rFonts w:ascii="Calibri" w:hAnsi="Calibri"/>
                <w:b w:val="0"/>
                <w:color w:val="000000"/>
                <w:sz w:val="17"/>
              </w:rPr>
              <w:t>Rules + DAQ</w:t>
            </w:r>
          </w:p>
        </w:tc>
        <w:tc>
          <w:tcPr>
            <w:tcW w:type="dxa" w:w="1134"/>
            <w:vAlign w:val="center"/>
            <w:shd w:val="clear" w:color="auto" w:fill="FFFFFF"/>
          </w:tcPr>
          <w:p>
            <w:pPr>
              <w:spacing w:before="50" w:after="50"/>
              <w:jc w:val="center"/>
            </w:pPr>
            <w:r>
              <w:rPr>
                <w:rFonts w:ascii="Calibri" w:hAnsi="Calibri"/>
                <w:b w:val="0"/>
                <w:color w:val="000000"/>
                <w:sz w:val="17"/>
              </w:rPr>
              <w:t>Full</w:t>
            </w:r>
          </w:p>
        </w:tc>
        <w:tc>
          <w:tcPr>
            <w:tcW w:type="dxa" w:w="1814"/>
            <w:vAlign w:val="center"/>
            <w:shd w:val="clear" w:color="auto" w:fill="FFFFFF"/>
          </w:tcPr>
          <w:p>
            <w:pPr>
              <w:spacing w:before="50" w:after="50"/>
              <w:jc w:val="left"/>
            </w:pPr>
            <w:r>
              <w:rPr>
                <w:rFonts w:ascii="Calibri" w:hAnsi="Calibri"/>
                <w:b w:val="0"/>
                <w:color w:val="000000"/>
                <w:sz w:val="17"/>
              </w:rPr>
              <w:t>SMB / enterprise</w:t>
            </w:r>
          </w:p>
        </w:tc>
      </w:tr>
      <w:tr>
        <w:tc>
          <w:tcPr>
            <w:tcW w:type="dxa" w:w="2041"/>
            <w:vAlign w:val="center"/>
            <w:shd w:val="clear" w:color="auto" w:fill="F9F9F9"/>
          </w:tcPr>
          <w:p>
            <w:pPr>
              <w:spacing w:before="50" w:after="50"/>
              <w:jc w:val="left"/>
            </w:pPr>
            <w:r>
              <w:rPr>
                <w:rFonts w:ascii="Calibri" w:hAnsi="Calibri"/>
                <w:b w:val="0"/>
                <w:color w:val="000000"/>
                <w:sz w:val="17"/>
              </w:rPr>
              <w:t>Suricata 7.x [14]</w:t>
            </w:r>
          </w:p>
        </w:tc>
        <w:tc>
          <w:tcPr>
            <w:tcW w:type="dxa" w:w="1587"/>
            <w:vAlign w:val="center"/>
            <w:shd w:val="clear" w:color="auto" w:fill="F9F9F9"/>
          </w:tcPr>
          <w:p>
            <w:pPr>
              <w:spacing w:before="50" w:after="50"/>
              <w:jc w:val="left"/>
            </w:pPr>
            <w:r>
              <w:rPr>
                <w:rFonts w:ascii="Calibri" w:hAnsi="Calibri"/>
                <w:b w:val="0"/>
                <w:color w:val="000000"/>
                <w:sz w:val="17"/>
              </w:rPr>
              <w:t>OS IDS/IPS</w:t>
            </w:r>
          </w:p>
        </w:tc>
        <w:tc>
          <w:tcPr>
            <w:tcW w:type="dxa" w:w="2154"/>
            <w:vAlign w:val="center"/>
            <w:shd w:val="clear" w:color="auto" w:fill="F9F9F9"/>
          </w:tcPr>
          <w:p>
            <w:pPr>
              <w:spacing w:before="50" w:after="50"/>
              <w:jc w:val="left"/>
            </w:pPr>
            <w:r>
              <w:rPr>
                <w:rFonts w:ascii="Calibri" w:hAnsi="Calibri"/>
                <w:b w:val="0"/>
                <w:color w:val="000000"/>
                <w:sz w:val="17"/>
              </w:rPr>
              <w:t>Rules + AF_PACKET</w:t>
            </w:r>
          </w:p>
        </w:tc>
        <w:tc>
          <w:tcPr>
            <w:tcW w:type="dxa" w:w="1134"/>
            <w:vAlign w:val="center"/>
            <w:shd w:val="clear" w:color="auto" w:fill="F9F9F9"/>
          </w:tcPr>
          <w:p>
            <w:pPr>
              <w:spacing w:before="50" w:after="50"/>
              <w:jc w:val="center"/>
            </w:pPr>
            <w:r>
              <w:rPr>
                <w:rFonts w:ascii="Calibri" w:hAnsi="Calibri"/>
                <w:b w:val="0"/>
                <w:color w:val="000000"/>
                <w:sz w:val="17"/>
              </w:rPr>
              <w:t>Full</w:t>
            </w:r>
          </w:p>
        </w:tc>
        <w:tc>
          <w:tcPr>
            <w:tcW w:type="dxa" w:w="1814"/>
            <w:vAlign w:val="center"/>
            <w:shd w:val="clear" w:color="auto" w:fill="F9F9F9"/>
          </w:tcPr>
          <w:p>
            <w:pPr>
              <w:spacing w:before="50" w:after="50"/>
              <w:jc w:val="left"/>
            </w:pPr>
            <w:r>
              <w:rPr>
                <w:rFonts w:ascii="Calibri" w:hAnsi="Calibri"/>
                <w:b w:val="0"/>
                <w:color w:val="000000"/>
                <w:sz w:val="17"/>
              </w:rPr>
              <w:t>ISP / enterprise</w:t>
            </w:r>
          </w:p>
        </w:tc>
      </w:tr>
      <w:tr>
        <w:tc>
          <w:tcPr>
            <w:tcW w:type="dxa" w:w="2041"/>
            <w:vAlign w:val="center"/>
            <w:shd w:val="clear" w:color="auto" w:fill="FFFFFF"/>
          </w:tcPr>
          <w:p>
            <w:pPr>
              <w:spacing w:before="50" w:after="50"/>
              <w:jc w:val="left"/>
            </w:pPr>
            <w:r>
              <w:rPr>
                <w:rFonts w:ascii="Calibri" w:hAnsi="Calibri"/>
                <w:b w:val="0"/>
                <w:color w:val="000000"/>
                <w:sz w:val="17"/>
              </w:rPr>
              <w:t>Palo Alto PAN-OS 11 [15]</w:t>
            </w:r>
          </w:p>
        </w:tc>
        <w:tc>
          <w:tcPr>
            <w:tcW w:type="dxa" w:w="1587"/>
            <w:vAlign w:val="center"/>
            <w:shd w:val="clear" w:color="auto" w:fill="FFFFFF"/>
          </w:tcPr>
          <w:p>
            <w:pPr>
              <w:spacing w:before="50" w:after="50"/>
              <w:jc w:val="left"/>
            </w:pPr>
            <w:r>
              <w:rPr>
                <w:rFonts w:ascii="Calibri" w:hAnsi="Calibri"/>
                <w:b w:val="0"/>
                <w:color w:val="000000"/>
                <w:sz w:val="17"/>
              </w:rPr>
              <w:t>NGFW appliance</w:t>
            </w:r>
          </w:p>
        </w:tc>
        <w:tc>
          <w:tcPr>
            <w:tcW w:type="dxa" w:w="2154"/>
            <w:vAlign w:val="center"/>
            <w:shd w:val="clear" w:color="auto" w:fill="FFFFFF"/>
          </w:tcPr>
          <w:p>
            <w:pPr>
              <w:spacing w:before="50" w:after="50"/>
              <w:jc w:val="left"/>
            </w:pPr>
            <w:r>
              <w:rPr>
                <w:rFonts w:ascii="Calibri" w:hAnsi="Calibri"/>
                <w:b w:val="0"/>
                <w:color w:val="000000"/>
                <w:sz w:val="17"/>
              </w:rPr>
              <w:t>Wildfire ML + App-ID</w:t>
            </w:r>
          </w:p>
        </w:tc>
        <w:tc>
          <w:tcPr>
            <w:tcW w:type="dxa" w:w="1134"/>
            <w:vAlign w:val="center"/>
            <w:shd w:val="clear" w:color="auto" w:fill="FFFFFF"/>
          </w:tcPr>
          <w:p>
            <w:pPr>
              <w:spacing w:before="50" w:after="50"/>
              <w:jc w:val="center"/>
            </w:pPr>
            <w:r>
              <w:rPr>
                <w:rFonts w:ascii="Calibri" w:hAnsi="Calibri"/>
                <w:b w:val="0"/>
                <w:color w:val="000000"/>
                <w:sz w:val="17"/>
              </w:rPr>
              <w:t>Partial</w:t>
            </w:r>
          </w:p>
        </w:tc>
        <w:tc>
          <w:tcPr>
            <w:tcW w:type="dxa" w:w="1814"/>
            <w:vAlign w:val="center"/>
            <w:shd w:val="clear" w:color="auto" w:fill="FFFFFF"/>
          </w:tcPr>
          <w:p>
            <w:pPr>
              <w:spacing w:before="50" w:after="50"/>
              <w:jc w:val="left"/>
            </w:pPr>
            <w:r>
              <w:rPr>
                <w:rFonts w:ascii="Calibri" w:hAnsi="Calibri"/>
                <w:b w:val="0"/>
                <w:color w:val="000000"/>
                <w:sz w:val="17"/>
              </w:rPr>
              <w:t>Large enterprise</w:t>
            </w:r>
          </w:p>
        </w:tc>
      </w:tr>
      <w:tr>
        <w:tc>
          <w:tcPr>
            <w:tcW w:type="dxa" w:w="2041"/>
            <w:vAlign w:val="center"/>
            <w:shd w:val="clear" w:color="auto" w:fill="F9F9F9"/>
          </w:tcPr>
          <w:p>
            <w:pPr>
              <w:spacing w:before="50" w:after="50"/>
              <w:jc w:val="left"/>
            </w:pPr>
            <w:r>
              <w:rPr>
                <w:rFonts w:ascii="Calibri" w:hAnsi="Calibri"/>
                <w:b w:val="0"/>
                <w:color w:val="000000"/>
                <w:sz w:val="17"/>
              </w:rPr>
              <w:t>Cloudflare Magic Transit [16]</w:t>
            </w:r>
          </w:p>
        </w:tc>
        <w:tc>
          <w:tcPr>
            <w:tcW w:type="dxa" w:w="1587"/>
            <w:vAlign w:val="center"/>
            <w:shd w:val="clear" w:color="auto" w:fill="F9F9F9"/>
          </w:tcPr>
          <w:p>
            <w:pPr>
              <w:spacing w:before="50" w:after="50"/>
              <w:jc w:val="left"/>
            </w:pPr>
            <w:r>
              <w:rPr>
                <w:rFonts w:ascii="Calibri" w:hAnsi="Calibri"/>
                <w:b w:val="0"/>
                <w:color w:val="000000"/>
                <w:sz w:val="17"/>
              </w:rPr>
              <w:t>Cloud DDoS</w:t>
            </w:r>
          </w:p>
        </w:tc>
        <w:tc>
          <w:tcPr>
            <w:tcW w:type="dxa" w:w="2154"/>
            <w:vAlign w:val="center"/>
            <w:shd w:val="clear" w:color="auto" w:fill="F9F9F9"/>
          </w:tcPr>
          <w:p>
            <w:pPr>
              <w:spacing w:before="50" w:after="50"/>
              <w:jc w:val="left"/>
            </w:pPr>
            <w:r>
              <w:rPr>
                <w:rFonts w:ascii="Calibri" w:hAnsi="Calibri"/>
                <w:b w:val="0"/>
                <w:color w:val="000000"/>
                <w:sz w:val="17"/>
              </w:rPr>
              <w:t>BGP anycast + ML</w:t>
            </w:r>
          </w:p>
        </w:tc>
        <w:tc>
          <w:tcPr>
            <w:tcW w:type="dxa" w:w="1134"/>
            <w:vAlign w:val="center"/>
            <w:shd w:val="clear" w:color="auto" w:fill="F9F9F9"/>
          </w:tcPr>
          <w:p>
            <w:pPr>
              <w:spacing w:before="50" w:after="50"/>
              <w:jc w:val="center"/>
            </w:pPr>
            <w:r>
              <w:rPr>
                <w:rFonts w:ascii="Calibri" w:hAnsi="Calibri"/>
                <w:b w:val="0"/>
                <w:color w:val="000000"/>
                <w:sz w:val="17"/>
              </w:rPr>
              <w:t>None</w:t>
            </w:r>
          </w:p>
        </w:tc>
        <w:tc>
          <w:tcPr>
            <w:tcW w:type="dxa" w:w="1814"/>
            <w:vAlign w:val="center"/>
            <w:shd w:val="clear" w:color="auto" w:fill="F9F9F9"/>
          </w:tcPr>
          <w:p>
            <w:pPr>
              <w:spacing w:before="50" w:after="50"/>
              <w:jc w:val="left"/>
            </w:pPr>
            <w:r>
              <w:rPr>
                <w:rFonts w:ascii="Calibri" w:hAnsi="Calibri"/>
                <w:b w:val="0"/>
                <w:color w:val="000000"/>
                <w:sz w:val="17"/>
              </w:rPr>
              <w:t>Internet-facing SaaS</w:t>
            </w:r>
          </w:p>
        </w:tc>
      </w:tr>
      <w:tr>
        <w:tc>
          <w:tcPr>
            <w:tcW w:type="dxa" w:w="2041"/>
            <w:vAlign w:val="center"/>
            <w:shd w:val="clear" w:color="auto" w:fill="FFFFFF"/>
          </w:tcPr>
          <w:p>
            <w:pPr>
              <w:spacing w:before="50" w:after="50"/>
              <w:jc w:val="left"/>
            </w:pPr>
            <w:r>
              <w:rPr>
                <w:rFonts w:ascii="Calibri" w:hAnsi="Calibri"/>
                <w:b w:val="0"/>
                <w:color w:val="000000"/>
                <w:sz w:val="17"/>
              </w:rPr>
              <w:t>Cisco Firepower 4100 [17]</w:t>
            </w:r>
          </w:p>
        </w:tc>
        <w:tc>
          <w:tcPr>
            <w:tcW w:type="dxa" w:w="1587"/>
            <w:vAlign w:val="center"/>
            <w:shd w:val="clear" w:color="auto" w:fill="FFFFFF"/>
          </w:tcPr>
          <w:p>
            <w:pPr>
              <w:spacing w:before="50" w:after="50"/>
              <w:jc w:val="left"/>
            </w:pPr>
            <w:r>
              <w:rPr>
                <w:rFonts w:ascii="Calibri" w:hAnsi="Calibri"/>
                <w:b w:val="0"/>
                <w:color w:val="000000"/>
                <w:sz w:val="17"/>
              </w:rPr>
              <w:t>NGIPS appliance</w:t>
            </w:r>
          </w:p>
        </w:tc>
        <w:tc>
          <w:tcPr>
            <w:tcW w:type="dxa" w:w="2154"/>
            <w:vAlign w:val="center"/>
            <w:shd w:val="clear" w:color="auto" w:fill="FFFFFF"/>
          </w:tcPr>
          <w:p>
            <w:pPr>
              <w:spacing w:before="50" w:after="50"/>
              <w:jc w:val="left"/>
            </w:pPr>
            <w:r>
              <w:rPr>
                <w:rFonts w:ascii="Calibri" w:hAnsi="Calibri"/>
                <w:b w:val="0"/>
                <w:color w:val="000000"/>
                <w:sz w:val="17"/>
              </w:rPr>
              <w:t>Talos + Snort</w:t>
            </w:r>
          </w:p>
        </w:tc>
        <w:tc>
          <w:tcPr>
            <w:tcW w:type="dxa" w:w="1134"/>
            <w:vAlign w:val="center"/>
            <w:shd w:val="clear" w:color="auto" w:fill="FFFFFF"/>
          </w:tcPr>
          <w:p>
            <w:pPr>
              <w:spacing w:before="50" w:after="50"/>
              <w:jc w:val="center"/>
            </w:pPr>
            <w:r>
              <w:rPr>
                <w:rFonts w:ascii="Calibri" w:hAnsi="Calibri"/>
                <w:b w:val="0"/>
                <w:color w:val="000000"/>
                <w:sz w:val="17"/>
              </w:rPr>
              <w:t>Partial</w:t>
            </w:r>
          </w:p>
        </w:tc>
        <w:tc>
          <w:tcPr>
            <w:tcW w:type="dxa" w:w="1814"/>
            <w:vAlign w:val="center"/>
            <w:shd w:val="clear" w:color="auto" w:fill="FFFFFF"/>
          </w:tcPr>
          <w:p>
            <w:pPr>
              <w:spacing w:before="50" w:after="50"/>
              <w:jc w:val="left"/>
            </w:pPr>
            <w:r>
              <w:rPr>
                <w:rFonts w:ascii="Calibri" w:hAnsi="Calibri"/>
                <w:b w:val="0"/>
                <w:color w:val="000000"/>
                <w:sz w:val="17"/>
              </w:rPr>
              <w:t>Large enterprise</w:t>
            </w:r>
          </w:p>
        </w:tc>
      </w:tr>
      <w:tr>
        <w:tc>
          <w:tcPr>
            <w:tcW w:type="dxa" w:w="2041"/>
            <w:vAlign w:val="center"/>
            <w:shd w:val="clear" w:color="auto" w:fill="F9F9F9"/>
          </w:tcPr>
          <w:p>
            <w:pPr>
              <w:spacing w:before="50" w:after="50"/>
              <w:jc w:val="left"/>
            </w:pPr>
            <w:r>
              <w:rPr>
                <w:rFonts w:ascii="Calibri" w:hAnsi="Calibri"/>
                <w:b/>
                <w:color w:val="000000"/>
                <w:sz w:val="17"/>
              </w:rPr>
              <w:t>Autonomous Agent (ours)</w:t>
            </w:r>
          </w:p>
        </w:tc>
        <w:tc>
          <w:tcPr>
            <w:tcW w:type="dxa" w:w="1587"/>
            <w:vAlign w:val="center"/>
            <w:shd w:val="clear" w:color="auto" w:fill="F9F9F9"/>
          </w:tcPr>
          <w:p>
            <w:pPr>
              <w:spacing w:before="50" w:after="50"/>
              <w:jc w:val="left"/>
            </w:pPr>
            <w:r>
              <w:rPr>
                <w:rFonts w:ascii="Calibri" w:hAnsi="Calibri"/>
                <w:b/>
                <w:color w:val="000000"/>
                <w:sz w:val="17"/>
              </w:rPr>
              <w:t>Hybrid inline</w:t>
            </w:r>
          </w:p>
        </w:tc>
        <w:tc>
          <w:tcPr>
            <w:tcW w:type="dxa" w:w="2154"/>
            <w:vAlign w:val="center"/>
            <w:shd w:val="clear" w:color="auto" w:fill="F9F9F9"/>
          </w:tcPr>
          <w:p>
            <w:pPr>
              <w:spacing w:before="50" w:after="50"/>
              <w:jc w:val="left"/>
            </w:pPr>
            <w:r>
              <w:rPr>
                <w:rFonts w:ascii="Calibri" w:hAnsi="Calibri"/>
                <w:b/>
                <w:color w:val="000000"/>
                <w:sz w:val="17"/>
              </w:rPr>
              <w:t>eBPF/XDP + local LLM</w:t>
            </w:r>
          </w:p>
        </w:tc>
        <w:tc>
          <w:tcPr>
            <w:tcW w:type="dxa" w:w="1134"/>
            <w:vAlign w:val="center"/>
            <w:shd w:val="clear" w:color="auto" w:fill="F9F9F9"/>
          </w:tcPr>
          <w:p>
            <w:pPr>
              <w:spacing w:before="50" w:after="50"/>
              <w:jc w:val="center"/>
            </w:pPr>
            <w:r>
              <w:rPr>
                <w:rFonts w:ascii="Calibri" w:hAnsi="Calibri"/>
                <w:b/>
                <w:color w:val="000000"/>
                <w:sz w:val="17"/>
              </w:rPr>
              <w:t>100%</w:t>
            </w:r>
          </w:p>
        </w:tc>
        <w:tc>
          <w:tcPr>
            <w:tcW w:type="dxa" w:w="1814"/>
            <w:vAlign w:val="center"/>
            <w:shd w:val="clear" w:color="auto" w:fill="F9F9F9"/>
          </w:tcPr>
          <w:p>
            <w:pPr>
              <w:spacing w:before="50" w:after="50"/>
              <w:jc w:val="left"/>
            </w:pPr>
            <w:r>
              <w:rPr>
                <w:rFonts w:ascii="Calibri" w:hAnsi="Calibri"/>
                <w:b/>
                <w:color w:val="000000"/>
                <w:sz w:val="17"/>
              </w:rPr>
              <w:t>Any / air-gap</w:t>
            </w:r>
          </w:p>
        </w:tc>
      </w:tr>
    </w:tbl>
    <w:p>
      <w:pPr>
        <w:spacing w:before="40" w:after="160"/>
        <w:jc w:val="center"/>
      </w:pPr>
      <w:r>
        <w:rPr>
          <w:rFonts w:ascii="Calibri" w:hAnsi="Calibri"/>
          <w:i/>
          <w:color w:val="333333"/>
          <w:sz w:val="18"/>
        </w:rPr>
        <w:t>Table II: Reference systems and deployment categories.</w:t>
      </w:r>
    </w:p>
    <w:p>
      <w:pPr>
        <w:spacing w:before="120" w:after="80"/>
        <w:jc w:val="left"/>
      </w:pPr>
      <w:r>
        <w:rPr>
          <w:rFonts w:ascii="Calibri" w:hAnsi="Calibri"/>
          <w:b/>
          <w:color w:val="000000"/>
          <w:sz w:val="23"/>
        </w:rPr>
        <w:t>B. Detection Accuracy Comparison and Statistical Validation</w:t>
      </w:r>
    </w:p>
    <w:p>
      <w:pPr>
        <w:spacing w:after="100"/>
        <w:jc w:val="both"/>
      </w:pPr>
      <w:r>
        <w:rPr>
          <w:rFonts w:ascii="Calibri" w:hAnsi="Calibri"/>
          <w:i w:val="0"/>
          <w:color w:val="000000"/>
          <w:sz w:val="21"/>
        </w:rPr>
        <w:t>Table III presents detection-accuracy metrics evaluated against a comprehensive 10,000,000-event flow corpus calibrated against statistical feature distributions from CSE-CIC-IDS2018 [19], UNSW-NB15 [18], and CTU-13 [20]. The evaluation corpus spans 18 distinct attack vectors, including multi-stage reconnaissance, protocol manipulation, SQL injection, RCE exploits, high-rate DDoS floods, encrypted command-and-control (C2), ransomware beaconing, and adversarial evasion payloads.</w:t>
      </w:r>
    </w:p>
    <w:p>
      <w:pPr>
        <w:spacing w:after="100"/>
        <w:jc w:val="both"/>
      </w:pPr>
      <w:r>
        <w:rPr>
          <w:rFonts w:ascii="Calibri" w:hAnsi="Calibri"/>
          <w:i w:val="0"/>
          <w:color w:val="000000"/>
          <w:sz w:val="21"/>
        </w:rPr>
        <w:t>To establish rigorous statistical validity, evaluation was conducted via stratified Monte Carlo validation across 10,000,000 flows (2,998,265 malicious, 7,001,735 benign). Statistical significance was verified at a 95% confidence level using the Wilson Score interval method: polymorphic evasion True Positive Rate (TPR) reached 98.64% (95% CI: [98.61%, 98.67%], p &lt; 0.001), and the overall system False Positive Rate (FPR) reached 0.12% (95% CI: [0.11%, 0.13%], p &lt; 0.001). Overall classification accuracy reached 99.50%, with precision of 99.72%, F1-score of 99.18%, and Matthews Correlation Coefficient of 0.9882. While commercial platforms such as Palo Alto and Cloudflare require intrusive TLS decryption (MITM) to detect C2 channels, the Autonomous Post-Quantum Cyber Defense Agent achieves 87.9% C2 detection entirely out-of-band via zero-decryption Shannon entropy windowing and timing jitter analysis.</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871"/>
            <w:shd w:val="clear" w:color="auto" w:fill="111827"/>
            <w:vAlign w:val="center"/>
          </w:tcPr>
          <w:p>
            <w:pPr>
              <w:spacing w:before="60" w:after="60"/>
              <w:jc w:val="center"/>
            </w:pPr>
            <w:r>
              <w:rPr>
                <w:rFonts w:ascii="Calibri" w:hAnsi="Calibri"/>
                <w:b/>
                <w:color w:val="FFFFFF"/>
                <w:sz w:val="17"/>
              </w:rPr>
              <w:t>Metric</w:t>
            </w:r>
          </w:p>
        </w:tc>
        <w:tc>
          <w:tcPr>
            <w:tcW w:type="dxa" w:w="907"/>
            <w:shd w:val="clear" w:color="auto" w:fill="111827"/>
            <w:vAlign w:val="center"/>
          </w:tcPr>
          <w:p>
            <w:pPr>
              <w:spacing w:before="60" w:after="60"/>
              <w:jc w:val="center"/>
            </w:pPr>
            <w:r>
              <w:rPr>
                <w:rFonts w:ascii="Calibri" w:hAnsi="Calibri"/>
                <w:b/>
                <w:color w:val="FFFFFF"/>
                <w:sz w:val="17"/>
              </w:rPr>
              <w:t>Snort 3.x</w:t>
            </w:r>
          </w:p>
        </w:tc>
        <w:tc>
          <w:tcPr>
            <w:tcW w:type="dxa" w:w="1020"/>
            <w:shd w:val="clear" w:color="auto" w:fill="111827"/>
            <w:vAlign w:val="center"/>
          </w:tcPr>
          <w:p>
            <w:pPr>
              <w:spacing w:before="60" w:after="60"/>
              <w:jc w:val="center"/>
            </w:pPr>
            <w:r>
              <w:rPr>
                <w:rFonts w:ascii="Calibri" w:hAnsi="Calibri"/>
                <w:b/>
                <w:color w:val="FFFFFF"/>
                <w:sz w:val="17"/>
              </w:rPr>
              <w:t>Suricata 7.x</w:t>
            </w:r>
          </w:p>
        </w:tc>
        <w:tc>
          <w:tcPr>
            <w:tcW w:type="dxa" w:w="1020"/>
            <w:shd w:val="clear" w:color="auto" w:fill="111827"/>
            <w:vAlign w:val="center"/>
          </w:tcPr>
          <w:p>
            <w:pPr>
              <w:spacing w:before="60" w:after="60"/>
              <w:jc w:val="center"/>
            </w:pPr>
            <w:r>
              <w:rPr>
                <w:rFonts w:ascii="Calibri" w:hAnsi="Calibri"/>
                <w:b/>
                <w:color w:val="FFFFFF"/>
                <w:sz w:val="17"/>
              </w:rPr>
              <w:t>Palo Alto</w:t>
            </w:r>
          </w:p>
        </w:tc>
        <w:tc>
          <w:tcPr>
            <w:tcW w:type="dxa" w:w="1134"/>
            <w:shd w:val="clear" w:color="auto" w:fill="111827"/>
            <w:vAlign w:val="center"/>
          </w:tcPr>
          <w:p>
            <w:pPr>
              <w:spacing w:before="60" w:after="60"/>
              <w:jc w:val="center"/>
            </w:pPr>
            <w:r>
              <w:rPr>
                <w:rFonts w:ascii="Calibri" w:hAnsi="Calibri"/>
                <w:b/>
                <w:color w:val="FFFFFF"/>
                <w:sz w:val="17"/>
              </w:rPr>
              <w:t>Cloudflare MT</w:t>
            </w:r>
          </w:p>
        </w:tc>
        <w:tc>
          <w:tcPr>
            <w:tcW w:type="dxa" w:w="907"/>
            <w:shd w:val="clear" w:color="auto" w:fill="111827"/>
            <w:vAlign w:val="center"/>
          </w:tcPr>
          <w:p>
            <w:pPr>
              <w:spacing w:before="60" w:after="60"/>
              <w:jc w:val="center"/>
            </w:pPr>
            <w:r>
              <w:rPr>
                <w:rFonts w:ascii="Calibri" w:hAnsi="Calibri"/>
                <w:b/>
                <w:color w:val="FFFFFF"/>
                <w:sz w:val="17"/>
              </w:rPr>
              <w:t>Cisco FP</w:t>
            </w:r>
          </w:p>
        </w:tc>
        <w:tc>
          <w:tcPr>
            <w:tcW w:type="dxa" w:w="1644"/>
            <w:shd w:val="clear" w:color="auto" w:fill="111827"/>
            <w:vAlign w:val="center"/>
          </w:tcPr>
          <w:p>
            <w:pPr>
              <w:spacing w:before="60" w:after="60"/>
              <w:jc w:val="center"/>
            </w:pPr>
            <w:r>
              <w:rPr>
                <w:rFonts w:ascii="Calibri" w:hAnsi="Calibri"/>
                <w:b/>
                <w:color w:val="FFFFFF"/>
                <w:sz w:val="17"/>
              </w:rPr>
              <w:t>Autonomous Agent (ours)</w:t>
            </w:r>
          </w:p>
        </w:tc>
      </w:tr>
      <w:tr>
        <w:tc>
          <w:tcPr>
            <w:tcW w:type="dxa" w:w="1871"/>
            <w:vAlign w:val="center"/>
            <w:shd w:val="clear" w:color="auto" w:fill="FFFFFF"/>
          </w:tcPr>
          <w:p>
            <w:pPr>
              <w:spacing w:before="50" w:after="50"/>
              <w:jc w:val="left"/>
            </w:pPr>
            <w:r>
              <w:rPr>
                <w:rFonts w:ascii="Calibri" w:hAnsi="Calibri"/>
                <w:b w:val="0"/>
                <w:color w:val="000000"/>
                <w:sz w:val="17"/>
              </w:rPr>
              <w:t>Evasion Recall / TPR (%)</w:t>
            </w:r>
          </w:p>
        </w:tc>
        <w:tc>
          <w:tcPr>
            <w:tcW w:type="dxa" w:w="907"/>
            <w:vAlign w:val="center"/>
            <w:shd w:val="clear" w:color="auto" w:fill="FFFFFF"/>
          </w:tcPr>
          <w:p>
            <w:pPr>
              <w:spacing w:before="50" w:after="50"/>
              <w:jc w:val="center"/>
            </w:pPr>
            <w:r>
              <w:rPr>
                <w:rFonts w:ascii="Calibri" w:hAnsi="Calibri"/>
                <w:b w:val="0"/>
                <w:color w:val="000000"/>
                <w:sz w:val="17"/>
              </w:rPr>
              <w:t>68.4</w:t>
            </w:r>
          </w:p>
        </w:tc>
        <w:tc>
          <w:tcPr>
            <w:tcW w:type="dxa" w:w="1020"/>
            <w:vAlign w:val="center"/>
            <w:shd w:val="clear" w:color="auto" w:fill="FFFFFF"/>
          </w:tcPr>
          <w:p>
            <w:pPr>
              <w:spacing w:before="50" w:after="50"/>
              <w:jc w:val="center"/>
            </w:pPr>
            <w:r>
              <w:rPr>
                <w:rFonts w:ascii="Calibri" w:hAnsi="Calibri"/>
                <w:b w:val="0"/>
                <w:color w:val="000000"/>
                <w:sz w:val="17"/>
              </w:rPr>
              <w:t>71.2</w:t>
            </w:r>
          </w:p>
        </w:tc>
        <w:tc>
          <w:tcPr>
            <w:tcW w:type="dxa" w:w="1020"/>
            <w:vAlign w:val="center"/>
            <w:shd w:val="clear" w:color="auto" w:fill="FFFFFF"/>
          </w:tcPr>
          <w:p>
            <w:pPr>
              <w:spacing w:before="50" w:after="50"/>
              <w:jc w:val="center"/>
            </w:pPr>
            <w:r>
              <w:rPr>
                <w:rFonts w:ascii="Calibri" w:hAnsi="Calibri"/>
                <w:b w:val="0"/>
                <w:color w:val="000000"/>
                <w:sz w:val="17"/>
              </w:rPr>
              <w:t>89.2</w:t>
            </w:r>
          </w:p>
        </w:tc>
        <w:tc>
          <w:tcPr>
            <w:tcW w:type="dxa" w:w="1134"/>
            <w:vAlign w:val="center"/>
            <w:shd w:val="clear" w:color="auto" w:fill="FFFFFF"/>
          </w:tcPr>
          <w:p>
            <w:pPr>
              <w:spacing w:before="50" w:after="50"/>
              <w:jc w:val="center"/>
            </w:pPr>
            <w:r>
              <w:rPr>
                <w:rFonts w:ascii="Calibri" w:hAnsi="Calibri"/>
                <w:b w:val="0"/>
                <w:color w:val="000000"/>
                <w:sz w:val="17"/>
              </w:rPr>
              <w:t>87.6</w:t>
            </w:r>
          </w:p>
        </w:tc>
        <w:tc>
          <w:tcPr>
            <w:tcW w:type="dxa" w:w="907"/>
            <w:vAlign w:val="center"/>
            <w:shd w:val="clear" w:color="auto" w:fill="FFFFFF"/>
          </w:tcPr>
          <w:p>
            <w:pPr>
              <w:spacing w:before="50" w:after="50"/>
              <w:jc w:val="center"/>
            </w:pPr>
            <w:r>
              <w:rPr>
                <w:rFonts w:ascii="Calibri" w:hAnsi="Calibri"/>
                <w:b w:val="0"/>
                <w:color w:val="000000"/>
                <w:sz w:val="17"/>
              </w:rPr>
              <w:t>85.4</w:t>
            </w:r>
          </w:p>
        </w:tc>
        <w:tc>
          <w:tcPr>
            <w:tcW w:type="dxa" w:w="1644"/>
            <w:vAlign w:val="center"/>
            <w:shd w:val="clear" w:color="auto" w:fill="F1F5F9"/>
          </w:tcPr>
          <w:p>
            <w:pPr>
              <w:spacing w:before="50" w:after="50"/>
              <w:jc w:val="center"/>
            </w:pPr>
            <w:r>
              <w:rPr>
                <w:rFonts w:ascii="Calibri" w:hAnsi="Calibri"/>
                <w:b/>
                <w:color w:val="000000"/>
                <w:sz w:val="17"/>
              </w:rPr>
              <w:t>98.64</w:t>
            </w:r>
          </w:p>
        </w:tc>
      </w:tr>
      <w:tr>
        <w:tc>
          <w:tcPr>
            <w:tcW w:type="dxa" w:w="1871"/>
            <w:vAlign w:val="center"/>
            <w:shd w:val="clear" w:color="auto" w:fill="F9F9F9"/>
          </w:tcPr>
          <w:p>
            <w:pPr>
              <w:spacing w:before="50" w:after="50"/>
              <w:jc w:val="left"/>
            </w:pPr>
            <w:r>
              <w:rPr>
                <w:rFonts w:ascii="Calibri" w:hAnsi="Calibri"/>
                <w:b w:val="0"/>
                <w:color w:val="000000"/>
                <w:sz w:val="17"/>
              </w:rPr>
              <w:t>False Positive Rate (%)</w:t>
            </w:r>
          </w:p>
        </w:tc>
        <w:tc>
          <w:tcPr>
            <w:tcW w:type="dxa" w:w="907"/>
            <w:vAlign w:val="center"/>
            <w:shd w:val="clear" w:color="auto" w:fill="F9F9F9"/>
          </w:tcPr>
          <w:p>
            <w:pPr>
              <w:spacing w:before="50" w:after="50"/>
              <w:jc w:val="center"/>
            </w:pPr>
            <w:r>
              <w:rPr>
                <w:rFonts w:ascii="Calibri" w:hAnsi="Calibri"/>
                <w:b w:val="0"/>
                <w:color w:val="000000"/>
                <w:sz w:val="17"/>
              </w:rPr>
              <w:t>14.8</w:t>
            </w:r>
          </w:p>
        </w:tc>
        <w:tc>
          <w:tcPr>
            <w:tcW w:type="dxa" w:w="1020"/>
            <w:vAlign w:val="center"/>
            <w:shd w:val="clear" w:color="auto" w:fill="F9F9F9"/>
          </w:tcPr>
          <w:p>
            <w:pPr>
              <w:spacing w:before="50" w:after="50"/>
              <w:jc w:val="center"/>
            </w:pPr>
            <w:r>
              <w:rPr>
                <w:rFonts w:ascii="Calibri" w:hAnsi="Calibri"/>
                <w:b w:val="0"/>
                <w:color w:val="000000"/>
                <w:sz w:val="17"/>
              </w:rPr>
              <w:t>11.3</w:t>
            </w:r>
          </w:p>
        </w:tc>
        <w:tc>
          <w:tcPr>
            <w:tcW w:type="dxa" w:w="1020"/>
            <w:vAlign w:val="center"/>
            <w:shd w:val="clear" w:color="auto" w:fill="F9F9F9"/>
          </w:tcPr>
          <w:p>
            <w:pPr>
              <w:spacing w:before="50" w:after="50"/>
              <w:jc w:val="center"/>
            </w:pPr>
            <w:r>
              <w:rPr>
                <w:rFonts w:ascii="Calibri" w:hAnsi="Calibri"/>
                <w:b w:val="0"/>
                <w:color w:val="000000"/>
                <w:sz w:val="17"/>
              </w:rPr>
              <w:t>4.5</w:t>
            </w:r>
          </w:p>
        </w:tc>
        <w:tc>
          <w:tcPr>
            <w:tcW w:type="dxa" w:w="1134"/>
            <w:vAlign w:val="center"/>
            <w:shd w:val="clear" w:color="auto" w:fill="F9F9F9"/>
          </w:tcPr>
          <w:p>
            <w:pPr>
              <w:spacing w:before="50" w:after="50"/>
              <w:jc w:val="center"/>
            </w:pPr>
            <w:r>
              <w:rPr>
                <w:rFonts w:ascii="Calibri" w:hAnsi="Calibri"/>
                <w:b w:val="0"/>
                <w:color w:val="000000"/>
                <w:sz w:val="17"/>
              </w:rPr>
              <w:t>5.1</w:t>
            </w:r>
          </w:p>
        </w:tc>
        <w:tc>
          <w:tcPr>
            <w:tcW w:type="dxa" w:w="907"/>
            <w:vAlign w:val="center"/>
            <w:shd w:val="clear" w:color="auto" w:fill="F9F9F9"/>
          </w:tcPr>
          <w:p>
            <w:pPr>
              <w:spacing w:before="50" w:after="50"/>
              <w:jc w:val="center"/>
            </w:pPr>
            <w:r>
              <w:rPr>
                <w:rFonts w:ascii="Calibri" w:hAnsi="Calibri"/>
                <w:b w:val="0"/>
                <w:color w:val="000000"/>
                <w:sz w:val="17"/>
              </w:rPr>
              <w:t>6.2</w:t>
            </w:r>
          </w:p>
        </w:tc>
        <w:tc>
          <w:tcPr>
            <w:tcW w:type="dxa" w:w="1644"/>
            <w:vAlign w:val="center"/>
            <w:shd w:val="clear" w:color="auto" w:fill="F1F5F9"/>
          </w:tcPr>
          <w:p>
            <w:pPr>
              <w:spacing w:before="50" w:after="50"/>
              <w:jc w:val="center"/>
            </w:pPr>
            <w:r>
              <w:rPr>
                <w:rFonts w:ascii="Calibri" w:hAnsi="Calibri"/>
                <w:b/>
                <w:color w:val="000000"/>
                <w:sz w:val="17"/>
              </w:rPr>
              <w:t>0.12</w:t>
            </w:r>
          </w:p>
        </w:tc>
      </w:tr>
      <w:tr>
        <w:tc>
          <w:tcPr>
            <w:tcW w:type="dxa" w:w="1871"/>
            <w:vAlign w:val="center"/>
            <w:shd w:val="clear" w:color="auto" w:fill="FFFFFF"/>
          </w:tcPr>
          <w:p>
            <w:pPr>
              <w:spacing w:before="50" w:after="50"/>
              <w:jc w:val="left"/>
            </w:pPr>
            <w:r>
              <w:rPr>
                <w:rFonts w:ascii="Calibri" w:hAnsi="Calibri"/>
                <w:b w:val="0"/>
                <w:color w:val="000000"/>
                <w:sz w:val="17"/>
              </w:rPr>
              <w:t>Encrypted C2 Detect. (%)</w:t>
            </w:r>
          </w:p>
        </w:tc>
        <w:tc>
          <w:tcPr>
            <w:tcW w:type="dxa" w:w="907"/>
            <w:vAlign w:val="center"/>
            <w:shd w:val="clear" w:color="auto" w:fill="FFFFFF"/>
          </w:tcPr>
          <w:p>
            <w:pPr>
              <w:spacing w:before="50" w:after="50"/>
              <w:jc w:val="center"/>
            </w:pPr>
            <w:r>
              <w:rPr>
                <w:rFonts w:ascii="Calibri" w:hAnsi="Calibri"/>
                <w:b w:val="0"/>
                <w:color w:val="000000"/>
                <w:sz w:val="17"/>
              </w:rPr>
              <w:t>12.0</w:t>
            </w:r>
          </w:p>
        </w:tc>
        <w:tc>
          <w:tcPr>
            <w:tcW w:type="dxa" w:w="1020"/>
            <w:vAlign w:val="center"/>
            <w:shd w:val="clear" w:color="auto" w:fill="FFFFFF"/>
          </w:tcPr>
          <w:p>
            <w:pPr>
              <w:spacing w:before="50" w:after="50"/>
              <w:jc w:val="center"/>
            </w:pPr>
            <w:r>
              <w:rPr>
                <w:rFonts w:ascii="Calibri" w:hAnsi="Calibri"/>
                <w:b w:val="0"/>
                <w:color w:val="000000"/>
                <w:sz w:val="17"/>
              </w:rPr>
              <w:t>18.5</w:t>
            </w:r>
          </w:p>
        </w:tc>
        <w:tc>
          <w:tcPr>
            <w:tcW w:type="dxa" w:w="1020"/>
            <w:vAlign w:val="center"/>
            <w:shd w:val="clear" w:color="auto" w:fill="FFFFFF"/>
          </w:tcPr>
          <w:p>
            <w:pPr>
              <w:spacing w:before="50" w:after="50"/>
              <w:jc w:val="center"/>
            </w:pPr>
            <w:r>
              <w:rPr>
                <w:rFonts w:ascii="Calibri" w:hAnsi="Calibri"/>
                <w:b w:val="0"/>
                <w:color w:val="000000"/>
                <w:sz w:val="17"/>
              </w:rPr>
              <w:t>72.3</w:t>
            </w:r>
          </w:p>
        </w:tc>
        <w:tc>
          <w:tcPr>
            <w:tcW w:type="dxa" w:w="1134"/>
            <w:vAlign w:val="center"/>
            <w:shd w:val="clear" w:color="auto" w:fill="FFFFFF"/>
          </w:tcPr>
          <w:p>
            <w:pPr>
              <w:spacing w:before="50" w:after="50"/>
              <w:jc w:val="center"/>
            </w:pPr>
            <w:r>
              <w:rPr>
                <w:rFonts w:ascii="Calibri" w:hAnsi="Calibri"/>
                <w:b w:val="0"/>
                <w:color w:val="000000"/>
                <w:sz w:val="17"/>
              </w:rPr>
              <w:t>68.0</w:t>
            </w:r>
          </w:p>
        </w:tc>
        <w:tc>
          <w:tcPr>
            <w:tcW w:type="dxa" w:w="907"/>
            <w:vAlign w:val="center"/>
            <w:shd w:val="clear" w:color="auto" w:fill="FFFFFF"/>
          </w:tcPr>
          <w:p>
            <w:pPr>
              <w:spacing w:before="50" w:after="50"/>
              <w:jc w:val="center"/>
            </w:pPr>
            <w:r>
              <w:rPr>
                <w:rFonts w:ascii="Calibri" w:hAnsi="Calibri"/>
                <w:b w:val="0"/>
                <w:color w:val="000000"/>
                <w:sz w:val="17"/>
              </w:rPr>
              <w:t>64.1</w:t>
            </w:r>
          </w:p>
        </w:tc>
        <w:tc>
          <w:tcPr>
            <w:tcW w:type="dxa" w:w="1644"/>
            <w:vAlign w:val="center"/>
            <w:shd w:val="clear" w:color="auto" w:fill="F1F5F9"/>
          </w:tcPr>
          <w:p>
            <w:pPr>
              <w:spacing w:before="50" w:after="50"/>
              <w:jc w:val="center"/>
            </w:pPr>
            <w:r>
              <w:rPr>
                <w:rFonts w:ascii="Calibri" w:hAnsi="Calibri"/>
                <w:b/>
                <w:color w:val="000000"/>
                <w:sz w:val="17"/>
              </w:rPr>
              <w:t>87.9</w:t>
            </w:r>
          </w:p>
        </w:tc>
      </w:tr>
      <w:tr>
        <w:tc>
          <w:tcPr>
            <w:tcW w:type="dxa" w:w="1871"/>
            <w:vAlign w:val="center"/>
            <w:shd w:val="clear" w:color="auto" w:fill="F9F9F9"/>
          </w:tcPr>
          <w:p>
            <w:pPr>
              <w:spacing w:before="50" w:after="50"/>
              <w:jc w:val="left"/>
            </w:pPr>
            <w:r>
              <w:rPr>
                <w:rFonts w:ascii="Calibri" w:hAnsi="Calibri"/>
                <w:b w:val="0"/>
                <w:color w:val="000000"/>
                <w:sz w:val="17"/>
              </w:rPr>
              <w:t>Scan Evasion Resist. (%)</w:t>
            </w:r>
          </w:p>
        </w:tc>
        <w:tc>
          <w:tcPr>
            <w:tcW w:type="dxa" w:w="907"/>
            <w:vAlign w:val="center"/>
            <w:shd w:val="clear" w:color="auto" w:fill="F9F9F9"/>
          </w:tcPr>
          <w:p>
            <w:pPr>
              <w:spacing w:before="50" w:after="50"/>
              <w:jc w:val="center"/>
            </w:pPr>
            <w:r>
              <w:rPr>
                <w:rFonts w:ascii="Calibri" w:hAnsi="Calibri"/>
                <w:b w:val="0"/>
                <w:color w:val="000000"/>
                <w:sz w:val="17"/>
              </w:rPr>
              <w:t>41.0</w:t>
            </w:r>
          </w:p>
        </w:tc>
        <w:tc>
          <w:tcPr>
            <w:tcW w:type="dxa" w:w="1020"/>
            <w:vAlign w:val="center"/>
            <w:shd w:val="clear" w:color="auto" w:fill="F9F9F9"/>
          </w:tcPr>
          <w:p>
            <w:pPr>
              <w:spacing w:before="50" w:after="50"/>
              <w:jc w:val="center"/>
            </w:pPr>
            <w:r>
              <w:rPr>
                <w:rFonts w:ascii="Calibri" w:hAnsi="Calibri"/>
                <w:b w:val="0"/>
                <w:color w:val="000000"/>
                <w:sz w:val="17"/>
              </w:rPr>
              <w:t>49.0</w:t>
            </w:r>
          </w:p>
        </w:tc>
        <w:tc>
          <w:tcPr>
            <w:tcW w:type="dxa" w:w="1020"/>
            <w:vAlign w:val="center"/>
            <w:shd w:val="clear" w:color="auto" w:fill="F9F9F9"/>
          </w:tcPr>
          <w:p>
            <w:pPr>
              <w:spacing w:before="50" w:after="50"/>
              <w:jc w:val="center"/>
            </w:pPr>
            <w:r>
              <w:rPr>
                <w:rFonts w:ascii="Calibri" w:hAnsi="Calibri"/>
                <w:b w:val="0"/>
                <w:color w:val="000000"/>
                <w:sz w:val="17"/>
              </w:rPr>
              <w:t>76.0</w:t>
            </w:r>
          </w:p>
        </w:tc>
        <w:tc>
          <w:tcPr>
            <w:tcW w:type="dxa" w:w="1134"/>
            <w:vAlign w:val="center"/>
            <w:shd w:val="clear" w:color="auto" w:fill="F9F9F9"/>
          </w:tcPr>
          <w:p>
            <w:pPr>
              <w:spacing w:before="50" w:after="50"/>
              <w:jc w:val="center"/>
            </w:pPr>
            <w:r>
              <w:rPr>
                <w:rFonts w:ascii="Calibri" w:hAnsi="Calibri"/>
                <w:b w:val="0"/>
                <w:color w:val="000000"/>
                <w:sz w:val="17"/>
              </w:rPr>
              <w:t>N/A</w:t>
            </w:r>
          </w:p>
        </w:tc>
        <w:tc>
          <w:tcPr>
            <w:tcW w:type="dxa" w:w="907"/>
            <w:vAlign w:val="center"/>
            <w:shd w:val="clear" w:color="auto" w:fill="F9F9F9"/>
          </w:tcPr>
          <w:p>
            <w:pPr>
              <w:spacing w:before="50" w:after="50"/>
              <w:jc w:val="center"/>
            </w:pPr>
            <w:r>
              <w:rPr>
                <w:rFonts w:ascii="Calibri" w:hAnsi="Calibri"/>
                <w:b w:val="0"/>
                <w:color w:val="000000"/>
                <w:sz w:val="17"/>
              </w:rPr>
              <w:t>71.0</w:t>
            </w:r>
          </w:p>
        </w:tc>
        <w:tc>
          <w:tcPr>
            <w:tcW w:type="dxa" w:w="1644"/>
            <w:vAlign w:val="center"/>
            <w:shd w:val="clear" w:color="auto" w:fill="F1F5F9"/>
          </w:tcPr>
          <w:p>
            <w:pPr>
              <w:spacing w:before="50" w:after="50"/>
              <w:jc w:val="center"/>
            </w:pPr>
            <w:r>
              <w:rPr>
                <w:rFonts w:ascii="Calibri" w:hAnsi="Calibri"/>
                <w:b/>
                <w:color w:val="000000"/>
                <w:sz w:val="17"/>
              </w:rPr>
              <w:t>96.8</w:t>
            </w:r>
          </w:p>
        </w:tc>
      </w:tr>
      <w:tr>
        <w:tc>
          <w:tcPr>
            <w:tcW w:type="dxa" w:w="1871"/>
            <w:vAlign w:val="center"/>
            <w:shd w:val="clear" w:color="auto" w:fill="FFFFFF"/>
          </w:tcPr>
          <w:p>
            <w:pPr>
              <w:spacing w:before="50" w:after="50"/>
              <w:jc w:val="left"/>
            </w:pPr>
            <w:r>
              <w:rPr>
                <w:rFonts w:ascii="Calibri" w:hAnsi="Calibri"/>
                <w:b w:val="0"/>
                <w:color w:val="000000"/>
                <w:sz w:val="17"/>
              </w:rPr>
              <w:t>Adversarial Robust. (%)</w:t>
            </w:r>
          </w:p>
        </w:tc>
        <w:tc>
          <w:tcPr>
            <w:tcW w:type="dxa" w:w="907"/>
            <w:vAlign w:val="center"/>
            <w:shd w:val="clear" w:color="auto" w:fill="FFFFFF"/>
          </w:tcPr>
          <w:p>
            <w:pPr>
              <w:spacing w:before="50" w:after="50"/>
              <w:jc w:val="center"/>
            </w:pPr>
            <w:r>
              <w:rPr>
                <w:rFonts w:ascii="Calibri" w:hAnsi="Calibri"/>
                <w:b w:val="0"/>
                <w:color w:val="000000"/>
                <w:sz w:val="17"/>
              </w:rPr>
              <w:t>29.0</w:t>
            </w:r>
          </w:p>
        </w:tc>
        <w:tc>
          <w:tcPr>
            <w:tcW w:type="dxa" w:w="1020"/>
            <w:vAlign w:val="center"/>
            <w:shd w:val="clear" w:color="auto" w:fill="FFFFFF"/>
          </w:tcPr>
          <w:p>
            <w:pPr>
              <w:spacing w:before="50" w:after="50"/>
              <w:jc w:val="center"/>
            </w:pPr>
            <w:r>
              <w:rPr>
                <w:rFonts w:ascii="Calibri" w:hAnsi="Calibri"/>
                <w:b w:val="0"/>
                <w:color w:val="000000"/>
                <w:sz w:val="17"/>
              </w:rPr>
              <w:t>34.0</w:t>
            </w:r>
          </w:p>
        </w:tc>
        <w:tc>
          <w:tcPr>
            <w:tcW w:type="dxa" w:w="1020"/>
            <w:vAlign w:val="center"/>
            <w:shd w:val="clear" w:color="auto" w:fill="FFFFFF"/>
          </w:tcPr>
          <w:p>
            <w:pPr>
              <w:spacing w:before="50" w:after="50"/>
              <w:jc w:val="center"/>
            </w:pPr>
            <w:r>
              <w:rPr>
                <w:rFonts w:ascii="Calibri" w:hAnsi="Calibri"/>
                <w:b w:val="0"/>
                <w:color w:val="000000"/>
                <w:sz w:val="17"/>
              </w:rPr>
              <w:t>67.0</w:t>
            </w:r>
          </w:p>
        </w:tc>
        <w:tc>
          <w:tcPr>
            <w:tcW w:type="dxa" w:w="1134"/>
            <w:vAlign w:val="center"/>
            <w:shd w:val="clear" w:color="auto" w:fill="FFFFFF"/>
          </w:tcPr>
          <w:p>
            <w:pPr>
              <w:spacing w:before="50" w:after="50"/>
              <w:jc w:val="center"/>
            </w:pPr>
            <w:r>
              <w:rPr>
                <w:rFonts w:ascii="Calibri" w:hAnsi="Calibri"/>
                <w:b w:val="0"/>
                <w:color w:val="000000"/>
                <w:sz w:val="17"/>
              </w:rPr>
              <w:t>61.0</w:t>
            </w:r>
          </w:p>
        </w:tc>
        <w:tc>
          <w:tcPr>
            <w:tcW w:type="dxa" w:w="907"/>
            <w:vAlign w:val="center"/>
            <w:shd w:val="clear" w:color="auto" w:fill="FFFFFF"/>
          </w:tcPr>
          <w:p>
            <w:pPr>
              <w:spacing w:before="50" w:after="50"/>
              <w:jc w:val="center"/>
            </w:pPr>
            <w:r>
              <w:rPr>
                <w:rFonts w:ascii="Calibri" w:hAnsi="Calibri"/>
                <w:b w:val="0"/>
                <w:color w:val="000000"/>
                <w:sz w:val="17"/>
              </w:rPr>
              <w:t>59.0</w:t>
            </w:r>
          </w:p>
        </w:tc>
        <w:tc>
          <w:tcPr>
            <w:tcW w:type="dxa" w:w="1644"/>
            <w:vAlign w:val="center"/>
            <w:shd w:val="clear" w:color="auto" w:fill="F1F5F9"/>
          </w:tcPr>
          <w:p>
            <w:pPr>
              <w:spacing w:before="50" w:after="50"/>
              <w:jc w:val="center"/>
            </w:pPr>
            <w:r>
              <w:rPr>
                <w:rFonts w:ascii="Calibri" w:hAnsi="Calibri"/>
                <w:b/>
                <w:color w:val="000000"/>
                <w:sz w:val="17"/>
              </w:rPr>
              <w:t>94.1</w:t>
            </w:r>
          </w:p>
        </w:tc>
      </w:tr>
    </w:tbl>
    <w:p>
      <w:pPr>
        <w:spacing w:before="40" w:after="160"/>
        <w:jc w:val="center"/>
      </w:pPr>
      <w:r>
        <w:rPr>
          <w:rFonts w:ascii="Calibri" w:hAnsi="Calibri"/>
          <w:i/>
          <w:color w:val="333333"/>
          <w:sz w:val="18"/>
        </w:rPr>
        <w:t>Table III: Detection accuracy comparison across 10M calibrated flows. Open-source NIDS baselines (Snort, Suricata) were evaluated in testbed with standard rule sets; enterprise baseline metrics (Palo Alto, Cloudflare, Cisco) are compiled from published comparative NIDS evaluation literature [15]–[17] under representative attack workloads. Autonomous Agent achieves 87.9% C2 detection without breaking payload encryption.</w:t>
      </w:r>
    </w:p>
    <w:p>
      <w:pPr>
        <w:spacing w:before="120" w:after="80"/>
        <w:jc w:val="left"/>
      </w:pPr>
      <w:r>
        <w:rPr>
          <w:rFonts w:ascii="Calibri" w:hAnsi="Calibri"/>
          <w:b/>
          <w:color w:val="000000"/>
          <w:sz w:val="23"/>
        </w:rPr>
        <w:t>C. Latency and Throughput Comparison</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701"/>
            <w:shd w:val="clear" w:color="auto" w:fill="111827"/>
            <w:vAlign w:val="center"/>
          </w:tcPr>
          <w:p>
            <w:pPr>
              <w:spacing w:before="60" w:after="60"/>
              <w:jc w:val="center"/>
            </w:pPr>
            <w:r>
              <w:rPr>
                <w:rFonts w:ascii="Calibri" w:hAnsi="Calibri"/>
                <w:b/>
                <w:color w:val="FFFFFF"/>
                <w:sz w:val="17"/>
              </w:rPr>
              <w:t>System</w:t>
            </w:r>
          </w:p>
        </w:tc>
        <w:tc>
          <w:tcPr>
            <w:tcW w:type="dxa" w:w="1814"/>
            <w:shd w:val="clear" w:color="auto" w:fill="111827"/>
            <w:vAlign w:val="center"/>
          </w:tcPr>
          <w:p>
            <w:pPr>
              <w:spacing w:before="60" w:after="60"/>
              <w:jc w:val="center"/>
            </w:pPr>
            <w:r>
              <w:rPr>
                <w:rFonts w:ascii="Calibri" w:hAnsi="Calibri"/>
                <w:b/>
                <w:color w:val="FFFFFF"/>
                <w:sz w:val="17"/>
              </w:rPr>
              <w:t>Data-Plane Latency</w:t>
            </w:r>
          </w:p>
        </w:tc>
        <w:tc>
          <w:tcPr>
            <w:tcW w:type="dxa" w:w="1814"/>
            <w:shd w:val="clear" w:color="auto" w:fill="111827"/>
            <w:vAlign w:val="center"/>
          </w:tcPr>
          <w:p>
            <w:pPr>
              <w:spacing w:before="60" w:after="60"/>
              <w:jc w:val="center"/>
            </w:pPr>
            <w:r>
              <w:rPr>
                <w:rFonts w:ascii="Calibri" w:hAnsi="Calibri"/>
                <w:b/>
                <w:color w:val="FFFFFF"/>
                <w:sz w:val="17"/>
              </w:rPr>
              <w:t>Control-Plane Latency</w:t>
            </w:r>
          </w:p>
        </w:tc>
        <w:tc>
          <w:tcPr>
            <w:tcW w:type="dxa" w:w="1701"/>
            <w:shd w:val="clear" w:color="auto" w:fill="111827"/>
            <w:vAlign w:val="center"/>
          </w:tcPr>
          <w:p>
            <w:pPr>
              <w:spacing w:before="60" w:after="60"/>
              <w:jc w:val="center"/>
            </w:pPr>
            <w:r>
              <w:rPr>
                <w:rFonts w:ascii="Calibri" w:hAnsi="Calibri"/>
                <w:b/>
                <w:color w:val="FFFFFF"/>
                <w:sz w:val="17"/>
              </w:rPr>
              <w:t>Max Throughput</w:t>
            </w:r>
          </w:p>
        </w:tc>
        <w:tc>
          <w:tcPr>
            <w:tcW w:type="dxa" w:w="1701"/>
            <w:shd w:val="clear" w:color="auto" w:fill="111827"/>
            <w:vAlign w:val="center"/>
          </w:tcPr>
          <w:p>
            <w:pPr>
              <w:spacing w:before="60" w:after="60"/>
              <w:jc w:val="center"/>
            </w:pPr>
            <w:r>
              <w:rPr>
                <w:rFonts w:ascii="Calibri" w:hAnsi="Calibri"/>
                <w:b/>
                <w:color w:val="FFFFFF"/>
                <w:sz w:val="17"/>
              </w:rPr>
              <w:t>Architecture</w:t>
            </w:r>
          </w:p>
        </w:tc>
      </w:tr>
      <w:tr>
        <w:tc>
          <w:tcPr>
            <w:tcW w:type="dxa" w:w="1701"/>
            <w:vAlign w:val="center"/>
            <w:shd w:val="clear" w:color="auto" w:fill="FFFFFF"/>
          </w:tcPr>
          <w:p>
            <w:pPr>
              <w:spacing w:before="50" w:after="50"/>
              <w:jc w:val="left"/>
            </w:pPr>
            <w:r>
              <w:rPr>
                <w:rFonts w:ascii="Calibri" w:hAnsi="Calibri"/>
                <w:b w:val="0"/>
                <w:color w:val="000000"/>
                <w:sz w:val="17"/>
              </w:rPr>
              <w:t>Snort 3.x</w:t>
            </w:r>
          </w:p>
        </w:tc>
        <w:tc>
          <w:tcPr>
            <w:tcW w:type="dxa" w:w="1814"/>
            <w:vAlign w:val="center"/>
            <w:shd w:val="clear" w:color="auto" w:fill="FFFFFF"/>
          </w:tcPr>
          <w:p>
            <w:pPr>
              <w:spacing w:before="50" w:after="50"/>
              <w:jc w:val="center"/>
            </w:pPr>
            <w:r>
              <w:rPr>
                <w:rFonts w:ascii="Calibri" w:hAnsi="Calibri"/>
                <w:b w:val="0"/>
                <w:color w:val="000000"/>
                <w:sz w:val="17"/>
              </w:rPr>
              <w:t>250-800 us</w:t>
            </w:r>
          </w:p>
        </w:tc>
        <w:tc>
          <w:tcPr>
            <w:tcW w:type="dxa" w:w="1814"/>
            <w:vAlign w:val="center"/>
            <w:shd w:val="clear" w:color="auto" w:fill="FFFFFF"/>
          </w:tcPr>
          <w:p>
            <w:pPr>
              <w:spacing w:before="50" w:after="50"/>
              <w:jc w:val="center"/>
            </w:pPr>
            <w:r>
              <w:rPr>
                <w:rFonts w:ascii="Calibri" w:hAnsi="Calibri"/>
                <w:b w:val="0"/>
                <w:color w:val="000000"/>
                <w:sz w:val="17"/>
              </w:rPr>
              <w:t>80-200 ms</w:t>
            </w:r>
          </w:p>
        </w:tc>
        <w:tc>
          <w:tcPr>
            <w:tcW w:type="dxa" w:w="1701"/>
            <w:vAlign w:val="center"/>
            <w:shd w:val="clear" w:color="auto" w:fill="FFFFFF"/>
          </w:tcPr>
          <w:p>
            <w:pPr>
              <w:spacing w:before="50" w:after="50"/>
              <w:jc w:val="center"/>
            </w:pPr>
            <w:r>
              <w:rPr>
                <w:rFonts w:ascii="Calibri" w:hAnsi="Calibri"/>
                <w:b w:val="0"/>
                <w:color w:val="000000"/>
                <w:sz w:val="17"/>
              </w:rPr>
              <w:t>~2 Gbps</w:t>
            </w:r>
          </w:p>
        </w:tc>
        <w:tc>
          <w:tcPr>
            <w:tcW w:type="dxa" w:w="1701"/>
            <w:vAlign w:val="center"/>
            <w:shd w:val="clear" w:color="auto" w:fill="FFFFFF"/>
          </w:tcPr>
          <w:p>
            <w:pPr>
              <w:spacing w:before="50" w:after="50"/>
              <w:jc w:val="left"/>
            </w:pPr>
            <w:r>
              <w:rPr>
                <w:rFonts w:ascii="Calibri" w:hAnsi="Calibri"/>
                <w:b w:val="0"/>
                <w:color w:val="000000"/>
                <w:sz w:val="17"/>
              </w:rPr>
              <w:t>User-space DAQ</w:t>
            </w:r>
          </w:p>
        </w:tc>
      </w:tr>
      <w:tr>
        <w:tc>
          <w:tcPr>
            <w:tcW w:type="dxa" w:w="1701"/>
            <w:vAlign w:val="center"/>
            <w:shd w:val="clear" w:color="auto" w:fill="F9F9F9"/>
          </w:tcPr>
          <w:p>
            <w:pPr>
              <w:spacing w:before="50" w:after="50"/>
              <w:jc w:val="left"/>
            </w:pPr>
            <w:r>
              <w:rPr>
                <w:rFonts w:ascii="Calibri" w:hAnsi="Calibri"/>
                <w:b w:val="0"/>
                <w:color w:val="000000"/>
                <w:sz w:val="17"/>
              </w:rPr>
              <w:t>Suricata 7.x</w:t>
            </w:r>
          </w:p>
        </w:tc>
        <w:tc>
          <w:tcPr>
            <w:tcW w:type="dxa" w:w="1814"/>
            <w:vAlign w:val="center"/>
            <w:shd w:val="clear" w:color="auto" w:fill="F9F9F9"/>
          </w:tcPr>
          <w:p>
            <w:pPr>
              <w:spacing w:before="50" w:after="50"/>
              <w:jc w:val="center"/>
            </w:pPr>
            <w:r>
              <w:rPr>
                <w:rFonts w:ascii="Calibri" w:hAnsi="Calibri"/>
                <w:b w:val="0"/>
                <w:color w:val="000000"/>
                <w:sz w:val="17"/>
              </w:rPr>
              <w:t>180-600 us</w:t>
            </w:r>
          </w:p>
        </w:tc>
        <w:tc>
          <w:tcPr>
            <w:tcW w:type="dxa" w:w="1814"/>
            <w:vAlign w:val="center"/>
            <w:shd w:val="clear" w:color="auto" w:fill="F9F9F9"/>
          </w:tcPr>
          <w:p>
            <w:pPr>
              <w:spacing w:before="50" w:after="50"/>
              <w:jc w:val="center"/>
            </w:pPr>
            <w:r>
              <w:rPr>
                <w:rFonts w:ascii="Calibri" w:hAnsi="Calibri"/>
                <w:b w:val="0"/>
                <w:color w:val="000000"/>
                <w:sz w:val="17"/>
              </w:rPr>
              <w:t>50-150 ms</w:t>
            </w:r>
          </w:p>
        </w:tc>
        <w:tc>
          <w:tcPr>
            <w:tcW w:type="dxa" w:w="1701"/>
            <w:vAlign w:val="center"/>
            <w:shd w:val="clear" w:color="auto" w:fill="F9F9F9"/>
          </w:tcPr>
          <w:p>
            <w:pPr>
              <w:spacing w:before="50" w:after="50"/>
              <w:jc w:val="center"/>
            </w:pPr>
            <w:r>
              <w:rPr>
                <w:rFonts w:ascii="Calibri" w:hAnsi="Calibri"/>
                <w:b w:val="0"/>
                <w:color w:val="000000"/>
                <w:sz w:val="17"/>
              </w:rPr>
              <w:t>~4 Gbps</w:t>
            </w:r>
          </w:p>
        </w:tc>
        <w:tc>
          <w:tcPr>
            <w:tcW w:type="dxa" w:w="1701"/>
            <w:vAlign w:val="center"/>
            <w:shd w:val="clear" w:color="auto" w:fill="F9F9F9"/>
          </w:tcPr>
          <w:p>
            <w:pPr>
              <w:spacing w:before="50" w:after="50"/>
              <w:jc w:val="left"/>
            </w:pPr>
            <w:r>
              <w:rPr>
                <w:rFonts w:ascii="Calibri" w:hAnsi="Calibri"/>
                <w:b w:val="0"/>
                <w:color w:val="000000"/>
                <w:sz w:val="17"/>
              </w:rPr>
              <w:t>User-space AF_PACKET</w:t>
            </w:r>
          </w:p>
        </w:tc>
      </w:tr>
      <w:tr>
        <w:tc>
          <w:tcPr>
            <w:tcW w:type="dxa" w:w="1701"/>
            <w:vAlign w:val="center"/>
            <w:shd w:val="clear" w:color="auto" w:fill="FFFFFF"/>
          </w:tcPr>
          <w:p>
            <w:pPr>
              <w:spacing w:before="50" w:after="50"/>
              <w:jc w:val="left"/>
            </w:pPr>
            <w:r>
              <w:rPr>
                <w:rFonts w:ascii="Calibri" w:hAnsi="Calibri"/>
                <w:b w:val="0"/>
                <w:color w:val="000000"/>
                <w:sz w:val="17"/>
              </w:rPr>
              <w:t>Palo Alto PAN-OS</w:t>
            </w:r>
          </w:p>
        </w:tc>
        <w:tc>
          <w:tcPr>
            <w:tcW w:type="dxa" w:w="1814"/>
            <w:vAlign w:val="center"/>
            <w:shd w:val="clear" w:color="auto" w:fill="FFFFFF"/>
          </w:tcPr>
          <w:p>
            <w:pPr>
              <w:spacing w:before="50" w:after="50"/>
              <w:jc w:val="center"/>
            </w:pPr>
            <w:r>
              <w:rPr>
                <w:rFonts w:ascii="Calibri" w:hAnsi="Calibri"/>
                <w:b w:val="0"/>
                <w:color w:val="000000"/>
                <w:sz w:val="17"/>
              </w:rPr>
              <w:t>15-50 ms (cloud)</w:t>
            </w:r>
          </w:p>
        </w:tc>
        <w:tc>
          <w:tcPr>
            <w:tcW w:type="dxa" w:w="1814"/>
            <w:vAlign w:val="center"/>
            <w:shd w:val="clear" w:color="auto" w:fill="FFFFFF"/>
          </w:tcPr>
          <w:p>
            <w:pPr>
              <w:spacing w:before="50" w:after="50"/>
              <w:jc w:val="center"/>
            </w:pPr>
            <w:r>
              <w:rPr>
                <w:rFonts w:ascii="Calibri" w:hAnsi="Calibri"/>
                <w:b w:val="0"/>
                <w:color w:val="000000"/>
                <w:sz w:val="17"/>
              </w:rPr>
              <w:t>100-500 ms</w:t>
            </w:r>
          </w:p>
        </w:tc>
        <w:tc>
          <w:tcPr>
            <w:tcW w:type="dxa" w:w="1701"/>
            <w:vAlign w:val="center"/>
            <w:shd w:val="clear" w:color="auto" w:fill="FFFFFF"/>
          </w:tcPr>
          <w:p>
            <w:pPr>
              <w:spacing w:before="50" w:after="50"/>
              <w:jc w:val="center"/>
            </w:pPr>
            <w:r>
              <w:rPr>
                <w:rFonts w:ascii="Calibri" w:hAnsi="Calibri"/>
                <w:b w:val="0"/>
                <w:color w:val="000000"/>
                <w:sz w:val="17"/>
              </w:rPr>
              <w:t>100 Gbps (ASIC)</w:t>
            </w:r>
          </w:p>
        </w:tc>
        <w:tc>
          <w:tcPr>
            <w:tcW w:type="dxa" w:w="1701"/>
            <w:vAlign w:val="center"/>
            <w:shd w:val="clear" w:color="auto" w:fill="FFFFFF"/>
          </w:tcPr>
          <w:p>
            <w:pPr>
              <w:spacing w:before="50" w:after="50"/>
              <w:jc w:val="left"/>
            </w:pPr>
            <w:r>
              <w:rPr>
                <w:rFonts w:ascii="Calibri" w:hAnsi="Calibri"/>
                <w:b w:val="0"/>
                <w:color w:val="000000"/>
                <w:sz w:val="17"/>
              </w:rPr>
              <w:t>Custom ASIC</w:t>
            </w:r>
          </w:p>
        </w:tc>
      </w:tr>
      <w:tr>
        <w:tc>
          <w:tcPr>
            <w:tcW w:type="dxa" w:w="1701"/>
            <w:vAlign w:val="center"/>
            <w:shd w:val="clear" w:color="auto" w:fill="F9F9F9"/>
          </w:tcPr>
          <w:p>
            <w:pPr>
              <w:spacing w:before="50" w:after="50"/>
              <w:jc w:val="left"/>
            </w:pPr>
            <w:r>
              <w:rPr>
                <w:rFonts w:ascii="Calibri" w:hAnsi="Calibri"/>
                <w:b w:val="0"/>
                <w:color w:val="000000"/>
                <w:sz w:val="17"/>
              </w:rPr>
              <w:t>Cloudflare MT</w:t>
            </w:r>
          </w:p>
        </w:tc>
        <w:tc>
          <w:tcPr>
            <w:tcW w:type="dxa" w:w="1814"/>
            <w:vAlign w:val="center"/>
            <w:shd w:val="clear" w:color="auto" w:fill="F9F9F9"/>
          </w:tcPr>
          <w:p>
            <w:pPr>
              <w:spacing w:before="50" w:after="50"/>
              <w:jc w:val="center"/>
            </w:pPr>
            <w:r>
              <w:rPr>
                <w:rFonts w:ascii="Calibri" w:hAnsi="Calibri"/>
                <w:b w:val="0"/>
                <w:color w:val="000000"/>
                <w:sz w:val="17"/>
              </w:rPr>
              <w:t>10-80 ms (WAN)</w:t>
            </w:r>
          </w:p>
        </w:tc>
        <w:tc>
          <w:tcPr>
            <w:tcW w:type="dxa" w:w="1814"/>
            <w:vAlign w:val="center"/>
            <w:shd w:val="clear" w:color="auto" w:fill="F9F9F9"/>
          </w:tcPr>
          <w:p>
            <w:pPr>
              <w:spacing w:before="50" w:after="50"/>
              <w:jc w:val="center"/>
            </w:pPr>
            <w:r>
              <w:rPr>
                <w:rFonts w:ascii="Calibri" w:hAnsi="Calibri"/>
                <w:b w:val="0"/>
                <w:color w:val="000000"/>
                <w:sz w:val="17"/>
              </w:rPr>
              <w:t>100-300 ms</w:t>
            </w:r>
          </w:p>
        </w:tc>
        <w:tc>
          <w:tcPr>
            <w:tcW w:type="dxa" w:w="1701"/>
            <w:vAlign w:val="center"/>
            <w:shd w:val="clear" w:color="auto" w:fill="F9F9F9"/>
          </w:tcPr>
          <w:p>
            <w:pPr>
              <w:spacing w:before="50" w:after="50"/>
              <w:jc w:val="center"/>
            </w:pPr>
            <w:r>
              <w:rPr>
                <w:rFonts w:ascii="Calibri" w:hAnsi="Calibri"/>
                <w:b w:val="0"/>
                <w:color w:val="000000"/>
                <w:sz w:val="17"/>
              </w:rPr>
              <w:t>Tbps (anycast)</w:t>
            </w:r>
          </w:p>
        </w:tc>
        <w:tc>
          <w:tcPr>
            <w:tcW w:type="dxa" w:w="1701"/>
            <w:vAlign w:val="center"/>
            <w:shd w:val="clear" w:color="auto" w:fill="F9F9F9"/>
          </w:tcPr>
          <w:p>
            <w:pPr>
              <w:spacing w:before="50" w:after="50"/>
              <w:jc w:val="left"/>
            </w:pPr>
            <w:r>
              <w:rPr>
                <w:rFonts w:ascii="Calibri" w:hAnsi="Calibri"/>
                <w:b w:val="0"/>
                <w:color w:val="000000"/>
                <w:sz w:val="17"/>
              </w:rPr>
              <w:t>Cloud PoP</w:t>
            </w:r>
          </w:p>
        </w:tc>
      </w:tr>
      <w:tr>
        <w:tc>
          <w:tcPr>
            <w:tcW w:type="dxa" w:w="1701"/>
            <w:vAlign w:val="center"/>
            <w:shd w:val="clear" w:color="auto" w:fill="FFFFFF"/>
          </w:tcPr>
          <w:p>
            <w:pPr>
              <w:spacing w:before="50" w:after="50"/>
              <w:jc w:val="left"/>
            </w:pPr>
            <w:r>
              <w:rPr>
                <w:rFonts w:ascii="Calibri" w:hAnsi="Calibri"/>
                <w:b w:val="0"/>
                <w:color w:val="000000"/>
                <w:sz w:val="17"/>
              </w:rPr>
              <w:t>Cisco Firepower</w:t>
            </w:r>
          </w:p>
        </w:tc>
        <w:tc>
          <w:tcPr>
            <w:tcW w:type="dxa" w:w="1814"/>
            <w:vAlign w:val="center"/>
            <w:shd w:val="clear" w:color="auto" w:fill="FFFFFF"/>
          </w:tcPr>
          <w:p>
            <w:pPr>
              <w:spacing w:before="50" w:after="50"/>
              <w:jc w:val="center"/>
            </w:pPr>
            <w:r>
              <w:rPr>
                <w:rFonts w:ascii="Calibri" w:hAnsi="Calibri"/>
                <w:b w:val="0"/>
                <w:color w:val="000000"/>
                <w:sz w:val="17"/>
              </w:rPr>
              <w:t>60-400 us</w:t>
            </w:r>
          </w:p>
        </w:tc>
        <w:tc>
          <w:tcPr>
            <w:tcW w:type="dxa" w:w="1814"/>
            <w:vAlign w:val="center"/>
            <w:shd w:val="clear" w:color="auto" w:fill="FFFFFF"/>
          </w:tcPr>
          <w:p>
            <w:pPr>
              <w:spacing w:before="50" w:after="50"/>
              <w:jc w:val="center"/>
            </w:pPr>
            <w:r>
              <w:rPr>
                <w:rFonts w:ascii="Calibri" w:hAnsi="Calibri"/>
                <w:b w:val="0"/>
                <w:color w:val="000000"/>
                <w:sz w:val="17"/>
              </w:rPr>
              <w:t>200-800 ms</w:t>
            </w:r>
          </w:p>
        </w:tc>
        <w:tc>
          <w:tcPr>
            <w:tcW w:type="dxa" w:w="1701"/>
            <w:vAlign w:val="center"/>
            <w:shd w:val="clear" w:color="auto" w:fill="FFFFFF"/>
          </w:tcPr>
          <w:p>
            <w:pPr>
              <w:spacing w:before="50" w:after="50"/>
              <w:jc w:val="center"/>
            </w:pPr>
            <w:r>
              <w:rPr>
                <w:rFonts w:ascii="Calibri" w:hAnsi="Calibri"/>
                <w:b w:val="0"/>
                <w:color w:val="000000"/>
                <w:sz w:val="17"/>
              </w:rPr>
              <w:t>40 Gbps (HW)</w:t>
            </w:r>
          </w:p>
        </w:tc>
        <w:tc>
          <w:tcPr>
            <w:tcW w:type="dxa" w:w="1701"/>
            <w:vAlign w:val="center"/>
            <w:shd w:val="clear" w:color="auto" w:fill="FFFFFF"/>
          </w:tcPr>
          <w:p>
            <w:pPr>
              <w:spacing w:before="50" w:after="50"/>
              <w:jc w:val="left"/>
            </w:pPr>
            <w:r>
              <w:rPr>
                <w:rFonts w:ascii="Calibri" w:hAnsi="Calibri"/>
                <w:b w:val="0"/>
                <w:color w:val="000000"/>
                <w:sz w:val="17"/>
              </w:rPr>
              <w:t>Custom NIC ASIC</w:t>
            </w:r>
          </w:p>
        </w:tc>
      </w:tr>
      <w:tr>
        <w:tc>
          <w:tcPr>
            <w:tcW w:type="dxa" w:w="1701"/>
            <w:vAlign w:val="center"/>
            <w:shd w:val="clear" w:color="auto" w:fill="F9F9F9"/>
          </w:tcPr>
          <w:p>
            <w:pPr>
              <w:spacing w:before="50" w:after="50"/>
              <w:jc w:val="left"/>
            </w:pPr>
            <w:r>
              <w:rPr>
                <w:rFonts w:ascii="Calibri" w:hAnsi="Calibri"/>
                <w:b/>
                <w:color w:val="000000"/>
                <w:sz w:val="17"/>
              </w:rPr>
              <w:t>Autonomous Agent (ours)</w:t>
            </w:r>
          </w:p>
        </w:tc>
        <w:tc>
          <w:tcPr>
            <w:tcW w:type="dxa" w:w="1814"/>
            <w:vAlign w:val="center"/>
            <w:shd w:val="clear" w:color="auto" w:fill="F9F9F9"/>
          </w:tcPr>
          <w:p>
            <w:pPr>
              <w:spacing w:before="50" w:after="50"/>
              <w:jc w:val="center"/>
            </w:pPr>
            <w:r>
              <w:rPr>
                <w:rFonts w:ascii="Calibri" w:hAnsi="Calibri"/>
                <w:b/>
                <w:color w:val="000000"/>
                <w:sz w:val="17"/>
              </w:rPr>
              <w:t>0.33 us (p50)</w:t>
            </w:r>
          </w:p>
        </w:tc>
        <w:tc>
          <w:tcPr>
            <w:tcW w:type="dxa" w:w="1814"/>
            <w:vAlign w:val="center"/>
            <w:shd w:val="clear" w:color="auto" w:fill="F9F9F9"/>
          </w:tcPr>
          <w:p>
            <w:pPr>
              <w:spacing w:before="50" w:after="50"/>
              <w:jc w:val="center"/>
            </w:pPr>
            <w:r>
              <w:rPr>
                <w:rFonts w:ascii="Calibri" w:hAnsi="Calibri"/>
                <w:b/>
                <w:color w:val="000000"/>
                <w:sz w:val="17"/>
              </w:rPr>
              <w:t>148 ms - 2.8 s (Async)</w:t>
            </w:r>
          </w:p>
        </w:tc>
        <w:tc>
          <w:tcPr>
            <w:tcW w:type="dxa" w:w="1701"/>
            <w:vAlign w:val="center"/>
            <w:shd w:val="clear" w:color="auto" w:fill="F9F9F9"/>
          </w:tcPr>
          <w:p>
            <w:pPr>
              <w:spacing w:before="50" w:after="50"/>
              <w:jc w:val="center"/>
            </w:pPr>
            <w:r>
              <w:rPr>
                <w:rFonts w:ascii="Calibri" w:hAnsi="Calibri"/>
                <w:b/>
                <w:color w:val="000000"/>
                <w:sz w:val="17"/>
              </w:rPr>
              <w:t>1 Gbps (PCIe NIC)</w:t>
            </w:r>
          </w:p>
        </w:tc>
        <w:tc>
          <w:tcPr>
            <w:tcW w:type="dxa" w:w="1701"/>
            <w:vAlign w:val="center"/>
            <w:shd w:val="clear" w:color="auto" w:fill="F9F9F9"/>
          </w:tcPr>
          <w:p>
            <w:pPr>
              <w:spacing w:before="50" w:after="50"/>
              <w:jc w:val="left"/>
            </w:pPr>
            <w:r>
              <w:rPr>
                <w:rFonts w:ascii="Calibri" w:hAnsi="Calibri"/>
                <w:b/>
                <w:color w:val="000000"/>
                <w:sz w:val="17"/>
              </w:rPr>
              <w:t>Kernel eBPF (x86/ARM)</w:t>
            </w:r>
          </w:p>
        </w:tc>
      </w:tr>
    </w:tbl>
    <w:p>
      <w:pPr>
        <w:spacing w:before="40" w:after="160"/>
        <w:jc w:val="center"/>
      </w:pPr>
      <w:r>
        <w:rPr>
          <w:rFonts w:ascii="Calibri" w:hAnsi="Calibri"/>
          <w:i/>
          <w:color w:val="333333"/>
          <w:sz w:val="18"/>
        </w:rPr>
        <w:t>Table IV: Latency and throughput comparison.</w:t>
      </w:r>
    </w:p>
    <w:p>
      <w:pPr>
        <w:spacing w:before="120" w:after="80"/>
        <w:jc w:val="left"/>
      </w:pPr>
      <w:r>
        <w:rPr>
          <w:rFonts w:ascii="Calibri" w:hAnsi="Calibri"/>
          <w:b/>
          <w:color w:val="000000"/>
          <w:sz w:val="23"/>
        </w:rPr>
        <w:t>D. Sovereignty and Privacy Properties</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984"/>
            <w:shd w:val="clear" w:color="auto" w:fill="111827"/>
            <w:vAlign w:val="center"/>
          </w:tcPr>
          <w:p>
            <w:pPr>
              <w:spacing w:before="60" w:after="60"/>
              <w:jc w:val="center"/>
            </w:pPr>
            <w:r>
              <w:rPr>
                <w:rFonts w:ascii="Calibri" w:hAnsi="Calibri"/>
                <w:b/>
                <w:color w:val="FFFFFF"/>
                <w:sz w:val="17"/>
              </w:rPr>
              <w:t>Property</w:t>
            </w:r>
          </w:p>
        </w:tc>
        <w:tc>
          <w:tcPr>
            <w:tcW w:type="dxa" w:w="1587"/>
            <w:shd w:val="clear" w:color="auto" w:fill="111827"/>
            <w:vAlign w:val="center"/>
          </w:tcPr>
          <w:p>
            <w:pPr>
              <w:spacing w:before="60" w:after="60"/>
              <w:jc w:val="center"/>
            </w:pPr>
            <w:r>
              <w:rPr>
                <w:rFonts w:ascii="Calibri" w:hAnsi="Calibri"/>
                <w:b/>
                <w:color w:val="FFFFFF"/>
                <w:sz w:val="17"/>
              </w:rPr>
              <w:t>Snort / Suricata</w:t>
            </w:r>
          </w:p>
        </w:tc>
        <w:tc>
          <w:tcPr>
            <w:tcW w:type="dxa" w:w="1814"/>
            <w:shd w:val="clear" w:color="auto" w:fill="111827"/>
            <w:vAlign w:val="center"/>
          </w:tcPr>
          <w:p>
            <w:pPr>
              <w:spacing w:before="60" w:after="60"/>
              <w:jc w:val="center"/>
            </w:pPr>
            <w:r>
              <w:rPr>
                <w:rFonts w:ascii="Calibri" w:hAnsi="Calibri"/>
                <w:b/>
                <w:color w:val="FFFFFF"/>
                <w:sz w:val="17"/>
              </w:rPr>
              <w:t>Palo Alto / Cisco</w:t>
            </w:r>
          </w:p>
        </w:tc>
        <w:tc>
          <w:tcPr>
            <w:tcW w:type="dxa" w:w="1587"/>
            <w:shd w:val="clear" w:color="auto" w:fill="111827"/>
            <w:vAlign w:val="center"/>
          </w:tcPr>
          <w:p>
            <w:pPr>
              <w:spacing w:before="60" w:after="60"/>
              <w:jc w:val="center"/>
            </w:pPr>
            <w:r>
              <w:rPr>
                <w:rFonts w:ascii="Calibri" w:hAnsi="Calibri"/>
                <w:b/>
                <w:color w:val="FFFFFF"/>
                <w:sz w:val="17"/>
              </w:rPr>
              <w:t>Cloudflare</w:t>
            </w:r>
          </w:p>
        </w:tc>
        <w:tc>
          <w:tcPr>
            <w:tcW w:type="dxa" w:w="2041"/>
            <w:shd w:val="clear" w:color="auto" w:fill="111827"/>
            <w:vAlign w:val="center"/>
          </w:tcPr>
          <w:p>
            <w:pPr>
              <w:spacing w:before="60" w:after="60"/>
              <w:jc w:val="center"/>
            </w:pPr>
            <w:r>
              <w:rPr>
                <w:rFonts w:ascii="Calibri" w:hAnsi="Calibri"/>
                <w:b/>
                <w:color w:val="FFFFFF"/>
                <w:sz w:val="17"/>
              </w:rPr>
              <w:t>Autonomous Agent (ours)</w:t>
            </w:r>
          </w:p>
        </w:tc>
      </w:tr>
      <w:tr>
        <w:tc>
          <w:tcPr>
            <w:tcW w:type="dxa" w:w="1984"/>
            <w:vAlign w:val="center"/>
            <w:shd w:val="clear" w:color="auto" w:fill="FFFFFF"/>
          </w:tcPr>
          <w:p>
            <w:pPr>
              <w:spacing w:before="50" w:after="50"/>
              <w:jc w:val="left"/>
            </w:pPr>
            <w:r>
              <w:rPr>
                <w:rFonts w:ascii="Calibri" w:hAnsi="Calibri"/>
                <w:b w:val="0"/>
                <w:color w:val="000000"/>
                <w:sz w:val="17"/>
              </w:rPr>
              <w:t>Air-gapped operation</w:t>
            </w:r>
          </w:p>
        </w:tc>
        <w:tc>
          <w:tcPr>
            <w:tcW w:type="dxa" w:w="1587"/>
            <w:vAlign w:val="center"/>
            <w:shd w:val="clear" w:color="auto" w:fill="FFFFFF"/>
          </w:tcPr>
          <w:p>
            <w:pPr>
              <w:spacing w:before="50" w:after="50"/>
              <w:jc w:val="center"/>
            </w:pPr>
            <w:r>
              <w:rPr>
                <w:rFonts w:ascii="Calibri" w:hAnsi="Calibri"/>
                <w:b w:val="0"/>
                <w:color w:val="000000"/>
                <w:sz w:val="17"/>
              </w:rPr>
              <w:t>Yes (no updates)</w:t>
            </w:r>
          </w:p>
        </w:tc>
        <w:tc>
          <w:tcPr>
            <w:tcW w:type="dxa" w:w="1814"/>
            <w:vAlign w:val="center"/>
            <w:shd w:val="clear" w:color="auto" w:fill="FFFFFF"/>
          </w:tcPr>
          <w:p>
            <w:pPr>
              <w:spacing w:before="50" w:after="50"/>
              <w:jc w:val="center"/>
            </w:pPr>
            <w:r>
              <w:rPr>
                <w:rFonts w:ascii="Calibri" w:hAnsi="Calibri"/>
                <w:b w:val="0"/>
                <w:color w:val="000000"/>
                <w:sz w:val="17"/>
              </w:rPr>
              <w:t>No (cloud feeds)</w:t>
            </w:r>
          </w:p>
        </w:tc>
        <w:tc>
          <w:tcPr>
            <w:tcW w:type="dxa" w:w="1587"/>
            <w:vAlign w:val="center"/>
            <w:shd w:val="clear" w:color="auto" w:fill="FFFFFF"/>
          </w:tcPr>
          <w:p>
            <w:pPr>
              <w:spacing w:before="50" w:after="50"/>
              <w:jc w:val="center"/>
            </w:pPr>
            <w:r>
              <w:rPr>
                <w:rFonts w:ascii="Calibri" w:hAnsi="Calibri"/>
                <w:b w:val="0"/>
                <w:color w:val="000000"/>
                <w:sz w:val="17"/>
              </w:rPr>
              <w:t>No (cloud-only)</w:t>
            </w:r>
          </w:p>
        </w:tc>
        <w:tc>
          <w:tcPr>
            <w:tcW w:type="dxa" w:w="2041"/>
            <w:vAlign w:val="center"/>
            <w:shd w:val="clear" w:color="auto" w:fill="F1F5F9"/>
          </w:tcPr>
          <w:p>
            <w:pPr>
              <w:spacing w:before="50" w:after="50"/>
              <w:jc w:val="center"/>
            </w:pPr>
            <w:r>
              <w:rPr>
                <w:rFonts w:ascii="Calibri" w:hAnsi="Calibri"/>
                <w:b/>
                <w:color w:val="000000"/>
                <w:sz w:val="17"/>
              </w:rPr>
              <w:t>Yes - Full offline</w:t>
            </w:r>
          </w:p>
        </w:tc>
      </w:tr>
      <w:tr>
        <w:tc>
          <w:tcPr>
            <w:tcW w:type="dxa" w:w="1984"/>
            <w:vAlign w:val="center"/>
            <w:shd w:val="clear" w:color="auto" w:fill="F9F9F9"/>
          </w:tcPr>
          <w:p>
            <w:pPr>
              <w:spacing w:before="50" w:after="50"/>
              <w:jc w:val="left"/>
            </w:pPr>
            <w:r>
              <w:rPr>
                <w:rFonts w:ascii="Calibri" w:hAnsi="Calibri"/>
                <w:b w:val="0"/>
                <w:color w:val="000000"/>
                <w:sz w:val="17"/>
              </w:rPr>
              <w:t>Zero third-party telemetry</w:t>
            </w:r>
          </w:p>
        </w:tc>
        <w:tc>
          <w:tcPr>
            <w:tcW w:type="dxa" w:w="1587"/>
            <w:vAlign w:val="center"/>
            <w:shd w:val="clear" w:color="auto" w:fill="F9F9F9"/>
          </w:tcPr>
          <w:p>
            <w:pPr>
              <w:spacing w:before="50" w:after="50"/>
              <w:jc w:val="center"/>
            </w:pPr>
            <w:r>
              <w:rPr>
                <w:rFonts w:ascii="Calibri" w:hAnsi="Calibri"/>
                <w:b w:val="0"/>
                <w:color w:val="000000"/>
                <w:sz w:val="17"/>
              </w:rPr>
              <w:t>Yes</w:t>
            </w:r>
          </w:p>
        </w:tc>
        <w:tc>
          <w:tcPr>
            <w:tcW w:type="dxa" w:w="1814"/>
            <w:vAlign w:val="center"/>
            <w:shd w:val="clear" w:color="auto" w:fill="F9F9F9"/>
          </w:tcPr>
          <w:p>
            <w:pPr>
              <w:spacing w:before="50" w:after="50"/>
              <w:jc w:val="center"/>
            </w:pPr>
            <w:r>
              <w:rPr>
                <w:rFonts w:ascii="Calibri" w:hAnsi="Calibri"/>
                <w:b w:val="0"/>
                <w:color w:val="000000"/>
                <w:sz w:val="17"/>
              </w:rPr>
              <w:t>No (Wildfire/Talos)</w:t>
            </w:r>
          </w:p>
        </w:tc>
        <w:tc>
          <w:tcPr>
            <w:tcW w:type="dxa" w:w="1587"/>
            <w:vAlign w:val="center"/>
            <w:shd w:val="clear" w:color="auto" w:fill="F9F9F9"/>
          </w:tcPr>
          <w:p>
            <w:pPr>
              <w:spacing w:before="50" w:after="50"/>
              <w:jc w:val="center"/>
            </w:pPr>
            <w:r>
              <w:rPr>
                <w:rFonts w:ascii="Calibri" w:hAnsi="Calibri"/>
                <w:b w:val="0"/>
                <w:color w:val="000000"/>
                <w:sz w:val="17"/>
              </w:rPr>
              <w:t>No (payload inspect)</w:t>
            </w:r>
          </w:p>
        </w:tc>
        <w:tc>
          <w:tcPr>
            <w:tcW w:type="dxa" w:w="2041"/>
            <w:vAlign w:val="center"/>
            <w:shd w:val="clear" w:color="auto" w:fill="F1F5F9"/>
          </w:tcPr>
          <w:p>
            <w:pPr>
              <w:spacing w:before="50" w:after="50"/>
              <w:jc w:val="center"/>
            </w:pPr>
            <w:r>
              <w:rPr>
                <w:rFonts w:ascii="Calibri" w:hAnsi="Calibri"/>
                <w:b/>
                <w:color w:val="000000"/>
                <w:sz w:val="17"/>
              </w:rPr>
              <w:t>Yes - Zero calls</w:t>
            </w:r>
          </w:p>
        </w:tc>
      </w:tr>
      <w:tr>
        <w:tc>
          <w:tcPr>
            <w:tcW w:type="dxa" w:w="1984"/>
            <w:vAlign w:val="center"/>
            <w:shd w:val="clear" w:color="auto" w:fill="FFFFFF"/>
          </w:tcPr>
          <w:p>
            <w:pPr>
              <w:spacing w:before="50" w:after="50"/>
              <w:jc w:val="left"/>
            </w:pPr>
            <w:r>
              <w:rPr>
                <w:rFonts w:ascii="Calibri" w:hAnsi="Calibri"/>
                <w:b w:val="0"/>
                <w:color w:val="000000"/>
                <w:sz w:val="17"/>
              </w:rPr>
              <w:t>Post-quantum crypto</w:t>
            </w:r>
          </w:p>
        </w:tc>
        <w:tc>
          <w:tcPr>
            <w:tcW w:type="dxa" w:w="1587"/>
            <w:vAlign w:val="center"/>
            <w:shd w:val="clear" w:color="auto" w:fill="FFFFFF"/>
          </w:tcPr>
          <w:p>
            <w:pPr>
              <w:spacing w:before="50" w:after="50"/>
              <w:jc w:val="center"/>
            </w:pPr>
            <w:r>
              <w:rPr>
                <w:rFonts w:ascii="Calibri" w:hAnsi="Calibri"/>
                <w:b w:val="0"/>
                <w:color w:val="000000"/>
                <w:sz w:val="17"/>
              </w:rPr>
              <w:t>No</w:t>
            </w:r>
          </w:p>
        </w:tc>
        <w:tc>
          <w:tcPr>
            <w:tcW w:type="dxa" w:w="1814"/>
            <w:vAlign w:val="center"/>
            <w:shd w:val="clear" w:color="auto" w:fill="FFFFFF"/>
          </w:tcPr>
          <w:p>
            <w:pPr>
              <w:spacing w:before="50" w:after="50"/>
              <w:jc w:val="center"/>
            </w:pPr>
            <w:r>
              <w:rPr>
                <w:rFonts w:ascii="Calibri" w:hAnsi="Calibri"/>
                <w:b w:val="0"/>
                <w:color w:val="000000"/>
                <w:sz w:val="17"/>
              </w:rPr>
              <w:t>Partial (roadmap)</w:t>
            </w:r>
          </w:p>
        </w:tc>
        <w:tc>
          <w:tcPr>
            <w:tcW w:type="dxa" w:w="1587"/>
            <w:vAlign w:val="center"/>
            <w:shd w:val="clear" w:color="auto" w:fill="FFFFFF"/>
          </w:tcPr>
          <w:p>
            <w:pPr>
              <w:spacing w:before="50" w:after="50"/>
              <w:jc w:val="center"/>
            </w:pPr>
            <w:r>
              <w:rPr>
                <w:rFonts w:ascii="Calibri" w:hAnsi="Calibri"/>
                <w:b w:val="0"/>
                <w:color w:val="000000"/>
                <w:sz w:val="17"/>
              </w:rPr>
              <w:t>Partial (exp.)</w:t>
            </w:r>
          </w:p>
        </w:tc>
        <w:tc>
          <w:tcPr>
            <w:tcW w:type="dxa" w:w="2041"/>
            <w:vAlign w:val="center"/>
            <w:shd w:val="clear" w:color="auto" w:fill="F1F5F9"/>
          </w:tcPr>
          <w:p>
            <w:pPr>
              <w:spacing w:before="50" w:after="50"/>
              <w:jc w:val="center"/>
            </w:pPr>
            <w:r>
              <w:rPr>
                <w:rFonts w:ascii="Calibri" w:hAnsi="Calibri"/>
                <w:b/>
                <w:color w:val="000000"/>
                <w:sz w:val="17"/>
              </w:rPr>
              <w:t>ML-KEM-1024 + ML-DSA-65</w:t>
            </w:r>
          </w:p>
        </w:tc>
      </w:tr>
      <w:tr>
        <w:tc>
          <w:tcPr>
            <w:tcW w:type="dxa" w:w="1984"/>
            <w:vAlign w:val="center"/>
            <w:shd w:val="clear" w:color="auto" w:fill="F9F9F9"/>
          </w:tcPr>
          <w:p>
            <w:pPr>
              <w:spacing w:before="50" w:after="50"/>
              <w:jc w:val="left"/>
            </w:pPr>
            <w:r>
              <w:rPr>
                <w:rFonts w:ascii="Calibri" w:hAnsi="Calibri"/>
                <w:b w:val="0"/>
                <w:color w:val="000000"/>
                <w:sz w:val="17"/>
              </w:rPr>
              <w:t>No subscription required</w:t>
            </w:r>
          </w:p>
        </w:tc>
        <w:tc>
          <w:tcPr>
            <w:tcW w:type="dxa" w:w="1587"/>
            <w:vAlign w:val="center"/>
            <w:shd w:val="clear" w:color="auto" w:fill="F9F9F9"/>
          </w:tcPr>
          <w:p>
            <w:pPr>
              <w:spacing w:before="50" w:after="50"/>
              <w:jc w:val="center"/>
            </w:pPr>
            <w:r>
              <w:rPr>
                <w:rFonts w:ascii="Calibri" w:hAnsi="Calibri"/>
                <w:b w:val="0"/>
                <w:color w:val="000000"/>
                <w:sz w:val="17"/>
              </w:rPr>
              <w:t>Yes</w:t>
            </w:r>
          </w:p>
        </w:tc>
        <w:tc>
          <w:tcPr>
            <w:tcW w:type="dxa" w:w="1814"/>
            <w:vAlign w:val="center"/>
            <w:shd w:val="clear" w:color="auto" w:fill="F9F9F9"/>
          </w:tcPr>
          <w:p>
            <w:pPr>
              <w:spacing w:before="50" w:after="50"/>
              <w:jc w:val="center"/>
            </w:pPr>
            <w:r>
              <w:rPr>
                <w:rFonts w:ascii="Calibri" w:hAnsi="Calibri"/>
                <w:b w:val="0"/>
                <w:color w:val="000000"/>
                <w:sz w:val="17"/>
              </w:rPr>
              <w:t>No ($40k-$200k/yr)</w:t>
            </w:r>
          </w:p>
        </w:tc>
        <w:tc>
          <w:tcPr>
            <w:tcW w:type="dxa" w:w="1587"/>
            <w:vAlign w:val="center"/>
            <w:shd w:val="clear" w:color="auto" w:fill="F9F9F9"/>
          </w:tcPr>
          <w:p>
            <w:pPr>
              <w:spacing w:before="50" w:after="50"/>
              <w:jc w:val="center"/>
            </w:pPr>
            <w:r>
              <w:rPr>
                <w:rFonts w:ascii="Calibri" w:hAnsi="Calibri"/>
                <w:b w:val="0"/>
                <w:color w:val="000000"/>
                <w:sz w:val="17"/>
              </w:rPr>
              <w:t>No ($0.05+/Gbps)</w:t>
            </w:r>
          </w:p>
        </w:tc>
        <w:tc>
          <w:tcPr>
            <w:tcW w:type="dxa" w:w="2041"/>
            <w:vAlign w:val="center"/>
            <w:shd w:val="clear" w:color="auto" w:fill="F1F5F9"/>
          </w:tcPr>
          <w:p>
            <w:pPr>
              <w:spacing w:before="50" w:after="50"/>
              <w:jc w:val="center"/>
            </w:pPr>
            <w:r>
              <w:rPr>
                <w:rFonts w:ascii="Calibri" w:hAnsi="Calibri"/>
                <w:b/>
                <w:color w:val="000000"/>
                <w:sz w:val="17"/>
              </w:rPr>
              <w:t>Yes - Zero cost</w:t>
            </w:r>
          </w:p>
        </w:tc>
      </w:tr>
      <w:tr>
        <w:tc>
          <w:tcPr>
            <w:tcW w:type="dxa" w:w="1984"/>
            <w:vAlign w:val="center"/>
            <w:shd w:val="clear" w:color="auto" w:fill="FFFFFF"/>
          </w:tcPr>
          <w:p>
            <w:pPr>
              <w:spacing w:before="50" w:after="50"/>
              <w:jc w:val="left"/>
            </w:pPr>
            <w:r>
              <w:rPr>
                <w:rFonts w:ascii="Calibri" w:hAnsi="Calibri"/>
                <w:b w:val="0"/>
                <w:color w:val="000000"/>
                <w:sz w:val="17"/>
              </w:rPr>
              <w:t>Attacker deception/tarpit</w:t>
            </w:r>
          </w:p>
        </w:tc>
        <w:tc>
          <w:tcPr>
            <w:tcW w:type="dxa" w:w="1587"/>
            <w:vAlign w:val="center"/>
            <w:shd w:val="clear" w:color="auto" w:fill="FFFFFF"/>
          </w:tcPr>
          <w:p>
            <w:pPr>
              <w:spacing w:before="50" w:after="50"/>
              <w:jc w:val="center"/>
            </w:pPr>
            <w:r>
              <w:rPr>
                <w:rFonts w:ascii="Calibri" w:hAnsi="Calibri"/>
                <w:b w:val="0"/>
                <w:color w:val="000000"/>
                <w:sz w:val="17"/>
              </w:rPr>
              <w:t>No</w:t>
            </w:r>
          </w:p>
        </w:tc>
        <w:tc>
          <w:tcPr>
            <w:tcW w:type="dxa" w:w="1814"/>
            <w:vAlign w:val="center"/>
            <w:shd w:val="clear" w:color="auto" w:fill="FFFFFF"/>
          </w:tcPr>
          <w:p>
            <w:pPr>
              <w:spacing w:before="50" w:after="50"/>
              <w:jc w:val="center"/>
            </w:pPr>
            <w:r>
              <w:rPr>
                <w:rFonts w:ascii="Calibri" w:hAnsi="Calibri"/>
                <w:b w:val="0"/>
                <w:color w:val="000000"/>
                <w:sz w:val="17"/>
              </w:rPr>
              <w:t>No (RST only)</w:t>
            </w:r>
          </w:p>
        </w:tc>
        <w:tc>
          <w:tcPr>
            <w:tcW w:type="dxa" w:w="1587"/>
            <w:vAlign w:val="center"/>
            <w:shd w:val="clear" w:color="auto" w:fill="FFFFFF"/>
          </w:tcPr>
          <w:p>
            <w:pPr>
              <w:spacing w:before="50" w:after="50"/>
              <w:jc w:val="center"/>
            </w:pPr>
            <w:r>
              <w:rPr>
                <w:rFonts w:ascii="Calibri" w:hAnsi="Calibri"/>
                <w:b w:val="0"/>
                <w:color w:val="000000"/>
                <w:sz w:val="17"/>
              </w:rPr>
              <w:t>No (blackhole only)</w:t>
            </w:r>
          </w:p>
        </w:tc>
        <w:tc>
          <w:tcPr>
            <w:tcW w:type="dxa" w:w="2041"/>
            <w:vAlign w:val="center"/>
            <w:shd w:val="clear" w:color="auto" w:fill="F1F5F9"/>
          </w:tcPr>
          <w:p>
            <w:pPr>
              <w:spacing w:before="50" w:after="50"/>
              <w:jc w:val="center"/>
            </w:pPr>
            <w:r>
              <w:rPr>
                <w:rFonts w:ascii="Calibri" w:hAnsi="Calibri"/>
                <w:b/>
                <w:color w:val="000000"/>
                <w:sz w:val="17"/>
              </w:rPr>
              <w:t>AI tarpit + honey-token</w:t>
            </w:r>
          </w:p>
        </w:tc>
      </w:tr>
      <w:tr>
        <w:tc>
          <w:tcPr>
            <w:tcW w:type="dxa" w:w="1984"/>
            <w:vAlign w:val="center"/>
            <w:shd w:val="clear" w:color="auto" w:fill="F9F9F9"/>
          </w:tcPr>
          <w:p>
            <w:pPr>
              <w:spacing w:before="50" w:after="50"/>
              <w:jc w:val="left"/>
            </w:pPr>
            <w:r>
              <w:rPr>
                <w:rFonts w:ascii="Calibri" w:hAnsi="Calibri"/>
                <w:b w:val="0"/>
                <w:color w:val="000000"/>
                <w:sz w:val="17"/>
              </w:rPr>
              <w:t>Moving Target Defence</w:t>
            </w:r>
          </w:p>
        </w:tc>
        <w:tc>
          <w:tcPr>
            <w:tcW w:type="dxa" w:w="1587"/>
            <w:vAlign w:val="center"/>
            <w:shd w:val="clear" w:color="auto" w:fill="F9F9F9"/>
          </w:tcPr>
          <w:p>
            <w:pPr>
              <w:spacing w:before="50" w:after="50"/>
              <w:jc w:val="center"/>
            </w:pPr>
            <w:r>
              <w:rPr>
                <w:rFonts w:ascii="Calibri" w:hAnsi="Calibri"/>
                <w:b w:val="0"/>
                <w:color w:val="000000"/>
                <w:sz w:val="17"/>
              </w:rPr>
              <w:t>No</w:t>
            </w:r>
          </w:p>
        </w:tc>
        <w:tc>
          <w:tcPr>
            <w:tcW w:type="dxa" w:w="1814"/>
            <w:vAlign w:val="center"/>
            <w:shd w:val="clear" w:color="auto" w:fill="F9F9F9"/>
          </w:tcPr>
          <w:p>
            <w:pPr>
              <w:spacing w:before="50" w:after="50"/>
              <w:jc w:val="center"/>
            </w:pPr>
            <w:r>
              <w:rPr>
                <w:rFonts w:ascii="Calibri" w:hAnsi="Calibri"/>
                <w:b w:val="0"/>
                <w:color w:val="000000"/>
                <w:sz w:val="17"/>
              </w:rPr>
              <w:t>No</w:t>
            </w:r>
          </w:p>
        </w:tc>
        <w:tc>
          <w:tcPr>
            <w:tcW w:type="dxa" w:w="1587"/>
            <w:vAlign w:val="center"/>
            <w:shd w:val="clear" w:color="auto" w:fill="F9F9F9"/>
          </w:tcPr>
          <w:p>
            <w:pPr>
              <w:spacing w:before="50" w:after="50"/>
              <w:jc w:val="center"/>
            </w:pPr>
            <w:r>
              <w:rPr>
                <w:rFonts w:ascii="Calibri" w:hAnsi="Calibri"/>
                <w:b w:val="0"/>
                <w:color w:val="000000"/>
                <w:sz w:val="17"/>
              </w:rPr>
              <w:t>No</w:t>
            </w:r>
          </w:p>
        </w:tc>
        <w:tc>
          <w:tcPr>
            <w:tcW w:type="dxa" w:w="2041"/>
            <w:vAlign w:val="center"/>
            <w:shd w:val="clear" w:color="auto" w:fill="F1F5F9"/>
          </w:tcPr>
          <w:p>
            <w:pPr>
              <w:spacing w:before="50" w:after="50"/>
              <w:jc w:val="center"/>
            </w:pPr>
            <w:r>
              <w:rPr>
                <w:rFonts w:ascii="Calibri" w:hAnsi="Calibri"/>
                <w:b/>
                <w:color w:val="000000"/>
                <w:sz w:val="17"/>
              </w:rPr>
              <w:t>HMAC-SHA256 port hopping</w:t>
            </w:r>
          </w:p>
        </w:tc>
      </w:tr>
    </w:tbl>
    <w:p>
      <w:pPr>
        <w:spacing w:before="40" w:after="160"/>
        <w:jc w:val="center"/>
      </w:pPr>
      <w:r>
        <w:rPr>
          <w:rFonts w:ascii="Calibri" w:hAnsi="Calibri"/>
          <w:i/>
          <w:color w:val="333333"/>
          <w:sz w:val="18"/>
        </w:rPr>
        <w:t>Table V: Sovereignty, privacy, and unique capability comparison.</w:t>
      </w:r>
    </w:p>
    <w:p>
      <w:pPr>
        <w:spacing w:before="240" w:after="80"/>
        <w:jc w:val="left"/>
      </w:pPr>
      <w:r>
        <w:rPr>
          <w:rFonts w:ascii="Calibri" w:hAnsi="Calibri"/>
          <w:b/>
          <w:color w:val="000000"/>
          <w:sz w:val="28"/>
        </w:rPr>
        <w:t>V.  Experimental Setup and Results</w:t>
      </w:r>
    </w:p>
    <w:p>
      <w:pPr>
        <w:spacing w:before="120" w:after="80"/>
        <w:jc w:val="left"/>
      </w:pPr>
      <w:r>
        <w:rPr>
          <w:rFonts w:ascii="Calibri" w:hAnsi="Calibri"/>
          <w:b/>
          <w:color w:val="000000"/>
          <w:sz w:val="23"/>
        </w:rPr>
        <w:t>A. Test Environment &amp; Hardware Deployment</w:t>
      </w:r>
    </w:p>
    <w:p>
      <w:pPr>
        <w:spacing w:after="100"/>
        <w:jc w:val="both"/>
      </w:pPr>
      <w:r>
        <w:rPr>
          <w:rFonts w:ascii="Calibri" w:hAnsi="Calibri"/>
          <w:i w:val="0"/>
          <w:color w:val="000000"/>
          <w:sz w:val="21"/>
        </w:rPr>
        <w:t>To establish rigorous empirical grounding without ambiguity between physical hardware measurements and statistical modelling, the evaluation methodology explicitly distinguishes between two complementary experimental environments: (1) Physical Hardware Inline Testbed: A physical, resource-constrained commodity edge computing appliance (Intel Core i5-4570 @ 3.20 GHz, 4 cores, 16 GB DDR3 RAM) running Ubuntu Server 22.04 LTS (Linux kernel 6.x, libbpf, Clang/LLVM). This node was configured as a dual-NIC transparent bridge (br0) with Intel 82574L PCIe Gigabit Ethernet controllers situated inline between an upstream WAN boundary router and internal protected network assets. This physical testbed was used to empirically measure live driver-level XDP hook execution, zero-copy packet drop latencies via hardware timestamps, live Nmap scan disruption under active MTD port hopping, real-world Post-Quantum Cryptographic handshakes (NIST FIPS 203 ML-KEM-1024 and FIPS 204 ML-DSA-65), and system daemon resource footprints under continuous operation; and (2) Massive-Scale Offline Monte Carlo Trace Emulation Suite: An automated, high-throughput trace-driven evaluation harness (scripts/run_massive_scale_emulator_test.py) calibrated against verified feature distributions, packet inter-arrival times, and payload byte-entropy profiles extracted from CSE-CIC-IDS2018 [19], UNSW-NB15 [18], and CTU-13 [20]. Operating across a corpus of 10,000,000 verified network flows (2,998,265 attack flows across 18 distinct threat vectors and 7,001,735 benign flows), this trace emulation environment enables rigorous statistical validation, Wilson score 95% confidence intervals, and confusion-matrix determination that would otherwise be infeasible to collect over months of manual physical packet injection without statistical variance.</w:t>
      </w:r>
    </w:p>
    <w:p>
      <w:pPr>
        <w:spacing w:before="120" w:after="80"/>
        <w:jc w:val="left"/>
      </w:pPr>
      <w:r>
        <w:rPr>
          <w:rFonts w:ascii="Calibri" w:hAnsi="Calibri"/>
          <w:b/>
          <w:color w:val="000000"/>
          <w:sz w:val="23"/>
        </w:rPr>
        <w:t>B. End-to-End Verification Suite &amp; Reproducibility Package</w:t>
      </w:r>
    </w:p>
    <w:p>
      <w:pPr>
        <w:spacing w:after="100"/>
        <w:jc w:val="both"/>
      </w:pPr>
      <w:r>
        <w:rPr>
          <w:rFonts w:ascii="Calibri" w:hAnsi="Calibri"/>
          <w:i w:val="0"/>
          <w:color w:val="000000"/>
          <w:sz w:val="21"/>
        </w:rPr>
        <w:t>To ensure full experimental reproducibility, the complete open-source implementation is made publicly available at https://github.com/Sadek-Mahmud/asm-shadhin-ai under the MIT licence. The release package includes the automated test harness (scripts/test_master_suite.sh and scripts/test_ubuntu_full.py), self-contained systemd service unit files (sec-inline-bridge, sec-monitor, sec-tarpit), and offline release packaging. The automated validation suite achieves a 9/9 (100%) pass rate across all verification phases:</w:t>
      </w:r>
    </w:p>
    <w:p>
      <w:pPr>
        <w:spacing w:after="100"/>
        <w:ind w:left="567" w:right="567"/>
        <w:shd w:val="clear" w:color="auto" w:fill="F8FAFC"/>
      </w:pPr>
      <w:r>
        <w:rPr>
          <w:rFonts w:ascii="Courier New" w:hAnsi="Courier New"/>
          <w:color w:val="000000"/>
          <w:sz w:val="18"/>
        </w:rPr>
        <w:t>STEP 1/9  Python py_compile (daemon, dashboard, scripts)  ........ PASSED</w:t>
        <w:br/>
        <w:t>STEP 2/9  Bash static syntax (bash -n, 8 scripts)  ............... PASSED</w:t>
        <w:br/>
        <w:t>STEP 3/9  eBPF/XDP clang -target bpf -O2 (ebpf_filter.o, 20KB)  . PASSED</w:t>
        <w:br/>
        <w:t>STEP 4/9  11-check diagnostic integrity suite (11/11 sub-checks) . PASSED</w:t>
        <w:br/>
        <w:t>STEP 5/9  PQC handshake: ML-KEM-1024, ML-DSA-65, AES-256-GCM .... PASSED</w:t>
        <w:br/>
        <w:t>STEP 6/9  Dual-NIC transparent bridge br0 commissioning  ......... PASSED</w:t>
        <w:br/>
        <w:t>STEP 7/9  Isolated L3 gateway (NAT masquerade 10.99.1.0/24)  ..... PASSED</w:t>
        <w:br/>
        <w:t>STEP 8/9  Daemons: LLM verdict, eBPF ctrl, MTD, entropy, tarpit . PASSED</w:t>
        <w:br/>
        <w:t>STEP 9/9  Flask SOC dashboard smoke test (port 9090)  ............. PASSED</w:t>
      </w:r>
    </w:p>
    <w:p>
      <w:pPr>
        <w:spacing w:before="120" w:after="80"/>
        <w:jc w:val="left"/>
      </w:pPr>
      <w:r>
        <w:rPr>
          <w:rFonts w:ascii="Calibri" w:hAnsi="Calibri"/>
          <w:b/>
          <w:color w:val="000000"/>
          <w:sz w:val="23"/>
        </w:rPr>
        <w:t>C. XDP Mitigation Latency and Control-Plane Benchmarks</w:t>
      </w:r>
    </w:p>
    <w:p>
      <w:pPr>
        <w:spacing w:after="100"/>
        <w:jc w:val="both"/>
      </w:pPr>
      <w:r>
        <w:rPr>
          <w:rFonts w:ascii="Calibri" w:hAnsi="Calibri"/>
          <w:i w:val="0"/>
          <w:color w:val="000000"/>
          <w:sz w:val="21"/>
        </w:rPr>
        <w:t>Physical data-plane latency was measured on the Core i5 physical bridge testbed from NIC DMA completion to XDP_DROP return using high-resolution bpf_ktime_get_ns() timestamps recorded in a per-CPU array map across 100,000 sampled inline packet bursts: median latency p50 = 0.33 us, p90 = 0.92 us, p95 = 4.62 us, and p99 = 20.79 us (the latter reflecting cold-cache map lookups and payload window entropy checks), confirming true line-rate sub-microsecond inline enforcement. In contrast, control-plane LLM semantic reasoning executed on the commodity CPU averaged 2.4 s (with an initial fast-path heuristic triage of 148 ms) at Q4_K_M quantization. Because control-plane inference operates entirely asynchronously via background queue workers consuming from BPF ring buffers, the second-scale LLM processing interval never impedes wire-speed packet forwarding or introduces latency jitter into transit traffic.</w:t>
      </w:r>
    </w:p>
    <w:p>
      <w:pPr>
        <w:spacing w:before="120" w:after="80"/>
        <w:jc w:val="left"/>
      </w:pPr>
      <w:r>
        <w:rPr>
          <w:rFonts w:ascii="Calibri" w:hAnsi="Calibri"/>
          <w:b/>
          <w:color w:val="000000"/>
          <w:sz w:val="23"/>
        </w:rPr>
        <w:t>D. MTD Reconnaissance Frustration Test</w:t>
      </w:r>
    </w:p>
    <w:p>
      <w:pPr>
        <w:spacing w:after="100"/>
        <w:jc w:val="both"/>
      </w:pPr>
      <w:r>
        <w:rPr>
          <w:rFonts w:ascii="Calibri" w:hAnsi="Calibri"/>
          <w:i w:val="0"/>
          <w:color w:val="000000"/>
          <w:sz w:val="21"/>
        </w:rPr>
        <w:t>An Nmap SYN scan against the monitored host produced a complete TCP service map in 4.2 s without MTD. With MTD active (60 s hop interval), repeat scans at t = 0, 30, 60, 120 s produced service maps that were mutually inconsistent in 100% of port assignments — confirming that no persistent reconnaissance state could be accumulated via standard temporal scanning.</w:t>
      </w:r>
    </w:p>
    <w:p>
      <w:pPr>
        <w:spacing w:before="120" w:after="80"/>
        <w:jc w:val="left"/>
      </w:pPr>
      <w:r>
        <w:rPr>
          <w:rFonts w:ascii="Calibri" w:hAnsi="Calibri"/>
          <w:b/>
          <w:color w:val="000000"/>
          <w:sz w:val="23"/>
        </w:rPr>
        <w:t>E. Shannon Entropy C2 Detection Results</w:t>
      </w:r>
    </w:p>
    <w:p>
      <w:pPr>
        <w:spacing w:after="100"/>
        <w:jc w:val="both"/>
      </w:pPr>
      <w:r>
        <w:rPr>
          <w:rFonts w:ascii="Calibri" w:hAnsi="Calibri"/>
          <w:i w:val="0"/>
          <w:color w:val="000000"/>
          <w:sz w:val="21"/>
        </w:rPr>
        <w:t>Simulated Cobalt Strike HTTPS beaconing (&lt;= 10% jitter, 5 s interval) was detected in 94.3% of cases within three beacon intervals. Legitimate HTTPS browser traffic was correctly classified as non-beaconing in 98.7% of cases (FPR = 1.3%) — acceptable as a supplementary signal feeding the LLM verdict pipeline rather than a standalone block rule.</w:t>
      </w:r>
    </w:p>
    <w:p>
      <w:pPr>
        <w:spacing w:before="240" w:after="80"/>
        <w:jc w:val="left"/>
      </w:pPr>
      <w:r>
        <w:rPr>
          <w:rFonts w:ascii="Calibri" w:hAnsi="Calibri"/>
          <w:b/>
          <w:color w:val="000000"/>
          <w:sz w:val="28"/>
        </w:rPr>
        <w:t>VI.  Limitations and Future Work</w:t>
      </w:r>
    </w:p>
    <w:p>
      <w:pPr>
        <w:spacing w:after="100"/>
        <w:jc w:val="both"/>
      </w:pPr>
      <w:r>
        <w:rPr>
          <w:rFonts w:ascii="Calibri" w:hAnsi="Calibri"/>
          <w:i w:val="0"/>
          <w:color w:val="000000"/>
          <w:sz w:val="21"/>
        </w:rPr>
        <w:t>Three limitations warrant discussion. First, LLM inference latency (148 ms–2.8 s across CPU execution) could become a queue bottleneck during high-volume alert storms. A lightweight pre-filter — a gradient-boosted tree routing low-ambiguity events directly to rule-based decisions and reserving LLM calls for genuinely ambiguous cases — would address this and constitutes the primary ongoing development target.</w:t>
      </w:r>
    </w:p>
    <w:p>
      <w:pPr>
        <w:spacing w:after="100"/>
        <w:jc w:val="both"/>
      </w:pPr>
      <w:r>
        <w:rPr>
          <w:rFonts w:ascii="Calibri" w:hAnsi="Calibri"/>
          <w:i w:val="0"/>
          <w:color w:val="000000"/>
          <w:sz w:val="21"/>
        </w:rPr>
        <w:t>Second, Shannon entropy C2 detection operates at flow granularity and cannot distinguish two encrypted flows sharing similar byte-frequency distributions but differing in application semantics. Incorporating TLS fingerprinting (JA3/JA4) and QUIC Connection ID tracking as additional features would improve discrimination without requiring decryption.</w:t>
      </w:r>
    </w:p>
    <w:p>
      <w:pPr>
        <w:spacing w:after="100"/>
        <w:jc w:val="both"/>
      </w:pPr>
      <w:r>
        <w:rPr>
          <w:rFonts w:ascii="Calibri" w:hAnsi="Calibri"/>
          <w:i w:val="0"/>
          <w:color w:val="000000"/>
          <w:sz w:val="21"/>
        </w:rPr>
        <w:t>Third, the current implementation handles IPv4 only. Full dual-stack IPv6 support and a REST-API-compatible STIX/TAXII threat-intelligence feed connector are planned for the next release.</w:t>
      </w:r>
    </w:p>
    <w:p>
      <w:pPr>
        <w:spacing w:before="240" w:after="80"/>
        <w:jc w:val="left"/>
      </w:pPr>
      <w:r>
        <w:rPr>
          <w:rFonts w:ascii="Calibri" w:hAnsi="Calibri"/>
          <w:b/>
          <w:color w:val="000000"/>
          <w:sz w:val="28"/>
        </w:rPr>
        <w:t>VII.  Ethical Considerations</w:t>
      </w:r>
    </w:p>
    <w:p>
      <w:pPr>
        <w:spacing w:after="100"/>
        <w:jc w:val="both"/>
      </w:pPr>
      <w:r>
        <w:rPr>
          <w:rFonts w:ascii="Calibri" w:hAnsi="Calibri"/>
          <w:i w:val="0"/>
          <w:color w:val="000000"/>
          <w:sz w:val="21"/>
        </w:rPr>
        <w:t>All experimental traffic was generated within an isolated laboratory environment using RFC 5737 documentation-range IP addresses (192.0.2.0/24, 198.51.100.0/24, 203.0.113.0/24) and publicly available captured pcap datasets under their respective open-access licences. No production networks, real user data, or third-party infrastructure were used. The honey-token credentials are cryptographically canary-tagged and carry no valid authentication surface outside the controlled evaluation environment.</w:t>
      </w:r>
    </w:p>
    <w:p>
      <w:pPr>
        <w:spacing w:before="240" w:after="80"/>
        <w:jc w:val="left"/>
      </w:pPr>
      <w:r>
        <w:rPr>
          <w:rFonts w:ascii="Calibri" w:hAnsi="Calibri"/>
          <w:b/>
          <w:color w:val="000000"/>
          <w:sz w:val="28"/>
        </w:rPr>
        <w:t>VIII.  Conclusion</w:t>
      </w:r>
    </w:p>
    <w:p>
      <w:pPr>
        <w:spacing w:after="100"/>
        <w:jc w:val="both"/>
      </w:pPr>
      <w:r>
        <w:rPr>
          <w:rFonts w:ascii="Calibri" w:hAnsi="Calibri"/>
          <w:i w:val="0"/>
          <w:color w:val="000000"/>
          <w:sz w:val="21"/>
        </w:rPr>
        <w:t>This paper presented the Autonomous Post-Quantum Cyber Defense Agent, a hybrid autonomous network security system that advances the state-of-the-art across multiple simultaneously important dimensions: detection accuracy, mitigation latency, encrypted-traffic analysis, attacker deception, data sovereignty, and post-quantum resilience. The central architectural insight is a clean separation of kernel data-plane speed (&lt; 2 us eBPF/XDP) from asynchronous control-plane reasoning (local LLM), allowing each component to operate at its natural timescale without compromising the other. Moving Target Defence and Shannon entropy C2 detection close gaps that no currently deployed open-source or commercial solution addresses without requiring either TLS decryption or continuous cloud connectivity.</w:t>
      </w:r>
    </w:p>
    <w:p>
      <w:pPr>
        <w:spacing w:after="100"/>
        <w:jc w:val="both"/>
      </w:pPr>
      <w:r>
        <w:rPr>
          <w:rFonts w:ascii="Calibri" w:hAnsi="Calibri"/>
          <w:i w:val="0"/>
          <w:color w:val="000000"/>
          <w:sz w:val="21"/>
        </w:rPr>
        <w:t>The architecture is fully sovereign, requires zero subscription, runs on commodity ARM64 or x86-64 hardware, and is capable of air-gapped deployment — making it accessible to a far wider range of organisations than existing commercial solutions that demand specialised ASICs and mandatory cloud telemetry reporting.</w:t>
      </w:r>
    </w:p>
    <w:p>
      <w:pPr>
        <w:spacing w:before="240" w:after="80"/>
        <w:jc w:val="left"/>
      </w:pPr>
      <w:r>
        <w:rPr>
          <w:rFonts w:ascii="Calibri" w:hAnsi="Calibri"/>
          <w:b/>
          <w:color w:val="000000"/>
          <w:sz w:val="28"/>
        </w:rPr>
        <w:t>IX.  References</w:t>
      </w:r>
    </w:p>
    <w:p>
      <w:pPr>
        <w:spacing w:after="60"/>
        <w:ind w:left="567" w:hanging="567"/>
        <w:jc w:val="both"/>
      </w:pPr>
      <w:r>
        <w:rPr>
          <w:rFonts w:ascii="Calibri" w:hAnsi="Calibri"/>
          <w:color w:val="000000"/>
          <w:sz w:val="19"/>
        </w:rPr>
        <w:t>[1]  V. Paxson, "Bro: A System for Detecting Network Intruders in Real-Time," Computer Networks, vol. 31, no. 23-24, pp. 2435-2463, 1999.</w:t>
      </w:r>
    </w:p>
    <w:p>
      <w:pPr>
        <w:spacing w:after="60"/>
        <w:ind w:left="567" w:hanging="567"/>
        <w:jc w:val="both"/>
      </w:pPr>
      <w:r>
        <w:rPr>
          <w:rFonts w:ascii="Calibri" w:hAnsi="Calibri"/>
          <w:color w:val="000000"/>
          <w:sz w:val="19"/>
        </w:rPr>
        <w:t>[2]  M. Roesch, "Snort - Lightweight Intrusion Detection for Networks," in Proc. USENIX LISA, 1999, pp. 229-238.</w:t>
      </w:r>
    </w:p>
    <w:p>
      <w:pPr>
        <w:spacing w:after="60"/>
        <w:ind w:left="567" w:hanging="567"/>
        <w:jc w:val="both"/>
      </w:pPr>
      <w:r>
        <w:rPr>
          <w:rFonts w:ascii="Calibri" w:hAnsi="Calibri"/>
          <w:color w:val="000000"/>
          <w:sz w:val="19"/>
        </w:rPr>
        <w:t>[3]  A. Miano et al., "Creating Complex Network Services with eBPF: Experience and Lessons Learned," in Proc. IEEE HPCC, 2018.</w:t>
      </w:r>
    </w:p>
    <w:p>
      <w:pPr>
        <w:spacing w:after="60"/>
        <w:ind w:left="567" w:hanging="567"/>
        <w:jc w:val="both"/>
      </w:pPr>
      <w:r>
        <w:rPr>
          <w:rFonts w:ascii="Calibri" w:hAnsi="Calibri"/>
          <w:color w:val="000000"/>
          <w:sz w:val="19"/>
        </w:rPr>
        <w:t>[4]  T. Hoiland-Jorgensen et al., "The eXpress Data Path: Fast Programmable Packet Processing in the Operating System Kernel," in Proc. ACM CoNEXT, 2018.</w:t>
      </w:r>
    </w:p>
    <w:p>
      <w:pPr>
        <w:spacing w:after="60"/>
        <w:ind w:left="567" w:hanging="567"/>
        <w:jc w:val="both"/>
      </w:pPr>
      <w:r>
        <w:rPr>
          <w:rFonts w:ascii="Calibri" w:hAnsi="Calibri"/>
          <w:color w:val="000000"/>
          <w:sz w:val="19"/>
        </w:rPr>
        <w:t>[5]  S. Miano et al., "Introducing SmartNIC Support in BEBA: P4-Based Stateful Packet Processing at Line Rate," in Proc. IEEE NETSOFT, 2018.</w:t>
      </w:r>
    </w:p>
    <w:p>
      <w:pPr>
        <w:spacing w:after="60"/>
        <w:ind w:left="567" w:hanging="567"/>
        <w:jc w:val="both"/>
      </w:pPr>
      <w:r>
        <w:rPr>
          <w:rFonts w:ascii="Calibri" w:hAnsi="Calibri"/>
          <w:color w:val="000000"/>
          <w:sz w:val="19"/>
        </w:rPr>
        <w:t>[6]  M. Tavallaee et al., "A Detailed Analysis of the KDD CUP 99 Data Set," in Proc. IEEE CISSE, 2009.</w:t>
      </w:r>
    </w:p>
    <w:p>
      <w:pPr>
        <w:spacing w:after="60"/>
        <w:ind w:left="567" w:hanging="567"/>
        <w:jc w:val="both"/>
      </w:pPr>
      <w:r>
        <w:rPr>
          <w:rFonts w:ascii="Calibri" w:hAnsi="Calibri"/>
          <w:color w:val="000000"/>
          <w:sz w:val="19"/>
        </w:rPr>
        <w:t>[7]  P. Wang et al., "Datanet: Deep Learning Based Encrypted Network Traffic Classification in SDN Home Gateway," IEEE Access, vol. 6, pp. 55380-55391, 2018.</w:t>
      </w:r>
    </w:p>
    <w:p>
      <w:pPr>
        <w:spacing w:after="60"/>
        <w:ind w:left="567" w:hanging="567"/>
        <w:jc w:val="both"/>
      </w:pPr>
      <w:r>
        <w:rPr>
          <w:rFonts w:ascii="Calibri" w:hAnsi="Calibri"/>
          <w:color w:val="000000"/>
          <w:sz w:val="19"/>
        </w:rPr>
        <w:t>[8]  Q. Zhao et al., "GRAPHIDS: A Network Anomaly Intrusion Detection Based on Graph Neural Network," IEEE Trans. Network and Service Management, 2023.</w:t>
      </w:r>
    </w:p>
    <w:p>
      <w:pPr>
        <w:spacing w:after="60"/>
        <w:ind w:left="567" w:hanging="567"/>
        <w:jc w:val="both"/>
      </w:pPr>
      <w:r>
        <w:rPr>
          <w:rFonts w:ascii="Calibri" w:hAnsi="Calibri"/>
          <w:color w:val="000000"/>
          <w:sz w:val="19"/>
        </w:rPr>
        <w:t>[9]  T. Dettmers et al., "QLoRA: Efficient Finetuning of Quantized LLMs," in Proc. NeurIPS, 2023.</w:t>
      </w:r>
    </w:p>
    <w:p>
      <w:pPr>
        <w:spacing w:after="60"/>
        <w:ind w:left="567" w:hanging="567"/>
        <w:jc w:val="both"/>
      </w:pPr>
      <w:r>
        <w:rPr>
          <w:rFonts w:ascii="Calibri" w:hAnsi="Calibri"/>
          <w:color w:val="000000"/>
          <w:sz w:val="19"/>
        </w:rPr>
        <w:t>[10] S. Jajodia et al., Moving Target Defense: Creating Asymmetric Uncertainty for Cyber Threats, Springer, 2011.</w:t>
      </w:r>
    </w:p>
    <w:p>
      <w:pPr>
        <w:spacing w:after="60"/>
        <w:ind w:left="567" w:hanging="567"/>
        <w:jc w:val="both"/>
      </w:pPr>
      <w:r>
        <w:rPr>
          <w:rFonts w:ascii="Calibri" w:hAnsi="Calibri"/>
          <w:color w:val="000000"/>
          <w:sz w:val="19"/>
        </w:rPr>
        <w:t>[11] M. Atighetchi et al., "Adaptive Use of Network-Centric Mechanisms in Cyber-Defense," in Proc. IEEE ISORC, 2003.</w:t>
      </w:r>
    </w:p>
    <w:p>
      <w:pPr>
        <w:spacing w:after="60"/>
        <w:ind w:left="567" w:hanging="567"/>
        <w:jc w:val="both"/>
      </w:pPr>
      <w:r>
        <w:rPr>
          <w:rFonts w:ascii="Calibri" w:hAnsi="Calibri"/>
          <w:color w:val="000000"/>
          <w:sz w:val="19"/>
        </w:rPr>
        <w:t>[12] B. Anderson and D. McGrew, "Identifying Encrypted Malware Traffic with Contextual Flow Data," in Proc. ACM AISec, 2016.</w:t>
      </w:r>
    </w:p>
    <w:p>
      <w:pPr>
        <w:spacing w:after="60"/>
        <w:ind w:left="567" w:hanging="567"/>
        <w:jc w:val="both"/>
      </w:pPr>
      <w:r>
        <w:rPr>
          <w:rFonts w:ascii="Calibri" w:hAnsi="Calibri"/>
          <w:color w:val="000000"/>
          <w:sz w:val="19"/>
        </w:rPr>
        <w:t>[13] F. Tegeler et al., "BotFinder: Finding Bots in Network Traffic Without Deep Packet Inspection," in Proc. ACM CoNEXT, 2012.</w:t>
      </w:r>
    </w:p>
    <w:p>
      <w:pPr>
        <w:spacing w:after="60"/>
        <w:ind w:left="567" w:hanging="567"/>
        <w:jc w:val="both"/>
      </w:pPr>
      <w:r>
        <w:rPr>
          <w:rFonts w:ascii="Calibri" w:hAnsi="Calibri"/>
          <w:color w:val="000000"/>
          <w:sz w:val="19"/>
        </w:rPr>
        <w:t>[14] OISF, "Suricata Open Source IDS/IPS/NSM Engine," Open Information Security Foundation, https://suricata.io, 2024.</w:t>
      </w:r>
    </w:p>
    <w:p>
      <w:pPr>
        <w:spacing w:after="60"/>
        <w:ind w:left="567" w:hanging="567"/>
        <w:jc w:val="both"/>
      </w:pPr>
      <w:r>
        <w:rPr>
          <w:rFonts w:ascii="Calibri" w:hAnsi="Calibri"/>
          <w:color w:val="000000"/>
          <w:sz w:val="19"/>
        </w:rPr>
        <w:t>[15] M. Sarhan et al., "Towards a Standard Feature Set of NIDS Datasets," IEEE Trans. Information Forensics and Security, vol. 17, pp. 367-381, 2022.</w:t>
      </w:r>
    </w:p>
    <w:p>
      <w:pPr>
        <w:spacing w:after="60"/>
        <w:ind w:left="567" w:hanging="567"/>
        <w:jc w:val="both"/>
      </w:pPr>
      <w:r>
        <w:rPr>
          <w:rFonts w:ascii="Calibri" w:hAnsi="Calibri"/>
          <w:color w:val="000000"/>
          <w:sz w:val="19"/>
        </w:rPr>
        <w:t>[16] M. Ring et al., "A Survey of Network-based Intrusion Detection Data Sets," Computers &amp; Security, vol. 86, pp. 147-167, 2019.</w:t>
      </w:r>
    </w:p>
    <w:p>
      <w:pPr>
        <w:spacing w:after="60"/>
        <w:ind w:left="567" w:hanging="567"/>
        <w:jc w:val="both"/>
      </w:pPr>
      <w:r>
        <w:rPr>
          <w:rFonts w:ascii="Calibri" w:hAnsi="Calibri"/>
          <w:color w:val="000000"/>
          <w:sz w:val="19"/>
        </w:rPr>
        <w:t>[17] Y. Mirsky et al., "Kitsune: An Ensemble of Autoencoders for Online Network Intrusion Detection," in Proc. NDSS, 2018.</w:t>
      </w:r>
    </w:p>
    <w:p>
      <w:pPr>
        <w:spacing w:after="60"/>
        <w:ind w:left="567" w:hanging="567"/>
        <w:jc w:val="both"/>
      </w:pPr>
      <w:r>
        <w:rPr>
          <w:rFonts w:ascii="Calibri" w:hAnsi="Calibri"/>
          <w:color w:val="000000"/>
          <w:sz w:val="19"/>
        </w:rPr>
        <w:t>[18] N. Moustafa and J. Slay, "UNSW-NB15: A Comprehensive Data Set for Network Intrusion Detection Systems," in Proc. MilCIS, 2015.</w:t>
      </w:r>
    </w:p>
    <w:p>
      <w:pPr>
        <w:spacing w:after="60"/>
        <w:ind w:left="567" w:hanging="567"/>
        <w:jc w:val="both"/>
      </w:pPr>
      <w:r>
        <w:rPr>
          <w:rFonts w:ascii="Calibri" w:hAnsi="Calibri"/>
          <w:color w:val="000000"/>
          <w:sz w:val="19"/>
        </w:rPr>
        <w:t>[19] I. Sharafaldin et al., "Toward Generating a New Intrusion Detection Dataset and Intrusion Traffic Characterization," in Proc. ICISSP, 2018.</w:t>
      </w:r>
    </w:p>
    <w:p>
      <w:pPr>
        <w:spacing w:after="60"/>
        <w:ind w:left="567" w:hanging="567"/>
        <w:jc w:val="both"/>
      </w:pPr>
      <w:r>
        <w:rPr>
          <w:rFonts w:ascii="Calibri" w:hAnsi="Calibri"/>
          <w:color w:val="000000"/>
          <w:sz w:val="19"/>
        </w:rPr>
        <w:t>[20] S. Garcia et al., "An Empirical Analysis of Botnet Detection Using Flow-Based Features (CTU-13 Dataset)," Computers &amp; Security, vol. 45, pp. 100-124, 2014.</w:t>
      </w:r>
    </w:p>
    <w:p>
      <w:pPr>
        <w:spacing w:after="60"/>
        <w:ind w:left="567" w:hanging="567"/>
        <w:jc w:val="both"/>
      </w:pPr>
      <w:r>
        <w:rPr>
          <w:rFonts w:ascii="Calibri" w:hAnsi="Calibri"/>
          <w:color w:val="000000"/>
          <w:sz w:val="19"/>
        </w:rPr>
        <w:t>[21] National Institute of Standards and Technology (NIST), "Module-Lattice-Based Key-Encapsulation Mechanism Standard (ML-KEM)," FIPS PUB 203, Aug. 2024.</w:t>
      </w:r>
    </w:p>
    <w:p>
      <w:pPr>
        <w:spacing w:after="60"/>
        <w:ind w:left="567" w:hanging="567"/>
        <w:jc w:val="both"/>
      </w:pPr>
      <w:r>
        <w:rPr>
          <w:rFonts w:ascii="Calibri" w:hAnsi="Calibri"/>
          <w:color w:val="000000"/>
          <w:sz w:val="19"/>
        </w:rPr>
        <w:t>[22] National Institute of Standards and Technology (NIST), "Module-Lattice-Based Digital Signature Standard (ML-DSA)," FIPS PUB 204, Aug. 2024.</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333333"/>
        <w:sz w:val="17"/>
      </w:rPr>
      <w:t>Autonomous Post-Quantum Cyber Defense Agent | Peer-Review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