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and FIPS 204 ML-DSA-65 (digital signatures) [22],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10,000,000 evaluated flows: median latency p50 = 0.33 us, p90 = 0.92 us, p95 = 4.62 us, and p99 = 20.79 us (including deep payload entropy inspection), confirming wire-speed sub-microsecond inline mitigation. LLM inference averaged 148 ms at Q4_K_M quantisation, operating asynchronously on the control plane without impeding packet forwarding.</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