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5907E9B">
      <w:pPr>
        <w:pStyle w:val="style0"/>
        <w:spacing w:after="500" w:lineRule="auto" w:line="276"/>
        <w:jc w:val="both"/>
        <w:rPr>
          <w:rFonts w:ascii="Times New Roman" w:cs="Times New Roman" w:hAnsi="Times New Roman"/>
          <w:color w:val="000000"/>
        </w:rPr>
      </w:pPr>
      <w:r>
        <w:rPr>
          <w:rFonts w:ascii="Times New Roman" w:cs="Times New Roman" w:hAnsi="Times New Roman"/>
          <w:noProof/>
          <w:color w:val="000000"/>
        </w:rPr>
        <w:drawing>
          <wp:inline distL="0" distT="0" distB="0" distR="0">
            <wp:extent cx="6188710" cy="819150"/>
            <wp:effectExtent l="0" t="0" r="254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188710" cy="819150"/>
                    </a:xfrm>
                    <a:prstGeom prst="rect"/>
                  </pic:spPr>
                </pic:pic>
              </a:graphicData>
            </a:graphic>
          </wp:inline>
        </w:drawing>
      </w:r>
    </w:p>
    <w:p w14:paraId="7202611E">
      <w:pPr>
        <w:pStyle w:val="style0"/>
        <w:spacing w:lineRule="auto" w:line="276"/>
        <w:jc w:val="center"/>
        <w:rPr>
          <w:rFonts w:ascii="Times New Roman" w:cs="Times New Roman" w:hAnsi="Times New Roman"/>
          <w:color w:val="000000"/>
        </w:rPr>
      </w:pPr>
      <w:r>
        <w:rPr>
          <w:rFonts w:ascii="Times New Roman" w:cs="Times New Roman" w:hAnsi="Times New Roman"/>
          <w:b/>
          <w:bCs/>
          <w:color w:val="000000"/>
        </w:rPr>
        <w:t>COMMON COURSE ASSIGNMENT FORMAT</w:t>
      </w:r>
    </w:p>
    <w:p w14:paraId="6054C04C">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rPr>
        <w:t>A. Assignment Information </w:t>
      </w:r>
    </w:p>
    <w:tbl>
      <w:tblPr>
        <w:tblW w:w="9927" w:type="dxa"/>
        <w:tblCellMar>
          <w:top w:w="15" w:type="dxa"/>
          <w:left w:w="15" w:type="dxa"/>
          <w:bottom w:w="15" w:type="dxa"/>
          <w:right w:w="15" w:type="dxa"/>
        </w:tblCellMar>
        <w:tblLook w:val="04A0" w:firstRow="1" w:lastRow="0" w:firstColumn="1" w:lastColumn="0" w:noHBand="0" w:noVBand="1"/>
      </w:tblPr>
      <w:tblGrid>
        <w:gridCol w:w="1615"/>
        <w:gridCol w:w="8312"/>
      </w:tblGrid>
      <w:tr w14:paraId="532F2D5A">
        <w:trPr>
          <w:trHeight w:val="385"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1FBF4">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rPr>
              <w:t>Particular</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B790A">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rPr>
              <w:t xml:space="preserve"> Details</w:t>
            </w:r>
          </w:p>
        </w:tc>
      </w:tr>
      <w:tr w14:paraId="156BFACE">
        <w:tblPrEx/>
        <w:trPr>
          <w:trHeight w:val="458"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BC2CB">
            <w:pPr>
              <w:pStyle w:val="style0"/>
              <w:spacing w:lineRule="auto" w:line="276"/>
              <w:jc w:val="both"/>
              <w:rPr>
                <w:rFonts w:ascii="Times New Roman" w:cs="Times New Roman" w:hAnsi="Times New Roman"/>
                <w:color w:val="000000"/>
              </w:rPr>
            </w:pPr>
            <w:r>
              <w:rPr>
                <w:rFonts w:ascii="Times New Roman" w:cs="Times New Roman" w:hAnsi="Times New Roman"/>
                <w:color w:val="000000"/>
              </w:rPr>
              <w:t>Department: </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CB8D8">
            <w:pPr>
              <w:pStyle w:val="style0"/>
              <w:spacing w:lineRule="auto" w:line="276"/>
              <w:jc w:val="both"/>
              <w:rPr>
                <w:rFonts w:ascii="Times New Roman" w:cs="Times New Roman" w:hAnsi="Times New Roman"/>
                <w:color w:val="000000"/>
              </w:rPr>
            </w:pPr>
            <w:r>
              <w:rPr>
                <w:rFonts w:ascii="Times New Roman" w:cs="Times New Roman" w:hAnsi="Times New Roman"/>
                <w:color w:val="000000"/>
              </w:rPr>
              <w:t>Computer Science and Engineering</w:t>
            </w:r>
          </w:p>
        </w:tc>
      </w:tr>
      <w:tr w14:paraId="20965AF4">
        <w:tblPrEx/>
        <w:trPr>
          <w:trHeight w:val="334"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17D7C">
            <w:pPr>
              <w:pStyle w:val="style0"/>
              <w:spacing w:lineRule="auto" w:line="276"/>
              <w:jc w:val="both"/>
              <w:rPr>
                <w:rFonts w:ascii="Times New Roman" w:cs="Times New Roman" w:hAnsi="Times New Roman"/>
                <w:color w:val="000000"/>
              </w:rPr>
            </w:pPr>
            <w:r>
              <w:rPr>
                <w:rFonts w:ascii="Times New Roman" w:cs="Times New Roman" w:hAnsi="Times New Roman"/>
                <w:color w:val="000000"/>
              </w:rPr>
              <w:t>Programme: </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7F749">
            <w:pPr>
              <w:pStyle w:val="style0"/>
              <w:spacing w:lineRule="auto" w:line="276"/>
              <w:jc w:val="both"/>
              <w:rPr>
                <w:rFonts w:ascii="Times New Roman" w:cs="Times New Roman" w:hAnsi="Times New Roman"/>
                <w:color w:val="000000"/>
              </w:rPr>
            </w:pPr>
            <w:r>
              <w:rPr>
                <w:rFonts w:ascii="Times New Roman" w:cs="Times New Roman" w:hAnsi="Times New Roman"/>
                <w:color w:val="000000"/>
              </w:rPr>
              <w:t>B.Tech. / UG Programme</w:t>
            </w:r>
          </w:p>
        </w:tc>
      </w:tr>
      <w:tr w14:paraId="016863A3">
        <w:tblPrEx/>
        <w:trPr>
          <w:trHeight w:val="520"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BF54B">
            <w:pPr>
              <w:pStyle w:val="style0"/>
              <w:spacing w:lineRule="auto" w:line="276"/>
              <w:jc w:val="both"/>
              <w:rPr>
                <w:rFonts w:ascii="Times New Roman" w:cs="Times New Roman" w:hAnsi="Times New Roman"/>
                <w:color w:val="000000"/>
              </w:rPr>
            </w:pPr>
            <w:r>
              <w:rPr>
                <w:rFonts w:ascii="Times New Roman" w:cs="Times New Roman" w:hAnsi="Times New Roman"/>
                <w:color w:val="000000"/>
              </w:rPr>
              <w:t>Course Code &amp;</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E0FFF">
            <w:pPr>
              <w:pStyle w:val="style0"/>
              <w:spacing w:lineRule="auto" w:line="276"/>
              <w:jc w:val="both"/>
              <w:rPr>
                <w:rFonts w:ascii="Times New Roman" w:cs="Times New Roman" w:hAnsi="Times New Roman"/>
                <w:color w:val="000000"/>
              </w:rPr>
            </w:pPr>
            <w:r>
              <w:rPr>
                <w:rFonts w:ascii="Times New Roman" w:cs="Times New Roman" w:hAnsi="Times New Roman"/>
                <w:color w:val="000000"/>
              </w:rPr>
              <w:t xml:space="preserve"> Course Name CSA1704 &amp; Artificial Intelligence</w:t>
            </w:r>
          </w:p>
        </w:tc>
      </w:tr>
      <w:tr w14:paraId="1FCC0250">
        <w:tblPrEx/>
        <w:trPr>
          <w:trHeight w:val="542"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307F5">
            <w:pPr>
              <w:pStyle w:val="style0"/>
              <w:spacing w:lineRule="auto" w:line="276"/>
              <w:jc w:val="both"/>
              <w:rPr>
                <w:rFonts w:ascii="Times New Roman" w:cs="Times New Roman" w:hAnsi="Times New Roman"/>
                <w:color w:val="000000"/>
              </w:rPr>
            </w:pPr>
            <w:r>
              <w:rPr>
                <w:rFonts w:ascii="Times New Roman" w:cs="Times New Roman" w:hAnsi="Times New Roman"/>
                <w:color w:val="000000"/>
              </w:rPr>
              <w:t>Academic Year / Batch</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50E23">
            <w:pPr>
              <w:pStyle w:val="style0"/>
              <w:spacing w:lineRule="auto" w:line="276"/>
              <w:jc w:val="both"/>
              <w:rPr>
                <w:rFonts w:ascii="Times New Roman" w:cs="Times New Roman" w:hAnsi="Times New Roman"/>
                <w:color w:val="000000"/>
              </w:rPr>
            </w:pPr>
            <w:r>
              <w:rPr>
                <w:rFonts w:ascii="Times New Roman" w:cs="Times New Roman" w:hAnsi="Times New Roman"/>
                <w:color w:val="000000"/>
              </w:rPr>
              <w:t>2026 – 2027</w:t>
            </w:r>
          </w:p>
        </w:tc>
      </w:tr>
      <w:tr w14:paraId="26C550CA">
        <w:tblPrEx/>
        <w:trPr>
          <w:trHeight w:val="519"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16BA0">
            <w:pPr>
              <w:pStyle w:val="style0"/>
              <w:spacing w:lineRule="auto" w:line="276"/>
              <w:jc w:val="both"/>
              <w:rPr>
                <w:rFonts w:ascii="Times New Roman" w:cs="Times New Roman" w:hAnsi="Times New Roman"/>
                <w:color w:val="000000"/>
              </w:rPr>
            </w:pPr>
            <w:r>
              <w:rPr>
                <w:rFonts w:ascii="Times New Roman" w:cs="Times New Roman" w:hAnsi="Times New Roman"/>
                <w:color w:val="000000"/>
              </w:rPr>
              <w:t>Faculty Name</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ABB6F">
            <w:pPr>
              <w:pStyle w:val="style0"/>
              <w:spacing w:lineRule="auto" w:line="276"/>
              <w:jc w:val="both"/>
              <w:rPr>
                <w:rFonts w:ascii="Times New Roman" w:cs="Times New Roman" w:hAnsi="Times New Roman"/>
                <w:color w:val="000000"/>
              </w:rPr>
            </w:pPr>
            <w:r>
              <w:rPr>
                <w:rFonts w:ascii="Times New Roman" w:cs="Times New Roman" w:hAnsi="Times New Roman"/>
                <w:color w:val="000000"/>
              </w:rPr>
              <w:t>Dr. ANOOP M</w:t>
            </w:r>
          </w:p>
        </w:tc>
      </w:tr>
      <w:tr w14:paraId="1670DC20">
        <w:tblPrEx/>
        <w:trPr>
          <w:trHeight w:val="660"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92973">
            <w:pPr>
              <w:pStyle w:val="style0"/>
              <w:spacing w:lineRule="auto" w:line="276"/>
              <w:jc w:val="both"/>
              <w:rPr>
                <w:rFonts w:ascii="Times New Roman" w:cs="Times New Roman" w:hAnsi="Times New Roman"/>
                <w:color w:val="000000"/>
              </w:rPr>
            </w:pPr>
            <w:r>
              <w:rPr>
                <w:rFonts w:ascii="Times New Roman" w:cs="Times New Roman" w:hAnsi="Times New Roman"/>
                <w:color w:val="000000"/>
              </w:rPr>
              <w:t>Assignment Title</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81957">
            <w:pPr>
              <w:pStyle w:val="style0"/>
              <w:spacing w:lineRule="auto" w:line="276"/>
              <w:jc w:val="both"/>
              <w:rPr>
                <w:rFonts w:ascii="Times New Roman" w:cs="Times New Roman" w:hAnsi="Times New Roman"/>
                <w:color w:val="000000"/>
              </w:rPr>
            </w:pPr>
            <w:r>
              <w:rPr>
                <w:rFonts w:ascii="Times New Roman" w:cs="Times New Roman" w:hAnsi="Times New Roman"/>
                <w:color w:val="000000"/>
              </w:rPr>
              <w:t xml:space="preserve"> AI-Based Crop Disease Detection and Smart </w:t>
            </w:r>
            <w:r>
              <w:rPr>
                <w:rFonts w:ascii="Times New Roman" w:cs="Times New Roman" w:hAnsi="Times New Roman"/>
                <w:color w:val="000000"/>
              </w:rPr>
              <w:t>AgricultureAdvisory</w:t>
            </w:r>
            <w:r>
              <w:rPr>
                <w:rFonts w:ascii="Times New Roman" w:cs="Times New Roman" w:hAnsi="Times New Roman"/>
                <w:color w:val="000000"/>
              </w:rPr>
              <w:t xml:space="preserve"> System</w:t>
            </w:r>
          </w:p>
        </w:tc>
      </w:tr>
      <w:tr w14:paraId="47C2B92F">
        <w:tblPrEx/>
        <w:trPr>
          <w:trHeight w:val="519"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96FFA">
            <w:pPr>
              <w:pStyle w:val="style0"/>
              <w:spacing w:lineRule="auto" w:line="276"/>
              <w:jc w:val="both"/>
              <w:rPr>
                <w:rFonts w:ascii="Times New Roman" w:cs="Times New Roman" w:hAnsi="Times New Roman"/>
                <w:color w:val="000000"/>
              </w:rPr>
            </w:pPr>
            <w:r>
              <w:rPr>
                <w:rFonts w:ascii="Times New Roman" w:cs="Times New Roman" w:hAnsi="Times New Roman"/>
                <w:color w:val="000000"/>
              </w:rPr>
              <w:t>Date of Issue</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96DB7">
            <w:pPr>
              <w:pStyle w:val="style0"/>
              <w:spacing w:lineRule="auto" w:line="276"/>
              <w:jc w:val="both"/>
              <w:rPr>
                <w:rFonts w:ascii="Times New Roman" w:cs="Times New Roman" w:hAnsi="Times New Roman"/>
                <w:color w:val="000000"/>
              </w:rPr>
            </w:pPr>
          </w:p>
        </w:tc>
      </w:tr>
      <w:tr w14:paraId="13BF2D6E">
        <w:tblPrEx/>
        <w:trPr>
          <w:trHeight w:val="519"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7174B">
            <w:pPr>
              <w:pStyle w:val="style0"/>
              <w:spacing w:lineRule="auto" w:line="276"/>
              <w:jc w:val="both"/>
              <w:rPr>
                <w:rFonts w:ascii="Times New Roman" w:cs="Times New Roman" w:hAnsi="Times New Roman"/>
                <w:color w:val="000000"/>
              </w:rPr>
            </w:pPr>
            <w:r>
              <w:rPr>
                <w:rFonts w:ascii="Times New Roman" w:cs="Times New Roman" w:hAnsi="Times New Roman"/>
                <w:color w:val="000000"/>
              </w:rPr>
              <w:t>Date of Submission</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55C36">
            <w:pPr>
              <w:pStyle w:val="style0"/>
              <w:spacing w:lineRule="auto" w:line="276"/>
              <w:jc w:val="both"/>
              <w:rPr>
                <w:rFonts w:ascii="Times New Roman" w:cs="Times New Roman" w:hAnsi="Times New Roman"/>
                <w:color w:val="000000"/>
              </w:rPr>
            </w:pPr>
          </w:p>
        </w:tc>
      </w:tr>
      <w:tr w14:paraId="7B47A4E9">
        <w:tblPrEx/>
        <w:trPr>
          <w:trHeight w:val="519"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E9613">
            <w:pPr>
              <w:pStyle w:val="style0"/>
              <w:spacing w:lineRule="auto" w:line="276"/>
              <w:jc w:val="both"/>
              <w:rPr>
                <w:rFonts w:ascii="Times New Roman" w:cs="Times New Roman" w:hAnsi="Times New Roman"/>
                <w:color w:val="000000"/>
              </w:rPr>
            </w:pPr>
            <w:r>
              <w:rPr>
                <w:rFonts w:ascii="Times New Roman" w:cs="Times New Roman" w:hAnsi="Times New Roman"/>
                <w:color w:val="000000"/>
              </w:rPr>
              <w:t>Maximum Marks </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02AD3">
            <w:pPr>
              <w:pStyle w:val="style0"/>
              <w:spacing w:lineRule="auto" w:line="276"/>
              <w:jc w:val="both"/>
              <w:rPr>
                <w:rFonts w:ascii="Times New Roman" w:cs="Times New Roman" w:hAnsi="Times New Roman"/>
                <w:color w:val="000000"/>
              </w:rPr>
            </w:pPr>
            <w:r>
              <w:rPr>
                <w:rFonts w:ascii="Times New Roman" w:cs="Times New Roman" w:hAnsi="Times New Roman"/>
                <w:color w:val="000000"/>
              </w:rPr>
              <w:t>100</w:t>
            </w:r>
          </w:p>
        </w:tc>
      </w:tr>
      <w:tr w14:paraId="304BD568">
        <w:tblPrEx/>
        <w:trPr>
          <w:trHeight w:val="519"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E6AB2">
            <w:pPr>
              <w:pStyle w:val="style0"/>
              <w:spacing w:lineRule="auto" w:line="276"/>
              <w:jc w:val="both"/>
              <w:rPr>
                <w:rFonts w:ascii="Times New Roman" w:cs="Times New Roman" w:hAnsi="Times New Roman"/>
                <w:color w:val="000000"/>
              </w:rPr>
            </w:pPr>
            <w:r>
              <w:rPr>
                <w:rFonts w:ascii="Times New Roman" w:cs="Times New Roman" w:hAnsi="Times New Roman"/>
                <w:color w:val="000000"/>
              </w:rPr>
              <w:t>Course Outcome(s) – CO</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FDF72">
            <w:pPr>
              <w:pStyle w:val="style0"/>
              <w:spacing w:lineRule="auto" w:line="276"/>
              <w:jc w:val="both"/>
              <w:rPr>
                <w:rFonts w:ascii="Times New Roman" w:cs="Times New Roman" w:hAnsi="Times New Roman"/>
                <w:color w:val="000000"/>
              </w:rPr>
            </w:pPr>
            <w:r>
              <w:rPr>
                <w:rFonts w:ascii="Times New Roman" w:cs="Times New Roman" w:hAnsi="Times New Roman"/>
                <w:color w:val="000000"/>
              </w:rPr>
              <w:t xml:space="preserve"> CO3, CO4, CO5</w:t>
            </w:r>
          </w:p>
        </w:tc>
      </w:tr>
      <w:tr w14:paraId="5EBA20CE">
        <w:tblPrEx/>
        <w:trPr>
          <w:trHeight w:val="641"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6CB13">
            <w:pPr>
              <w:pStyle w:val="style0"/>
              <w:spacing w:lineRule="auto" w:line="276"/>
              <w:jc w:val="both"/>
              <w:rPr>
                <w:rFonts w:ascii="Times New Roman" w:cs="Times New Roman" w:hAnsi="Times New Roman"/>
                <w:color w:val="000000"/>
              </w:rPr>
            </w:pPr>
            <w:r>
              <w:rPr>
                <w:rFonts w:ascii="Times New Roman" w:cs="Times New Roman" w:hAnsi="Times New Roman"/>
                <w:color w:val="000000"/>
              </w:rPr>
              <w:t>Bloom's Taxonomy Level </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97F00">
            <w:pPr>
              <w:pStyle w:val="style0"/>
              <w:spacing w:lineRule="auto" w:line="276"/>
              <w:jc w:val="both"/>
              <w:rPr>
                <w:rFonts w:ascii="Times New Roman" w:cs="Times New Roman" w:hAnsi="Times New Roman"/>
                <w:color w:val="000000"/>
              </w:rPr>
            </w:pPr>
            <w:r>
              <w:rPr>
                <w:rFonts w:ascii="Times New Roman" w:cs="Times New Roman" w:hAnsi="Times New Roman"/>
                <w:color w:val="000000"/>
              </w:rPr>
              <w:t xml:space="preserve">L3 – Apply, L4 – </w:t>
            </w:r>
            <w:r>
              <w:rPr>
                <w:rFonts w:ascii="Times New Roman" w:cs="Times New Roman" w:hAnsi="Times New Roman"/>
                <w:color w:val="000000"/>
              </w:rPr>
              <w:t>Analyze</w:t>
            </w:r>
            <w:r>
              <w:rPr>
                <w:rFonts w:ascii="Times New Roman" w:cs="Times New Roman" w:hAnsi="Times New Roman"/>
                <w:color w:val="000000"/>
              </w:rPr>
              <w:t>, L5 – Evaluate, L6 – Create</w:t>
            </w:r>
          </w:p>
        </w:tc>
      </w:tr>
      <w:tr w14:paraId="13E8EF05">
        <w:tblPrEx/>
        <w:trPr>
          <w:trHeight w:val="931"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957C7">
            <w:pPr>
              <w:pStyle w:val="style0"/>
              <w:spacing w:lineRule="auto" w:line="276"/>
              <w:jc w:val="both"/>
              <w:rPr>
                <w:rFonts w:ascii="Times New Roman" w:cs="Times New Roman" w:hAnsi="Times New Roman"/>
                <w:color w:val="000000"/>
              </w:rPr>
            </w:pPr>
            <w:r>
              <w:rPr>
                <w:rFonts w:ascii="Times New Roman" w:cs="Times New Roman" w:hAnsi="Times New Roman"/>
                <w:color w:val="000000"/>
              </w:rPr>
              <w:t>SDG Mapping (SDG</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93813">
            <w:pPr>
              <w:pStyle w:val="style0"/>
              <w:spacing w:lineRule="auto" w:line="276"/>
              <w:jc w:val="both"/>
              <w:rPr>
                <w:rFonts w:ascii="Times New Roman" w:cs="Times New Roman" w:hAnsi="Times New Roman"/>
                <w:color w:val="000000"/>
              </w:rPr>
            </w:pPr>
            <w:r>
              <w:rPr>
                <w:rFonts w:ascii="Times New Roman" w:cs="Times New Roman" w:hAnsi="Times New Roman"/>
                <w:color w:val="000000"/>
              </w:rPr>
              <w:t xml:space="preserve"> 1-17) SDG 2 – Zero Hunger; SDG 9 – Industry, Innovation</w:t>
            </w:r>
            <w:r>
              <w:rPr>
                <w:rFonts w:ascii="Times New Roman" w:cs="Times New Roman" w:hAnsi="Times New Roman"/>
                <w:color w:val="000000"/>
              </w:rPr>
              <w:t xml:space="preserve"> </w:t>
            </w:r>
            <w:r>
              <w:rPr>
                <w:rFonts w:ascii="Times New Roman" w:cs="Times New Roman" w:hAnsi="Times New Roman"/>
                <w:color w:val="000000"/>
              </w:rPr>
              <w:t>and</w:t>
            </w:r>
            <w:r>
              <w:rPr>
                <w:rFonts w:ascii="Times New Roman" w:cs="Times New Roman" w:hAnsi="Times New Roman"/>
                <w:color w:val="000000"/>
              </w:rPr>
              <w:t xml:space="preserve"> </w:t>
            </w:r>
            <w:r>
              <w:rPr>
                <w:rFonts w:ascii="Times New Roman" w:cs="Times New Roman" w:hAnsi="Times New Roman"/>
                <w:color w:val="000000"/>
              </w:rPr>
              <w:t>Infrastructure; SDG 12 – Responsible Consumption</w:t>
            </w:r>
            <w:r>
              <w:rPr>
                <w:rFonts w:ascii="Times New Roman" w:cs="Times New Roman" w:hAnsi="Times New Roman"/>
                <w:color w:val="000000"/>
              </w:rPr>
              <w:t xml:space="preserve"> </w:t>
            </w:r>
            <w:r>
              <w:rPr>
                <w:rFonts w:ascii="Times New Roman" w:cs="Times New Roman" w:hAnsi="Times New Roman"/>
                <w:color w:val="000000"/>
              </w:rPr>
              <w:t>and</w:t>
            </w:r>
            <w:r>
              <w:rPr>
                <w:rFonts w:ascii="Times New Roman" w:cs="Times New Roman" w:hAnsi="Times New Roman"/>
                <w:color w:val="000000"/>
              </w:rPr>
              <w:t xml:space="preserve"> </w:t>
            </w:r>
            <w:r>
              <w:rPr>
                <w:rFonts w:ascii="Times New Roman" w:cs="Times New Roman" w:hAnsi="Times New Roman"/>
                <w:color w:val="000000"/>
              </w:rPr>
              <w:t>Production; SDG 13 – Climate Action</w:t>
            </w:r>
          </w:p>
        </w:tc>
      </w:tr>
      <w:tr w14:paraId="486CF64A">
        <w:tblPrEx/>
        <w:trPr>
          <w:trHeight w:val="1012" w:hRule="atLeas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65C8B">
            <w:pPr>
              <w:pStyle w:val="style0"/>
              <w:spacing w:lineRule="auto" w:line="276"/>
              <w:jc w:val="both"/>
              <w:rPr>
                <w:rFonts w:ascii="Times New Roman" w:cs="Times New Roman" w:hAnsi="Times New Roman"/>
                <w:color w:val="000000"/>
              </w:rPr>
            </w:pPr>
            <w:r>
              <w:rPr>
                <w:rFonts w:ascii="Times New Roman" w:cs="Times New Roman" w:hAnsi="Times New Roman"/>
                <w:color w:val="000000"/>
              </w:rPr>
              <w:t>Industry / Societal Relevance</w:t>
            </w:r>
          </w:p>
        </w:tc>
        <w:tc>
          <w:tcPr>
            <w:tcW w:w="8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93682">
            <w:pPr>
              <w:pStyle w:val="style0"/>
              <w:spacing w:lineRule="auto" w:line="276"/>
              <w:jc w:val="both"/>
              <w:rPr>
                <w:rFonts w:ascii="Times New Roman" w:cs="Times New Roman" w:hAnsi="Times New Roman"/>
                <w:color w:val="000000"/>
              </w:rPr>
            </w:pPr>
            <w:r>
              <w:rPr>
                <w:rFonts w:ascii="Times New Roman" w:cs="Times New Roman" w:hAnsi="Times New Roman"/>
                <w:color w:val="000000"/>
              </w:rPr>
              <w:t xml:space="preserve"> The proposed AI-based system is highly relevant to</w:t>
            </w:r>
            <w:r>
              <w:rPr>
                <w:rFonts w:ascii="Times New Roman" w:cs="Times New Roman" w:hAnsi="Times New Roman"/>
                <w:color w:val="000000"/>
              </w:rPr>
              <w:t xml:space="preserve"> </w:t>
            </w:r>
            <w:r>
              <w:rPr>
                <w:rFonts w:ascii="Times New Roman" w:cs="Times New Roman" w:hAnsi="Times New Roman"/>
                <w:color w:val="000000"/>
              </w:rPr>
              <w:t>th</w:t>
            </w:r>
            <w:r>
              <w:rPr>
                <w:rFonts w:ascii="Times New Roman" w:cs="Times New Roman" w:hAnsi="Times New Roman"/>
                <w:color w:val="000000"/>
              </w:rPr>
              <w:t>e a</w:t>
            </w:r>
            <w:r>
              <w:rPr>
                <w:rFonts w:ascii="Times New Roman" w:cs="Times New Roman" w:hAnsi="Times New Roman"/>
                <w:color w:val="000000"/>
              </w:rPr>
              <w:t xml:space="preserve">griculture and </w:t>
            </w:r>
            <w:r>
              <w:rPr>
                <w:rFonts w:ascii="Times New Roman" w:cs="Times New Roman" w:hAnsi="Times New Roman"/>
                <w:color w:val="000000"/>
              </w:rPr>
              <w:t>agri</w:t>
            </w:r>
            <w:r>
              <w:rPr>
                <w:rFonts w:ascii="Times New Roman" w:cs="Times New Roman" w:hAnsi="Times New Roman"/>
                <w:color w:val="000000"/>
              </w:rPr>
              <w:t>-technology sectors. It supports</w:t>
            </w:r>
            <w:r>
              <w:rPr>
                <w:rFonts w:ascii="Times New Roman" w:cs="Times New Roman" w:hAnsi="Times New Roman"/>
                <w:color w:val="000000"/>
              </w:rPr>
              <w:t xml:space="preserve"> </w:t>
            </w:r>
            <w:r>
              <w:rPr>
                <w:rFonts w:ascii="Times New Roman" w:cs="Times New Roman" w:hAnsi="Times New Roman"/>
                <w:color w:val="000000"/>
              </w:rPr>
              <w:t>earl</w:t>
            </w:r>
            <w:r>
              <w:rPr>
                <w:rFonts w:ascii="Times New Roman" w:cs="Times New Roman" w:hAnsi="Times New Roman"/>
                <w:color w:val="000000"/>
              </w:rPr>
              <w:t xml:space="preserve"> </w:t>
            </w:r>
            <w:r>
              <w:rPr>
                <w:rFonts w:ascii="Times New Roman" w:cs="Times New Roman" w:hAnsi="Times New Roman"/>
                <w:color w:val="000000"/>
              </w:rPr>
              <w:t>detection of crop diseases, helps reduce crop losses, enable</w:t>
            </w:r>
            <w:r>
              <w:rPr>
                <w:rFonts w:ascii="Times New Roman" w:cs="Times New Roman" w:hAnsi="Times New Roman"/>
                <w:color w:val="000000"/>
              </w:rPr>
              <w:t xml:space="preserve"> </w:t>
            </w:r>
            <w:r>
              <w:rPr>
                <w:rFonts w:ascii="Times New Roman" w:cs="Times New Roman" w:hAnsi="Times New Roman"/>
                <w:color w:val="000000"/>
              </w:rPr>
              <w:t>timely decision-making, and provides intelligent agricultur</w:t>
            </w:r>
            <w:r>
              <w:rPr>
                <w:rFonts w:ascii="Times New Roman" w:cs="Times New Roman" w:hAnsi="Times New Roman"/>
                <w:color w:val="000000"/>
              </w:rPr>
              <w:t xml:space="preserve">e </w:t>
            </w:r>
            <w:r>
              <w:rPr>
                <w:rFonts w:ascii="Times New Roman" w:cs="Times New Roman" w:hAnsi="Times New Roman"/>
                <w:color w:val="000000"/>
              </w:rPr>
              <w:t xml:space="preserve">advisory support to farmers. </w:t>
            </w:r>
          </w:p>
        </w:tc>
      </w:tr>
    </w:tbl>
    <w:p w14:paraId="732A467B">
      <w:pPr>
        <w:pStyle w:val="style0"/>
        <w:spacing w:lineRule="auto" w:line="276"/>
        <w:jc w:val="both"/>
        <w:rPr>
          <w:rFonts w:ascii="Times New Roman" w:cs="Times New Roman" w:hAnsi="Times New Roman"/>
          <w:color w:val="000000"/>
        </w:rPr>
      </w:pPr>
    </w:p>
    <w:p w14:paraId="37DEC8CE">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1. Problem Understanding and Formulation</w:t>
      </w:r>
    </w:p>
    <w:p w14:paraId="78CA64DE">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1.1 What is the problem?</w:t>
      </w:r>
    </w:p>
    <w:p w14:paraId="078C9748">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Paddy is one of the most widely cultivated staple crops, and its yield is repeatedly threatened by leaf diseases caused by bacteria, fungi, and viruses, as well as by pest damage and environmental stress. Left undetected, these conditions spread quickly across a field and can cause substantial yield and income loss. Manual identification by farmers or agricultural officers is slow, inconsistent, and dependent on the availability of trained plant-pathology experts, who are often scarce in rural farming regio</w:t>
      </w:r>
      <w:r>
        <w:rPr>
          <w:rFonts w:ascii="Times New Roman" w:cs="Times New Roman" w:hAnsi="Times New Roman"/>
          <w:color w:val="000000"/>
        </w:rPr>
        <w:t>ns. The problem addressed in this case study is: given a digital photograph of a paddy leaf, automatically predict which of several disease categories (or a healthy/normal condition) the leaf belongs to, using a machine-learning pipeline that converts the image into a compact numerical descriptor and classifies it with a supervised learning algorithm.</w:t>
      </w:r>
    </w:p>
    <w:p w14:paraId="379457BC">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Rather than learning directly from raw pixel intensities the way a convolutional neural network would, this system first summarises each leaf image using the Histogram of Oriented Gradients (HOG), a classical computer-vision descriptor that captures the distribution of edge directions and shapes in local regions of the image. The resulting fixed-length numerical vector is then passed to </w:t>
      </w:r>
      <w:r>
        <w:rPr>
          <w:rFonts w:ascii="Times New Roman" w:cs="Times New Roman" w:hAnsi="Times New Roman"/>
          <w:color w:val="000000"/>
        </w:rPr>
        <w:t>XGBoost</w:t>
      </w:r>
      <w:r>
        <w:rPr>
          <w:rFonts w:ascii="Times New Roman" w:cs="Times New Roman" w:hAnsi="Times New Roman"/>
          <w:color w:val="000000"/>
        </w:rPr>
        <w:t xml:space="preserve"> (Extreme Gradient Boosting), an ensemble of decision trees, which learns to separate the disease classes based on those descriptors.</w:t>
      </w:r>
    </w:p>
    <w:p w14:paraId="50F69213">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1.2 What are the expected outcomes?</w:t>
      </w:r>
    </w:p>
    <w:p w14:paraId="1E4EC762">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A prepared and labelled paddy leaf image dataset organised into per-class folders.</w:t>
      </w:r>
    </w:p>
    <w:p w14:paraId="4F43C455">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A HOG-based feature-extraction stage that converts every leaf image into a fixed-length numerical vector.</w:t>
      </w:r>
    </w:p>
    <w:p w14:paraId="75CFC086">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 xml:space="preserve">A trained </w:t>
      </w:r>
      <w:r>
        <w:rPr>
          <w:rFonts w:ascii="Times New Roman" w:cs="Times New Roman" w:hAnsi="Times New Roman"/>
          <w:color w:val="000000"/>
        </w:rPr>
        <w:t>XGBoost</w:t>
      </w:r>
      <w:r>
        <w:rPr>
          <w:rFonts w:ascii="Times New Roman" w:cs="Times New Roman" w:hAnsi="Times New Roman"/>
          <w:color w:val="000000"/>
        </w:rPr>
        <w:t xml:space="preserve"> classifier capable of assigning a leaf image to one of ten paddy conditions.</w:t>
      </w:r>
    </w:p>
    <w:p w14:paraId="3E19D81B">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A measured classification accuracy on the dataset, together with a discussion of its reliability.</w:t>
      </w:r>
    </w:p>
    <w:p w14:paraId="00844E5E">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Saved model artefacts (the trained classifier and the class-label mapping) that can be reloaded for future inference without retraining.</w:t>
      </w:r>
    </w:p>
    <w:p w14:paraId="6EBF155B">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1.3 What information/data is available?</w:t>
      </w:r>
    </w:p>
    <w:p w14:paraId="33A34084">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The dataset used for this study is a Paddy Disease Dataset consisting of 3,000 labelled leaf images distributed across ten categories, covering both a healthy/normal class and nine disease or pest-damage conditions: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14:paraId="6CA55BD2">
        <w:trPr>
          <w:tblHeader/>
        </w:trPr>
        <w:tc>
          <w:tcPr>
            <w:tcW w:w="2600" w:type="dxa"/>
            <w:tcBorders/>
            <w:shd w:val="clear" w:color="auto" w:fill="1f3864"/>
            <w:tcMar>
              <w:top w:w="80" w:type="dxa"/>
              <w:left w:w="100" w:type="dxa"/>
              <w:bottom w:w="80" w:type="dxa"/>
              <w:right w:w="100" w:type="dxa"/>
            </w:tcMar>
          </w:tcPr>
          <w:p w14:paraId="18EEE218">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Class</w:t>
            </w:r>
          </w:p>
        </w:tc>
        <w:tc>
          <w:tcPr>
            <w:tcW w:w="6900" w:type="dxa"/>
            <w:tcBorders/>
            <w:shd w:val="clear" w:color="auto" w:fill="1f3864"/>
            <w:tcMar>
              <w:top w:w="80" w:type="dxa"/>
              <w:left w:w="100" w:type="dxa"/>
              <w:bottom w:w="80" w:type="dxa"/>
              <w:right w:w="100" w:type="dxa"/>
            </w:tcMar>
          </w:tcPr>
          <w:p w14:paraId="1F6479E7">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Nature of Symptom</w:t>
            </w:r>
          </w:p>
        </w:tc>
      </w:tr>
      <w:tr w14:paraId="04E71D91">
        <w:tblPrEx/>
        <w:trPr/>
        <w:tc>
          <w:tcPr>
            <w:tcW w:w="2600" w:type="dxa"/>
            <w:tcBorders/>
            <w:tcMar>
              <w:top w:w="80" w:type="dxa"/>
              <w:left w:w="100" w:type="dxa"/>
              <w:bottom w:w="80" w:type="dxa"/>
              <w:right w:w="100" w:type="dxa"/>
            </w:tcMar>
          </w:tcPr>
          <w:p w14:paraId="1EC07D61">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Normal</w:t>
            </w:r>
          </w:p>
        </w:tc>
        <w:tc>
          <w:tcPr>
            <w:tcW w:w="6900" w:type="dxa"/>
            <w:tcBorders/>
            <w:tcMar>
              <w:top w:w="80" w:type="dxa"/>
              <w:left w:w="100" w:type="dxa"/>
              <w:bottom w:w="80" w:type="dxa"/>
              <w:right w:w="100" w:type="dxa"/>
            </w:tcMar>
          </w:tcPr>
          <w:p w14:paraId="5996AFE7">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Healthy leaf, uniform green colour, no lesions</w:t>
            </w:r>
          </w:p>
        </w:tc>
      </w:tr>
      <w:tr w14:paraId="20D0A449">
        <w:tblPrEx/>
        <w:trPr/>
        <w:tc>
          <w:tcPr>
            <w:tcW w:w="2600" w:type="dxa"/>
            <w:tcBorders/>
            <w:shd w:val="clear" w:color="auto" w:fill="f2f2f2"/>
            <w:tcMar>
              <w:top w:w="80" w:type="dxa"/>
              <w:left w:w="100" w:type="dxa"/>
              <w:bottom w:w="80" w:type="dxa"/>
              <w:right w:w="100" w:type="dxa"/>
            </w:tcMar>
          </w:tcPr>
          <w:p w14:paraId="316605B0">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Bacterial Leaf Blight</w:t>
            </w:r>
          </w:p>
        </w:tc>
        <w:tc>
          <w:tcPr>
            <w:tcW w:w="6900" w:type="dxa"/>
            <w:tcBorders/>
            <w:shd w:val="clear" w:color="auto" w:fill="f2f2f2"/>
            <w:tcMar>
              <w:top w:w="80" w:type="dxa"/>
              <w:left w:w="100" w:type="dxa"/>
              <w:bottom w:w="80" w:type="dxa"/>
              <w:right w:w="100" w:type="dxa"/>
            </w:tcMar>
          </w:tcPr>
          <w:p w14:paraId="31F50BC0">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Water-soaked lesions that turn yellow-to-white, starting at leaf tips/edges</w:t>
            </w:r>
          </w:p>
        </w:tc>
      </w:tr>
      <w:tr w14:paraId="3B431C09">
        <w:tblPrEx/>
        <w:trPr/>
        <w:tc>
          <w:tcPr>
            <w:tcW w:w="2600" w:type="dxa"/>
            <w:tcBorders/>
            <w:tcMar>
              <w:top w:w="80" w:type="dxa"/>
              <w:left w:w="100" w:type="dxa"/>
              <w:bottom w:w="80" w:type="dxa"/>
              <w:right w:w="100" w:type="dxa"/>
            </w:tcMar>
          </w:tcPr>
          <w:p w14:paraId="7F3B4EB2">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Bacterial Leaf Streak</w:t>
            </w:r>
          </w:p>
        </w:tc>
        <w:tc>
          <w:tcPr>
            <w:tcW w:w="6900" w:type="dxa"/>
            <w:tcBorders/>
            <w:tcMar>
              <w:top w:w="80" w:type="dxa"/>
              <w:left w:w="100" w:type="dxa"/>
              <w:bottom w:w="80" w:type="dxa"/>
              <w:right w:w="100" w:type="dxa"/>
            </w:tcMar>
          </w:tcPr>
          <w:p w14:paraId="2146FC20">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Narrow, translucent yellowish streaks running between leaf veins</w:t>
            </w:r>
          </w:p>
        </w:tc>
      </w:tr>
      <w:tr w14:paraId="26F590EF">
        <w:tblPrEx/>
        <w:trPr/>
        <w:tc>
          <w:tcPr>
            <w:tcW w:w="2600" w:type="dxa"/>
            <w:tcBorders/>
            <w:shd w:val="clear" w:color="auto" w:fill="f2f2f2"/>
            <w:tcMar>
              <w:top w:w="80" w:type="dxa"/>
              <w:left w:w="100" w:type="dxa"/>
              <w:bottom w:w="80" w:type="dxa"/>
              <w:right w:w="100" w:type="dxa"/>
            </w:tcMar>
          </w:tcPr>
          <w:p w14:paraId="189758E4">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Bacterial Panicle Blight</w:t>
            </w:r>
          </w:p>
        </w:tc>
        <w:tc>
          <w:tcPr>
            <w:tcW w:w="6900" w:type="dxa"/>
            <w:tcBorders/>
            <w:shd w:val="clear" w:color="auto" w:fill="f2f2f2"/>
            <w:tcMar>
              <w:top w:w="80" w:type="dxa"/>
              <w:left w:w="100" w:type="dxa"/>
              <w:bottom w:w="80" w:type="dxa"/>
              <w:right w:w="100" w:type="dxa"/>
            </w:tcMar>
          </w:tcPr>
          <w:p w14:paraId="0139F19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Discolouration and blighting of the panicle and upper leaves</w:t>
            </w:r>
          </w:p>
        </w:tc>
      </w:tr>
      <w:tr w14:paraId="14F11CCE">
        <w:tblPrEx/>
        <w:trPr/>
        <w:tc>
          <w:tcPr>
            <w:tcW w:w="2600" w:type="dxa"/>
            <w:tcBorders/>
            <w:tcMar>
              <w:top w:w="80" w:type="dxa"/>
              <w:left w:w="100" w:type="dxa"/>
              <w:bottom w:w="80" w:type="dxa"/>
              <w:right w:w="100" w:type="dxa"/>
            </w:tcMar>
          </w:tcPr>
          <w:p w14:paraId="35C5F652">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Blast</w:t>
            </w:r>
          </w:p>
        </w:tc>
        <w:tc>
          <w:tcPr>
            <w:tcW w:w="6900" w:type="dxa"/>
            <w:tcBorders/>
            <w:tcMar>
              <w:top w:w="80" w:type="dxa"/>
              <w:left w:w="100" w:type="dxa"/>
              <w:bottom w:w="80" w:type="dxa"/>
              <w:right w:w="100" w:type="dxa"/>
            </w:tcMar>
          </w:tcPr>
          <w:p w14:paraId="06877070">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Diamond/spindle-shaped grey-centred lesions with brown margins</w:t>
            </w:r>
          </w:p>
        </w:tc>
      </w:tr>
      <w:tr w14:paraId="63E5AEDA">
        <w:tblPrEx/>
        <w:trPr/>
        <w:tc>
          <w:tcPr>
            <w:tcW w:w="2600" w:type="dxa"/>
            <w:tcBorders/>
            <w:shd w:val="clear" w:color="auto" w:fill="f2f2f2"/>
            <w:tcMar>
              <w:top w:w="80" w:type="dxa"/>
              <w:left w:w="100" w:type="dxa"/>
              <w:bottom w:w="80" w:type="dxa"/>
              <w:right w:w="100" w:type="dxa"/>
            </w:tcMar>
          </w:tcPr>
          <w:p w14:paraId="00EAD372">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Brown Spot</w:t>
            </w:r>
          </w:p>
        </w:tc>
        <w:tc>
          <w:tcPr>
            <w:tcW w:w="6900" w:type="dxa"/>
            <w:tcBorders/>
            <w:shd w:val="clear" w:color="auto" w:fill="f2f2f2"/>
            <w:tcMar>
              <w:top w:w="80" w:type="dxa"/>
              <w:left w:w="100" w:type="dxa"/>
              <w:bottom w:w="80" w:type="dxa"/>
              <w:right w:w="100" w:type="dxa"/>
            </w:tcMar>
          </w:tcPr>
          <w:p w14:paraId="4BBE7044">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Small circular to oval brown lesions scattered on the leaf blade</w:t>
            </w:r>
          </w:p>
        </w:tc>
      </w:tr>
      <w:tr w14:paraId="6D8BE21A">
        <w:tblPrEx/>
        <w:trPr/>
        <w:tc>
          <w:tcPr>
            <w:tcW w:w="2600" w:type="dxa"/>
            <w:tcBorders/>
            <w:tcMar>
              <w:top w:w="80" w:type="dxa"/>
              <w:left w:w="100" w:type="dxa"/>
              <w:bottom w:w="80" w:type="dxa"/>
              <w:right w:w="100" w:type="dxa"/>
            </w:tcMar>
          </w:tcPr>
          <w:p w14:paraId="7D71D7CE">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Dead Heart</w:t>
            </w:r>
          </w:p>
        </w:tc>
        <w:tc>
          <w:tcPr>
            <w:tcW w:w="6900" w:type="dxa"/>
            <w:tcBorders/>
            <w:tcMar>
              <w:top w:w="80" w:type="dxa"/>
              <w:left w:w="100" w:type="dxa"/>
              <w:bottom w:w="80" w:type="dxa"/>
              <w:right w:w="100" w:type="dxa"/>
            </w:tcMar>
          </w:tcPr>
          <w:p w14:paraId="1370E849">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Central shoot dries up and turns brown, caused by stem-borer damage</w:t>
            </w:r>
          </w:p>
        </w:tc>
      </w:tr>
      <w:tr w14:paraId="0E21748F">
        <w:tblPrEx/>
        <w:trPr/>
        <w:tc>
          <w:tcPr>
            <w:tcW w:w="2600" w:type="dxa"/>
            <w:tcBorders/>
            <w:shd w:val="clear" w:color="auto" w:fill="f2f2f2"/>
            <w:tcMar>
              <w:top w:w="80" w:type="dxa"/>
              <w:left w:w="100" w:type="dxa"/>
              <w:bottom w:w="80" w:type="dxa"/>
              <w:right w:w="100" w:type="dxa"/>
            </w:tcMar>
          </w:tcPr>
          <w:p w14:paraId="2A6DF862">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Downy Mildew</w:t>
            </w:r>
          </w:p>
        </w:tc>
        <w:tc>
          <w:tcPr>
            <w:tcW w:w="6900" w:type="dxa"/>
            <w:tcBorders/>
            <w:shd w:val="clear" w:color="auto" w:fill="f2f2f2"/>
            <w:tcMar>
              <w:top w:w="80" w:type="dxa"/>
              <w:left w:w="100" w:type="dxa"/>
              <w:bottom w:w="80" w:type="dxa"/>
              <w:right w:w="100" w:type="dxa"/>
            </w:tcMar>
          </w:tcPr>
          <w:p w14:paraId="57DE81AB">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Pale, irregular patches with a downy fungal growth on the underside</w:t>
            </w:r>
          </w:p>
        </w:tc>
      </w:tr>
      <w:tr w14:paraId="7445DE7F">
        <w:tblPrEx/>
        <w:trPr/>
        <w:tc>
          <w:tcPr>
            <w:tcW w:w="2600" w:type="dxa"/>
            <w:tcBorders/>
            <w:tcMar>
              <w:top w:w="80" w:type="dxa"/>
              <w:left w:w="100" w:type="dxa"/>
              <w:bottom w:w="80" w:type="dxa"/>
              <w:right w:w="100" w:type="dxa"/>
            </w:tcMar>
          </w:tcPr>
          <w:p w14:paraId="348159F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Hispa</w:t>
            </w:r>
          </w:p>
        </w:tc>
        <w:tc>
          <w:tcPr>
            <w:tcW w:w="6900" w:type="dxa"/>
            <w:tcBorders/>
            <w:tcMar>
              <w:top w:w="80" w:type="dxa"/>
              <w:left w:w="100" w:type="dxa"/>
              <w:bottom w:w="80" w:type="dxa"/>
              <w:right w:w="100" w:type="dxa"/>
            </w:tcMar>
          </w:tcPr>
          <w:p w14:paraId="6164D4D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Scraped, whitish streaks from insect (</w:t>
            </w:r>
            <w:r>
              <w:rPr>
                <w:rFonts w:ascii="Times New Roman" w:cs="Times New Roman" w:hAnsi="Times New Roman"/>
                <w:color w:val="000000"/>
                <w:sz w:val="20"/>
                <w:szCs w:val="20"/>
              </w:rPr>
              <w:t>hispa</w:t>
            </w:r>
            <w:r>
              <w:rPr>
                <w:rFonts w:ascii="Times New Roman" w:cs="Times New Roman" w:hAnsi="Times New Roman"/>
                <w:color w:val="000000"/>
                <w:sz w:val="20"/>
                <w:szCs w:val="20"/>
              </w:rPr>
              <w:t xml:space="preserve"> beetle) feeding</w:t>
            </w:r>
          </w:p>
        </w:tc>
      </w:tr>
      <w:tr w14:paraId="4294A305">
        <w:tblPrEx/>
        <w:trPr/>
        <w:tc>
          <w:tcPr>
            <w:tcW w:w="2600" w:type="dxa"/>
            <w:tcBorders/>
            <w:shd w:val="clear" w:color="auto" w:fill="f2f2f2"/>
            <w:tcMar>
              <w:top w:w="80" w:type="dxa"/>
              <w:left w:w="100" w:type="dxa"/>
              <w:bottom w:w="80" w:type="dxa"/>
              <w:right w:w="100" w:type="dxa"/>
            </w:tcMar>
          </w:tcPr>
          <w:p w14:paraId="3775964A">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Tungro</w:t>
            </w:r>
          </w:p>
        </w:tc>
        <w:tc>
          <w:tcPr>
            <w:tcW w:w="6900" w:type="dxa"/>
            <w:tcBorders/>
            <w:shd w:val="clear" w:color="auto" w:fill="f2f2f2"/>
            <w:tcMar>
              <w:top w:w="80" w:type="dxa"/>
              <w:left w:w="100" w:type="dxa"/>
              <w:bottom w:w="80" w:type="dxa"/>
              <w:right w:w="100" w:type="dxa"/>
            </w:tcMar>
          </w:tcPr>
          <w:p w14:paraId="35135AF1">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Yellow-orange discolouration and stunted growth from viral infection</w:t>
            </w:r>
          </w:p>
        </w:tc>
      </w:tr>
    </w:tbl>
    <w:p w14:paraId="5B3EDDFE">
      <w:pPr>
        <w:pStyle w:val="style0"/>
        <w:spacing w:after="160" w:lineRule="auto" w:line="276"/>
        <w:jc w:val="both"/>
        <w:rPr>
          <w:rFonts w:ascii="Times New Roman" w:cs="Times New Roman" w:hAnsi="Times New Roman"/>
          <w:color w:val="000000"/>
        </w:rPr>
      </w:pPr>
    </w:p>
    <w:p w14:paraId="15D737B0">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For each image, the raw RGB photograph and its ground-truth folder label are available. The label is used only to evaluate the model, not to construct hand-written rules, since the classification approach here is fully data-driven rather than rule-based.</w:t>
      </w:r>
    </w:p>
    <w:p w14:paraId="7C800951">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1.4 What assumptions are made?</w:t>
      </w:r>
    </w:p>
    <w:p w14:paraId="56F252F9">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Each image contains a single, reasonably well-framed paddy leaf, allowing consistent resizing and preprocessing.</w:t>
      </w:r>
    </w:p>
    <w:p w14:paraId="2965FFB0">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The ten dataset classes are mutually exclusive — every leaf is assumed to show only one dominant condition.</w:t>
      </w:r>
    </w:p>
    <w:p w14:paraId="490EC5A0">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The images collected are broadly representative of how each disease appears, even though field conditions (lighting, background clutter, leaf orientation) will vary in practice.</w:t>
      </w:r>
    </w:p>
    <w:p w14:paraId="56C057ED">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The HOG parameters (cell size, block size, number of orientation bins) chosen during preprocessing generalise reasonably well across all ten classes rather than being separately tuned per class.</w:t>
      </w:r>
    </w:p>
    <w:p w14:paraId="2BF9FFE8">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A single train/test split of the 3,000 images is sufficient to give an indicative, if not exhaustive, estimate of real-world performance.</w:t>
      </w:r>
    </w:p>
    <w:p w14:paraId="30DB34D5">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1.5 What constraints must be satisfied?</w:t>
      </w:r>
    </w:p>
    <w:p w14:paraId="6486A924">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Computational feasibility: the pipeline must run on ordinary student-level computing hardware (a laptop with a CPU), without requiring GPU-accelerated deep learning.</w:t>
      </w:r>
    </w:p>
    <w:p w14:paraId="1D13BB26">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Reusability: the trained classifier and its class labels must be saved to disk so that new leaf images can be classified later without repeating feature extraction and training.</w:t>
      </w:r>
    </w:p>
    <w:p w14:paraId="18FF57F4">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Acceptable, honestly-reported accuracy: the system should be evaluated with a quantitative accuracy score, and that score must be reported and interpreted honestly rather than overstated.</w:t>
      </w:r>
    </w:p>
    <w:p w14:paraId="16DDF97E">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Data dependency: results are inherently bounded by the size, balance, and diversity of the 3,000-image dataset, and this limitation must be acknowledged rather than hidden.</w:t>
      </w:r>
    </w:p>
    <w:p w14:paraId="5CB9260C">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Decision-support framing: the tool is intended to assist, not replace, professional agricultural diagnosis, given that its current accuracy is moderate.</w:t>
      </w:r>
    </w:p>
    <w:p w14:paraId="45F57AF1">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2. Application of Course Knowledge</w:t>
      </w:r>
    </w:p>
    <w:p w14:paraId="757A4E8F">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2.1 Principles and theories applied</w:t>
      </w:r>
    </w:p>
    <w:p w14:paraId="7024AA13">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This case study draws on two areas of course knowledge: (a) classical computer-vision feature engineering, specifically gradient-based shape/edge descriptors, and (b) ensemble supervised learning, specifically gradient-boosted decision trees.</w:t>
      </w:r>
    </w:p>
    <w:p w14:paraId="499D8AEB">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Feature engineering: instead of feeding raw pixels to a classifier, the Histogram of Oriented Gradients (HOG) descriptor is used to convert each leaf image into a fixed-length vector that summarises local edge orientation and intensity, a technique originally developed for object/pedestrian detection and well suited to capturing lesion shape and leaf-texture boundaries.</w:t>
      </w:r>
    </w:p>
    <w:p w14:paraId="3BE7487E">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 xml:space="preserve">Ensemble learning / boosting: </w:t>
      </w:r>
      <w:r>
        <w:rPr>
          <w:rFonts w:ascii="Times New Roman" w:cs="Times New Roman" w:hAnsi="Times New Roman"/>
          <w:color w:val="000000"/>
        </w:rPr>
        <w:t>XGBoost</w:t>
      </w:r>
      <w:r>
        <w:rPr>
          <w:rFonts w:ascii="Times New Roman" w:cs="Times New Roman" w:hAnsi="Times New Roman"/>
          <w:color w:val="000000"/>
        </w:rPr>
        <w:t xml:space="preserve"> builds an additive ensemble of shallow decision trees, where each new tree is trained to correct the residual errors of the trees before it, following the gradient-boosting framework from the course's supervised-learning unit.</w:t>
      </w:r>
    </w:p>
    <w:p w14:paraId="32D4CB90">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 xml:space="preserve">Bias–variance trade-off: boosting many weak learners (shallow trees) reduces bias while regularisation terms in </w:t>
      </w:r>
      <w:r>
        <w:rPr>
          <w:rFonts w:ascii="Times New Roman" w:cs="Times New Roman" w:hAnsi="Times New Roman"/>
          <w:color w:val="000000"/>
        </w:rPr>
        <w:t>XGBoost's</w:t>
      </w:r>
      <w:r>
        <w:rPr>
          <w:rFonts w:ascii="Times New Roman" w:cs="Times New Roman" w:hAnsi="Times New Roman"/>
          <w:color w:val="000000"/>
        </w:rPr>
        <w:t xml:space="preserve"> objective function control variance/overfitting, a concept directly drawn from the model-evaluation portion of the course.</w:t>
      </w:r>
    </w:p>
    <w:p w14:paraId="28921939">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Train/test evaluation methodology: classification accuracy is computed on a held-out portion of the data, applying the standard supervised-learning evaluation protocol taught in the course.</w:t>
      </w:r>
    </w:p>
    <w:p w14:paraId="07DE653F">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2.2 Mathematical models and calculations</w:t>
      </w:r>
    </w:p>
    <w:p w14:paraId="79DEC493">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HOG feature vector length: for an image divided into cells of size </w:t>
      </w:r>
      <w:r>
        <w:rPr>
          <w:rFonts w:ascii="Times New Roman" w:cs="Times New Roman" w:hAnsi="Times New Roman"/>
          <w:color w:val="000000"/>
        </w:rPr>
        <w:t>c×c</w:t>
      </w:r>
      <w:r>
        <w:rPr>
          <w:rFonts w:ascii="Times New Roman" w:cs="Times New Roman" w:hAnsi="Times New Roman"/>
          <w:color w:val="000000"/>
        </w:rPr>
        <w:t xml:space="preserve"> pixels, grouped into overlapping blocks of </w:t>
      </w:r>
      <w:r>
        <w:rPr>
          <w:rFonts w:ascii="Times New Roman" w:cs="Times New Roman" w:hAnsi="Times New Roman"/>
          <w:color w:val="000000"/>
        </w:rPr>
        <w:t>b×b</w:t>
      </w:r>
      <w:r>
        <w:rPr>
          <w:rFonts w:ascii="Times New Roman" w:cs="Times New Roman" w:hAnsi="Times New Roman"/>
          <w:color w:val="000000"/>
        </w:rPr>
        <w:t xml:space="preserve"> cells, with o orientation bins per cell histogram, the total feature length is:</w:t>
      </w:r>
    </w:p>
    <w:p w14:paraId="72283F6C">
      <w:pPr>
        <w:pStyle w:val="style0"/>
        <w:spacing w:after="160" w:lineRule="auto" w:line="276"/>
        <w:jc w:val="both"/>
        <w:rPr>
          <w:rFonts w:ascii="Times New Roman" w:cs="Times New Roman" w:hAnsi="Times New Roman"/>
          <w:color w:val="000000"/>
        </w:rPr>
      </w:pPr>
      <w:r>
        <w:rPr>
          <w:rFonts w:ascii="Times New Roman" w:cs="Times New Roman" w:hAnsi="Times New Roman"/>
          <w:i/>
          <w:iCs/>
          <w:color w:val="000000"/>
        </w:rPr>
        <w:t>Feature length = (number of blocks) × b² × o</w:t>
      </w:r>
    </w:p>
    <w:p w14:paraId="0D16148A">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In this implementation, the reported feature matrix has shape (3000, 1764) — i.e. each of the 3,000 images is represented by a 1,764-dimensional HOG vector. This confirms the block/cell/bin configuration used during preprocessing produced 1,764 gradient-orientation features per leaf image.</w:t>
      </w:r>
    </w:p>
    <w:p w14:paraId="231EA0D1">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Gradient magnitude and orientation at each pixel (x, y), the basis of every HOG histogram bin, are computed from the horizontal and vertical intensity gradients Gx and Gy as:</w:t>
      </w:r>
    </w:p>
    <w:p w14:paraId="690C2B9E">
      <w:pPr>
        <w:pStyle w:val="style0"/>
        <w:spacing w:after="160" w:lineRule="auto" w:line="276"/>
        <w:jc w:val="both"/>
        <w:rPr>
          <w:rFonts w:ascii="Times New Roman" w:cs="Times New Roman" w:hAnsi="Times New Roman"/>
          <w:color w:val="000000"/>
        </w:rPr>
      </w:pPr>
      <w:r>
        <w:rPr>
          <w:rFonts w:ascii="Times New Roman" w:cs="Times New Roman" w:hAnsi="Times New Roman"/>
          <w:i/>
          <w:iCs/>
          <w:color w:val="000000"/>
        </w:rPr>
        <w:t xml:space="preserve">Magnitude, </w:t>
      </w:r>
      <w:r>
        <w:rPr>
          <w:rFonts w:ascii="Times New Roman" w:cs="Times New Roman" w:hAnsi="Times New Roman"/>
          <w:i/>
          <w:iCs/>
          <w:color w:val="000000"/>
        </w:rPr>
        <w:t>m(</w:t>
      </w:r>
      <w:r>
        <w:rPr>
          <w:rFonts w:ascii="Times New Roman" w:cs="Times New Roman" w:hAnsi="Times New Roman"/>
          <w:i/>
          <w:iCs/>
          <w:color w:val="000000"/>
        </w:rPr>
        <w:t xml:space="preserve">x, y) = </w:t>
      </w:r>
      <w:r>
        <w:rPr>
          <w:rFonts w:ascii="Times New Roman" w:cs="Times New Roman" w:hAnsi="Times New Roman"/>
          <w:i/>
          <w:iCs/>
          <w:color w:val="000000"/>
        </w:rPr>
        <w:t>√(</w:t>
      </w:r>
      <w:r>
        <w:rPr>
          <w:rFonts w:ascii="Times New Roman" w:cs="Times New Roman" w:hAnsi="Times New Roman"/>
          <w:i/>
          <w:iCs/>
          <w:color w:val="000000"/>
        </w:rPr>
        <w:t>Gx² + Gy</w:t>
      </w:r>
      <w:r>
        <w:rPr>
          <w:rFonts w:ascii="Times New Roman" w:cs="Times New Roman" w:hAnsi="Times New Roman"/>
          <w:i/>
          <w:iCs/>
          <w:color w:val="000000"/>
        </w:rPr>
        <w:t xml:space="preserve">²)   </w:t>
      </w:r>
      <w:r>
        <w:rPr>
          <w:rFonts w:ascii="Times New Roman" w:cs="Times New Roman" w:hAnsi="Times New Roman"/>
          <w:i/>
          <w:iCs/>
          <w:color w:val="000000"/>
        </w:rPr>
        <w:t xml:space="preserve">   Orientation, </w:t>
      </w:r>
      <w:r>
        <w:rPr>
          <w:rFonts w:ascii="Times New Roman" w:cs="Times New Roman" w:hAnsi="Times New Roman"/>
          <w:i/>
          <w:iCs/>
          <w:color w:val="000000"/>
        </w:rPr>
        <w:t>θ(</w:t>
      </w:r>
      <w:r>
        <w:rPr>
          <w:rFonts w:ascii="Times New Roman" w:cs="Times New Roman" w:hAnsi="Times New Roman"/>
          <w:i/>
          <w:iCs/>
          <w:color w:val="000000"/>
        </w:rPr>
        <w:t>x, y) = tan⁻</w:t>
      </w:r>
      <w:r>
        <w:rPr>
          <w:rFonts w:ascii="Times New Roman" w:cs="Times New Roman" w:hAnsi="Times New Roman"/>
          <w:i/>
          <w:iCs/>
          <w:color w:val="000000"/>
        </w:rPr>
        <w:t>¹(</w:t>
      </w:r>
      <w:r>
        <w:rPr>
          <w:rFonts w:ascii="Times New Roman" w:cs="Times New Roman" w:hAnsi="Times New Roman"/>
          <w:i/>
          <w:iCs/>
          <w:color w:val="000000"/>
        </w:rPr>
        <w:t>Gy / Gx)</w:t>
      </w:r>
    </w:p>
    <w:p w14:paraId="12F2475C">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Each pixel's gradient contributes to the orientation-bin histogram of its cell in proportion to its magnitude, so that strong, well-defined edges (such as lesion borders) dominate the resulting descriptor.</w:t>
      </w:r>
    </w:p>
    <w:p w14:paraId="73A84AAB">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XGBoost</w:t>
      </w:r>
      <w:r>
        <w:rPr>
          <w:rFonts w:ascii="Times New Roman" w:cs="Times New Roman" w:hAnsi="Times New Roman"/>
          <w:color w:val="000000"/>
        </w:rPr>
        <w:t xml:space="preserve"> objective function: the model minimises a regularised objective over K additive trees:</w:t>
      </w:r>
    </w:p>
    <w:p w14:paraId="1A456F72">
      <w:pPr>
        <w:pStyle w:val="style0"/>
        <w:spacing w:after="160" w:lineRule="auto" w:line="276"/>
        <w:jc w:val="both"/>
        <w:rPr>
          <w:rFonts w:ascii="Times New Roman" w:cs="Times New Roman" w:hAnsi="Times New Roman"/>
          <w:color w:val="000000"/>
        </w:rPr>
      </w:pPr>
      <w:r>
        <w:rPr>
          <w:rFonts w:ascii="Times New Roman" w:cs="Times New Roman" w:hAnsi="Times New Roman"/>
          <w:i/>
          <w:iCs/>
          <w:color w:val="000000"/>
        </w:rPr>
        <w:t>Obj</w:t>
      </w:r>
      <w:r>
        <w:rPr>
          <w:rFonts w:ascii="Times New Roman" w:cs="Times New Roman" w:hAnsi="Times New Roman"/>
          <w:i/>
          <w:iCs/>
          <w:color w:val="000000"/>
        </w:rPr>
        <w:t xml:space="preserve"> = Σ</w:t>
      </w:r>
      <w:r>
        <w:rPr>
          <w:rFonts w:ascii="Times New Roman" w:cs="Times New Roman" w:hAnsi="Times New Roman"/>
          <w:i/>
          <w:iCs/>
          <w:color w:val="000000"/>
        </w:rPr>
        <w:t>ᵢ</w:t>
      </w:r>
      <w:r>
        <w:rPr>
          <w:rFonts w:ascii="Times New Roman" w:cs="Times New Roman" w:hAnsi="Times New Roman"/>
          <w:i/>
          <w:iCs/>
          <w:color w:val="000000"/>
        </w:rPr>
        <w:t xml:space="preserve"> </w:t>
      </w:r>
      <w:r>
        <w:rPr>
          <w:rFonts w:ascii="Times New Roman" w:cs="Times New Roman" w:hAnsi="Times New Roman"/>
          <w:i/>
          <w:iCs/>
          <w:color w:val="000000"/>
        </w:rPr>
        <w:t>l(</w:t>
      </w:r>
      <w:r>
        <w:rPr>
          <w:rFonts w:ascii="Times New Roman" w:cs="Times New Roman" w:hAnsi="Times New Roman"/>
          <w:i/>
          <w:iCs/>
          <w:color w:val="000000"/>
        </w:rPr>
        <w:t>y</w:t>
      </w:r>
      <w:r>
        <w:rPr>
          <w:rFonts w:ascii="Times New Roman" w:cs="Times New Roman" w:hAnsi="Times New Roman"/>
          <w:i/>
          <w:iCs/>
          <w:color w:val="000000"/>
        </w:rPr>
        <w:t>ᵢ</w:t>
      </w:r>
      <w:r>
        <w:rPr>
          <w:rFonts w:ascii="Times New Roman" w:cs="Times New Roman" w:hAnsi="Times New Roman"/>
          <w:i/>
          <w:iCs/>
          <w:color w:val="000000"/>
        </w:rPr>
        <w:t>, ŷ</w:t>
      </w:r>
      <w:r>
        <w:rPr>
          <w:rFonts w:ascii="Times New Roman" w:cs="Times New Roman" w:hAnsi="Times New Roman"/>
          <w:i/>
          <w:iCs/>
          <w:color w:val="000000"/>
        </w:rPr>
        <w:t>ᵢ</w:t>
      </w:r>
      <w:r>
        <w:rPr>
          <w:rFonts w:ascii="Times New Roman" w:cs="Times New Roman" w:hAnsi="Times New Roman"/>
          <w:i/>
          <w:iCs/>
          <w:color w:val="000000"/>
        </w:rPr>
        <w:t>) + Σₖ Ω(fₖ</w:t>
      </w:r>
      <w:r>
        <w:rPr>
          <w:rFonts w:ascii="Times New Roman" w:cs="Times New Roman" w:hAnsi="Times New Roman"/>
          <w:i/>
          <w:iCs/>
          <w:color w:val="000000"/>
        </w:rPr>
        <w:t xml:space="preserve">),   </w:t>
      </w:r>
      <w:r>
        <w:rPr>
          <w:rFonts w:ascii="Times New Roman" w:cs="Times New Roman" w:hAnsi="Times New Roman"/>
          <w:i/>
          <w:iCs/>
          <w:color w:val="000000"/>
        </w:rPr>
        <w:t xml:space="preserve">where Ω(f) = </w:t>
      </w:r>
      <w:r>
        <w:rPr>
          <w:rFonts w:ascii="Times New Roman" w:cs="Times New Roman" w:hAnsi="Times New Roman"/>
          <w:i/>
          <w:iCs/>
          <w:color w:val="000000"/>
        </w:rPr>
        <w:t>γT</w:t>
      </w:r>
      <w:r>
        <w:rPr>
          <w:rFonts w:ascii="Times New Roman" w:cs="Times New Roman" w:hAnsi="Times New Roman"/>
          <w:i/>
          <w:iCs/>
          <w:color w:val="000000"/>
        </w:rPr>
        <w:t xml:space="preserve"> + ½λ‖w‖²</w:t>
      </w:r>
    </w:p>
    <w:p w14:paraId="74D11C7D">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Here l is the training loss (multi-class log-loss for this ten-class problem), T is the number of leaves in a tree, w is the vector of leaf weights, and γ, λ are regularisation coefficients that penalise overly complex trees — this is the mechanism by which </w:t>
      </w:r>
      <w:r>
        <w:rPr>
          <w:rFonts w:ascii="Times New Roman" w:cs="Times New Roman" w:hAnsi="Times New Roman"/>
          <w:color w:val="000000"/>
        </w:rPr>
        <w:t>XGBoost</w:t>
      </w:r>
      <w:r>
        <w:rPr>
          <w:rFonts w:ascii="Times New Roman" w:cs="Times New Roman" w:hAnsi="Times New Roman"/>
          <w:color w:val="000000"/>
        </w:rPr>
        <w:t xml:space="preserve"> controls overfitting while combining many weak learners.</w:t>
      </w:r>
    </w:p>
    <w:p w14:paraId="153ECA78">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Overall classification accuracy, the primary evaluation metric used, is:</w:t>
      </w:r>
    </w:p>
    <w:p w14:paraId="24EA162B">
      <w:pPr>
        <w:pStyle w:val="style0"/>
        <w:spacing w:after="160" w:lineRule="auto" w:line="276"/>
        <w:jc w:val="both"/>
        <w:rPr>
          <w:rFonts w:ascii="Times New Roman" w:cs="Times New Roman" w:hAnsi="Times New Roman"/>
          <w:color w:val="000000"/>
        </w:rPr>
      </w:pPr>
      <w:r>
        <w:rPr>
          <w:rFonts w:ascii="Times New Roman" w:cs="Times New Roman" w:hAnsi="Times New Roman"/>
          <w:i/>
          <w:iCs/>
          <w:color w:val="000000"/>
        </w:rPr>
        <w:t>Accuracy = (Number of correctly classified test images / Total test images) × 100%</w:t>
      </w:r>
    </w:p>
    <w:p w14:paraId="4361286B">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Applying this to the reported execution result gives an overall accuracy of 52.50% on the evaluated test split.</w:t>
      </w:r>
    </w:p>
    <w:p w14:paraId="01585E93">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2.3 Engineering / design concepts applied</w:t>
      </w:r>
    </w:p>
    <w:p w14:paraId="3630EEBE">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Separation of concerns: feature extraction (HOG) is kept as an independent stage from model training (</w:t>
      </w:r>
      <w:r>
        <w:rPr>
          <w:rFonts w:ascii="Times New Roman" w:cs="Times New Roman" w:hAnsi="Times New Roman"/>
          <w:color w:val="000000"/>
        </w:rPr>
        <w:t>XGBoost</w:t>
      </w:r>
      <w:r>
        <w:rPr>
          <w:rFonts w:ascii="Times New Roman" w:cs="Times New Roman" w:hAnsi="Times New Roman"/>
          <w:color w:val="000000"/>
        </w:rPr>
        <w:t>), so either stage can be modified — e.g. swapping in a different descriptor or classifier — without rewriting the other.</w:t>
      </w:r>
    </w:p>
    <w:p w14:paraId="0E43B17D">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Pipeline architecture: the system follows a linear processing pipeline (Dataset → Preprocessing → Feature Extraction → Classification → Evaluation → Model Persistence), a standard design pattern for perception-to-decision systems.</w:t>
      </w:r>
    </w:p>
    <w:p w14:paraId="55FCCBC5">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Model persistence / reusability: the trained classifier and class-label mapping are serialised to disk (as .</w:t>
      </w:r>
      <w:r>
        <w:rPr>
          <w:rFonts w:ascii="Times New Roman" w:cs="Times New Roman" w:hAnsi="Times New Roman"/>
          <w:color w:val="000000"/>
        </w:rPr>
        <w:t>pkl</w:t>
      </w:r>
      <w:r>
        <w:rPr>
          <w:rFonts w:ascii="Times New Roman" w:cs="Times New Roman" w:hAnsi="Times New Roman"/>
          <w:color w:val="000000"/>
        </w:rPr>
        <w:t xml:space="preserve"> files), following the engineering practice of decoupling a one-time expensive training step from repeated, cheap inference.</w:t>
      </w:r>
    </w:p>
    <w:p w14:paraId="5E2229B8">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3. Solution / Design / Methodology</w:t>
      </w:r>
    </w:p>
    <w:p w14:paraId="5FA759EC">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3.1 System architecture</w:t>
      </w:r>
    </w:p>
    <w:p w14:paraId="3231AA05">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The implemented system follows a seven-stage pipeline:</w:t>
      </w:r>
    </w:p>
    <w:p w14:paraId="36546240">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1. Dataset Loading — paddy leaf images are read from folders, one folder per disease/condition class, and each image is tagged with its folder name as the ground-truth label.</w:t>
      </w:r>
    </w:p>
    <w:p w14:paraId="5E4A0252">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2. Image Preprocessing — every image is loaded, converted to a consistent colour/greyscale representation, and resized to a uniform resolution so that HOG descriptors of a fixed length can be computed across the whole dataset.</w:t>
      </w:r>
    </w:p>
    <w:p w14:paraId="5847F228">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 xml:space="preserve">3. HOG Feature Extraction — each </w:t>
      </w:r>
      <w:r>
        <w:rPr>
          <w:rFonts w:ascii="Times New Roman" w:cs="Times New Roman" w:hAnsi="Times New Roman"/>
          <w:color w:val="000000"/>
        </w:rPr>
        <w:t>preprocessed</w:t>
      </w:r>
      <w:r>
        <w:rPr>
          <w:rFonts w:ascii="Times New Roman" w:cs="Times New Roman" w:hAnsi="Times New Roman"/>
          <w:color w:val="000000"/>
        </w:rPr>
        <w:t xml:space="preserve"> image is converted into a 1,764-element numerical vector describing local edge orientation and structure.</w:t>
      </w:r>
    </w:p>
    <w:p w14:paraId="5B21D7B9">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4. Train/Test Split — the 3,000 feature vectors and their labels are divided into training and evaluation subsets.</w:t>
      </w:r>
    </w:p>
    <w:p w14:paraId="3C5DC354">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 xml:space="preserve">5. </w:t>
      </w:r>
      <w:r>
        <w:rPr>
          <w:rFonts w:ascii="Times New Roman" w:cs="Times New Roman" w:hAnsi="Times New Roman"/>
          <w:color w:val="000000"/>
        </w:rPr>
        <w:t>XGBoost</w:t>
      </w:r>
      <w:r>
        <w:rPr>
          <w:rFonts w:ascii="Times New Roman" w:cs="Times New Roman" w:hAnsi="Times New Roman"/>
          <w:color w:val="000000"/>
        </w:rPr>
        <w:t xml:space="preserve"> Training — the gradient-boosted tree ensemble is trained on the HOG vectors to learn decision boundaries between the ten classes.</w:t>
      </w:r>
    </w:p>
    <w:p w14:paraId="741B2F4D">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6. Disease Classification &amp; Accuracy Calculation — the trained model predicts a class for each test-set leaf, and overall accuracy is computed by comparing predictions to ground truth.</w:t>
      </w:r>
    </w:p>
    <w:p w14:paraId="51F2893E">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 xml:space="preserve">7. Model Saving — the trained classifier is stored as </w:t>
      </w:r>
      <w:r>
        <w:rPr>
          <w:rFonts w:ascii="Times New Roman" w:cs="Times New Roman" w:hAnsi="Times New Roman"/>
          <w:color w:val="000000"/>
        </w:rPr>
        <w:t>paddy_xgboost_model.pkl</w:t>
      </w:r>
      <w:r>
        <w:rPr>
          <w:rFonts w:ascii="Times New Roman" w:cs="Times New Roman" w:hAnsi="Times New Roman"/>
          <w:color w:val="000000"/>
        </w:rPr>
        <w:t xml:space="preserve"> and the class-label mapping as </w:t>
      </w:r>
      <w:r>
        <w:rPr>
          <w:rFonts w:ascii="Times New Roman" w:cs="Times New Roman" w:hAnsi="Times New Roman"/>
          <w:color w:val="000000"/>
        </w:rPr>
        <w:t>class_names.pkl</w:t>
      </w:r>
      <w:r>
        <w:rPr>
          <w:rFonts w:ascii="Times New Roman" w:cs="Times New Roman" w:hAnsi="Times New Roman"/>
          <w:color w:val="000000"/>
        </w:rPr>
        <w:t xml:space="preserve"> for later reuse.</w:t>
      </w:r>
    </w:p>
    <w:p w14:paraId="6087FB7E">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3.2 Pipeline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300"/>
      </w:tblGrid>
      <w:tr w14:paraId="7459D5EB">
        <w:trPr>
          <w:tblHeader/>
        </w:trPr>
        <w:tc>
          <w:tcPr>
            <w:tcW w:w="2600" w:type="dxa"/>
            <w:tcBorders/>
            <w:shd w:val="clear" w:color="auto" w:fill="1f3864"/>
            <w:tcMar>
              <w:top w:w="80" w:type="dxa"/>
              <w:left w:w="100" w:type="dxa"/>
              <w:bottom w:w="80" w:type="dxa"/>
              <w:right w:w="100" w:type="dxa"/>
            </w:tcMar>
          </w:tcPr>
          <w:p w14:paraId="5BC80729">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Stage</w:t>
            </w:r>
          </w:p>
        </w:tc>
        <w:tc>
          <w:tcPr>
            <w:tcW w:w="3600" w:type="dxa"/>
            <w:tcBorders/>
            <w:shd w:val="clear" w:color="auto" w:fill="1f3864"/>
            <w:tcMar>
              <w:top w:w="80" w:type="dxa"/>
              <w:left w:w="100" w:type="dxa"/>
              <w:bottom w:w="80" w:type="dxa"/>
              <w:right w:w="100" w:type="dxa"/>
            </w:tcMar>
          </w:tcPr>
          <w:p w14:paraId="23C78970">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Input</w:t>
            </w:r>
          </w:p>
        </w:tc>
        <w:tc>
          <w:tcPr>
            <w:tcW w:w="3300" w:type="dxa"/>
            <w:tcBorders/>
            <w:shd w:val="clear" w:color="auto" w:fill="1f3864"/>
            <w:tcMar>
              <w:top w:w="80" w:type="dxa"/>
              <w:left w:w="100" w:type="dxa"/>
              <w:bottom w:w="80" w:type="dxa"/>
              <w:right w:w="100" w:type="dxa"/>
            </w:tcMar>
          </w:tcPr>
          <w:p w14:paraId="38F0437D">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Output</w:t>
            </w:r>
          </w:p>
        </w:tc>
      </w:tr>
      <w:tr w14:paraId="3C913AFD">
        <w:tblPrEx/>
        <w:trPr/>
        <w:tc>
          <w:tcPr>
            <w:tcW w:w="2600" w:type="dxa"/>
            <w:tcBorders/>
            <w:tcMar>
              <w:top w:w="80" w:type="dxa"/>
              <w:left w:w="100" w:type="dxa"/>
              <w:bottom w:w="80" w:type="dxa"/>
              <w:right w:w="100" w:type="dxa"/>
            </w:tcMar>
          </w:tcPr>
          <w:p w14:paraId="35708B76">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Dataset Loading</w:t>
            </w:r>
          </w:p>
        </w:tc>
        <w:tc>
          <w:tcPr>
            <w:tcW w:w="3600" w:type="dxa"/>
            <w:tcBorders/>
            <w:tcMar>
              <w:top w:w="80" w:type="dxa"/>
              <w:left w:w="100" w:type="dxa"/>
              <w:bottom w:w="80" w:type="dxa"/>
              <w:right w:w="100" w:type="dxa"/>
            </w:tcMar>
          </w:tcPr>
          <w:p w14:paraId="39A307B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3,000 raw leaf images in 10 class folders</w:t>
            </w:r>
          </w:p>
        </w:tc>
        <w:tc>
          <w:tcPr>
            <w:tcW w:w="3300" w:type="dxa"/>
            <w:tcBorders/>
            <w:tcMar>
              <w:top w:w="80" w:type="dxa"/>
              <w:left w:w="100" w:type="dxa"/>
              <w:bottom w:w="80" w:type="dxa"/>
              <w:right w:w="100" w:type="dxa"/>
            </w:tcMar>
          </w:tcPr>
          <w:p w14:paraId="3E6B7C6D">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Image–label pairs</w:t>
            </w:r>
          </w:p>
        </w:tc>
      </w:tr>
      <w:tr w14:paraId="000AD8ED">
        <w:tblPrEx/>
        <w:trPr/>
        <w:tc>
          <w:tcPr>
            <w:tcW w:w="2600" w:type="dxa"/>
            <w:tcBorders/>
            <w:shd w:val="clear" w:color="auto" w:fill="f2f2f2"/>
            <w:tcMar>
              <w:top w:w="80" w:type="dxa"/>
              <w:left w:w="100" w:type="dxa"/>
              <w:bottom w:w="80" w:type="dxa"/>
              <w:right w:w="100" w:type="dxa"/>
            </w:tcMar>
          </w:tcPr>
          <w:p w14:paraId="2A90CA23">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Preprocessing</w:t>
            </w:r>
          </w:p>
        </w:tc>
        <w:tc>
          <w:tcPr>
            <w:tcW w:w="3600" w:type="dxa"/>
            <w:tcBorders/>
            <w:shd w:val="clear" w:color="auto" w:fill="f2f2f2"/>
            <w:tcMar>
              <w:top w:w="80" w:type="dxa"/>
              <w:left w:w="100" w:type="dxa"/>
              <w:bottom w:w="80" w:type="dxa"/>
              <w:right w:w="100" w:type="dxa"/>
            </w:tcMar>
          </w:tcPr>
          <w:p w14:paraId="0FA76C78">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Raw RGB images</w:t>
            </w:r>
          </w:p>
        </w:tc>
        <w:tc>
          <w:tcPr>
            <w:tcW w:w="3300" w:type="dxa"/>
            <w:tcBorders/>
            <w:shd w:val="clear" w:color="auto" w:fill="f2f2f2"/>
            <w:tcMar>
              <w:top w:w="80" w:type="dxa"/>
              <w:left w:w="100" w:type="dxa"/>
              <w:bottom w:w="80" w:type="dxa"/>
              <w:right w:w="100" w:type="dxa"/>
            </w:tcMar>
          </w:tcPr>
          <w:p w14:paraId="24F90393">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Resized, standardised images</w:t>
            </w:r>
          </w:p>
        </w:tc>
      </w:tr>
      <w:tr w14:paraId="39556B8A">
        <w:tblPrEx/>
        <w:trPr/>
        <w:tc>
          <w:tcPr>
            <w:tcW w:w="2600" w:type="dxa"/>
            <w:tcBorders/>
            <w:tcMar>
              <w:top w:w="80" w:type="dxa"/>
              <w:left w:w="100" w:type="dxa"/>
              <w:bottom w:w="80" w:type="dxa"/>
              <w:right w:w="100" w:type="dxa"/>
            </w:tcMar>
          </w:tcPr>
          <w:p w14:paraId="3B30AA41">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HOG Extraction</w:t>
            </w:r>
          </w:p>
        </w:tc>
        <w:tc>
          <w:tcPr>
            <w:tcW w:w="3600" w:type="dxa"/>
            <w:tcBorders/>
            <w:tcMar>
              <w:top w:w="80" w:type="dxa"/>
              <w:left w:w="100" w:type="dxa"/>
              <w:bottom w:w="80" w:type="dxa"/>
              <w:right w:w="100" w:type="dxa"/>
            </w:tcMar>
          </w:tcPr>
          <w:p w14:paraId="55005542">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Standardised images</w:t>
            </w:r>
          </w:p>
        </w:tc>
        <w:tc>
          <w:tcPr>
            <w:tcW w:w="3300" w:type="dxa"/>
            <w:tcBorders/>
            <w:tcMar>
              <w:top w:w="80" w:type="dxa"/>
              <w:left w:w="100" w:type="dxa"/>
              <w:bottom w:w="80" w:type="dxa"/>
              <w:right w:w="100" w:type="dxa"/>
            </w:tcMar>
          </w:tcPr>
          <w:p w14:paraId="08D39DB2">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3,000 × 1,764 feature matrix</w:t>
            </w:r>
          </w:p>
        </w:tc>
      </w:tr>
      <w:tr w14:paraId="36F78CE6">
        <w:tblPrEx/>
        <w:trPr/>
        <w:tc>
          <w:tcPr>
            <w:tcW w:w="2600" w:type="dxa"/>
            <w:tcBorders/>
            <w:shd w:val="clear" w:color="auto" w:fill="f2f2f2"/>
            <w:tcMar>
              <w:top w:w="80" w:type="dxa"/>
              <w:left w:w="100" w:type="dxa"/>
              <w:bottom w:w="80" w:type="dxa"/>
              <w:right w:w="100" w:type="dxa"/>
            </w:tcMar>
          </w:tcPr>
          <w:p w14:paraId="1D0B579D">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XGBoost</w:t>
            </w:r>
            <w:r>
              <w:rPr>
                <w:rFonts w:ascii="Times New Roman" w:cs="Times New Roman" w:hAnsi="Times New Roman"/>
                <w:color w:val="000000"/>
                <w:sz w:val="20"/>
                <w:szCs w:val="20"/>
              </w:rPr>
              <w:t xml:space="preserve"> Training</w:t>
            </w:r>
          </w:p>
        </w:tc>
        <w:tc>
          <w:tcPr>
            <w:tcW w:w="3600" w:type="dxa"/>
            <w:tcBorders/>
            <w:shd w:val="clear" w:color="auto" w:fill="f2f2f2"/>
            <w:tcMar>
              <w:top w:w="80" w:type="dxa"/>
              <w:left w:w="100" w:type="dxa"/>
              <w:bottom w:w="80" w:type="dxa"/>
              <w:right w:w="100" w:type="dxa"/>
            </w:tcMar>
          </w:tcPr>
          <w:p w14:paraId="572CEAA4">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Feature matrix + labels</w:t>
            </w:r>
          </w:p>
        </w:tc>
        <w:tc>
          <w:tcPr>
            <w:tcW w:w="3300" w:type="dxa"/>
            <w:tcBorders/>
            <w:shd w:val="clear" w:color="auto" w:fill="f2f2f2"/>
            <w:tcMar>
              <w:top w:w="80" w:type="dxa"/>
              <w:left w:w="100" w:type="dxa"/>
              <w:bottom w:w="80" w:type="dxa"/>
              <w:right w:w="100" w:type="dxa"/>
            </w:tcMar>
          </w:tcPr>
          <w:p w14:paraId="71326FCA">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Trained boosted-tree classifier</w:t>
            </w:r>
          </w:p>
        </w:tc>
      </w:tr>
      <w:tr w14:paraId="05E54DCD">
        <w:tblPrEx/>
        <w:trPr/>
        <w:tc>
          <w:tcPr>
            <w:tcW w:w="2600" w:type="dxa"/>
            <w:tcBorders/>
            <w:tcMar>
              <w:top w:w="80" w:type="dxa"/>
              <w:left w:w="100" w:type="dxa"/>
              <w:bottom w:w="80" w:type="dxa"/>
              <w:right w:w="100" w:type="dxa"/>
            </w:tcMar>
          </w:tcPr>
          <w:p w14:paraId="51E5186A">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Evaluation</w:t>
            </w:r>
          </w:p>
        </w:tc>
        <w:tc>
          <w:tcPr>
            <w:tcW w:w="3600" w:type="dxa"/>
            <w:tcBorders/>
            <w:tcMar>
              <w:top w:w="80" w:type="dxa"/>
              <w:left w:w="100" w:type="dxa"/>
              <w:bottom w:w="80" w:type="dxa"/>
              <w:right w:w="100" w:type="dxa"/>
            </w:tcMar>
          </w:tcPr>
          <w:p w14:paraId="5CE67193">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Held-out test features</w:t>
            </w:r>
          </w:p>
        </w:tc>
        <w:tc>
          <w:tcPr>
            <w:tcW w:w="3300" w:type="dxa"/>
            <w:tcBorders/>
            <w:tcMar>
              <w:top w:w="80" w:type="dxa"/>
              <w:left w:w="100" w:type="dxa"/>
              <w:bottom w:w="80" w:type="dxa"/>
              <w:right w:w="100" w:type="dxa"/>
            </w:tcMar>
          </w:tcPr>
          <w:p w14:paraId="0F9FF0CB">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Accuracy = 52.50%</w:t>
            </w:r>
          </w:p>
        </w:tc>
      </w:tr>
      <w:tr w14:paraId="1119EF3A">
        <w:tblPrEx/>
        <w:trPr/>
        <w:tc>
          <w:tcPr>
            <w:tcW w:w="2600" w:type="dxa"/>
            <w:tcBorders/>
            <w:shd w:val="clear" w:color="auto" w:fill="f2f2f2"/>
            <w:tcMar>
              <w:top w:w="80" w:type="dxa"/>
              <w:left w:w="100" w:type="dxa"/>
              <w:bottom w:w="80" w:type="dxa"/>
              <w:right w:w="100" w:type="dxa"/>
            </w:tcMar>
          </w:tcPr>
          <w:p w14:paraId="48E671D6">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Model Saving</w:t>
            </w:r>
          </w:p>
        </w:tc>
        <w:tc>
          <w:tcPr>
            <w:tcW w:w="3600" w:type="dxa"/>
            <w:tcBorders/>
            <w:shd w:val="clear" w:color="auto" w:fill="f2f2f2"/>
            <w:tcMar>
              <w:top w:w="80" w:type="dxa"/>
              <w:left w:w="100" w:type="dxa"/>
              <w:bottom w:w="80" w:type="dxa"/>
              <w:right w:w="100" w:type="dxa"/>
            </w:tcMar>
          </w:tcPr>
          <w:p w14:paraId="4BA9F9B4">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Trained classifier, class list</w:t>
            </w:r>
          </w:p>
        </w:tc>
        <w:tc>
          <w:tcPr>
            <w:tcW w:w="3300" w:type="dxa"/>
            <w:tcBorders/>
            <w:shd w:val="clear" w:color="auto" w:fill="f2f2f2"/>
            <w:tcMar>
              <w:top w:w="80" w:type="dxa"/>
              <w:left w:w="100" w:type="dxa"/>
              <w:bottom w:w="80" w:type="dxa"/>
              <w:right w:w="100" w:type="dxa"/>
            </w:tcMar>
          </w:tcPr>
          <w:p w14:paraId="52DD5BDC">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paddy_xgboost_model.pkl</w:t>
            </w:r>
            <w:r>
              <w:rPr>
                <w:rFonts w:ascii="Times New Roman" w:cs="Times New Roman" w:hAnsi="Times New Roman"/>
                <w:color w:val="000000"/>
                <w:sz w:val="20"/>
                <w:szCs w:val="20"/>
              </w:rPr>
              <w:t xml:space="preserve">, </w:t>
            </w:r>
            <w:r>
              <w:rPr>
                <w:rFonts w:ascii="Times New Roman" w:cs="Times New Roman" w:hAnsi="Times New Roman"/>
                <w:color w:val="000000"/>
                <w:sz w:val="20"/>
                <w:szCs w:val="20"/>
              </w:rPr>
              <w:t>class_names.pkl</w:t>
            </w:r>
          </w:p>
        </w:tc>
      </w:tr>
    </w:tbl>
    <w:p w14:paraId="2AFB318E">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3.3 Alternative solution considered</w:t>
      </w:r>
    </w:p>
    <w:p w14:paraId="01A8D1E2">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A convolutional neural network (CNN) trained end-to-end on raw leaf images was considered as an alternative, since CNNs are the dominant approach in recent plant-disease literature and typically achieve higher accuracy when trained on large, diverse datasets. This alternative was not adopted as the primary solution here because the assignment specifically targets a classical feature-engineering plus gradient-boosting pipeline, and because HOG + </w:t>
      </w:r>
      <w:r>
        <w:rPr>
          <w:rFonts w:ascii="Times New Roman" w:cs="Times New Roman" w:hAnsi="Times New Roman"/>
          <w:color w:val="000000"/>
        </w:rPr>
        <w:t>XGBoost</w:t>
      </w:r>
      <w:r>
        <w:rPr>
          <w:rFonts w:ascii="Times New Roman" w:cs="Times New Roman" w:hAnsi="Times New Roman"/>
          <w:color w:val="000000"/>
        </w:rPr>
        <w:t xml:space="preserve"> requires far less computational power and training data, making it more practical to implement and evaluate within student-level computing resources. Section 6 discusses this trade-off in more detail.</w:t>
      </w:r>
    </w:p>
    <w:p w14:paraId="44886E8B">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4. Use of Modern Tools</w:t>
      </w:r>
    </w:p>
    <w:p w14:paraId="4105A11D">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The pipeline was implemented and evaluated using the following tools: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00"/>
      </w:tblGrid>
      <w:tr w14:paraId="58D271D5">
        <w:trPr>
          <w:tblHeader/>
        </w:trPr>
        <w:tc>
          <w:tcPr>
            <w:tcW w:w="3300" w:type="dxa"/>
            <w:tcBorders/>
            <w:shd w:val="clear" w:color="auto" w:fill="1f3864"/>
            <w:tcMar>
              <w:top w:w="80" w:type="dxa"/>
              <w:left w:w="100" w:type="dxa"/>
              <w:bottom w:w="80" w:type="dxa"/>
              <w:right w:w="100" w:type="dxa"/>
            </w:tcMar>
          </w:tcPr>
          <w:p w14:paraId="1002B9F1">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Tool / Library</w:t>
            </w:r>
          </w:p>
        </w:tc>
        <w:tc>
          <w:tcPr>
            <w:tcW w:w="6200" w:type="dxa"/>
            <w:tcBorders/>
            <w:shd w:val="clear" w:color="auto" w:fill="1f3864"/>
            <w:tcMar>
              <w:top w:w="80" w:type="dxa"/>
              <w:left w:w="100" w:type="dxa"/>
              <w:bottom w:w="80" w:type="dxa"/>
              <w:right w:w="100" w:type="dxa"/>
            </w:tcMar>
          </w:tcPr>
          <w:p w14:paraId="53A41550">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Purpose</w:t>
            </w:r>
          </w:p>
        </w:tc>
      </w:tr>
      <w:tr w14:paraId="1C35AAB1">
        <w:tblPrEx/>
        <w:trPr/>
        <w:tc>
          <w:tcPr>
            <w:tcW w:w="3300" w:type="dxa"/>
            <w:tcBorders/>
            <w:tcMar>
              <w:top w:w="80" w:type="dxa"/>
              <w:left w:w="100" w:type="dxa"/>
              <w:bottom w:w="80" w:type="dxa"/>
              <w:right w:w="100" w:type="dxa"/>
            </w:tcMar>
          </w:tcPr>
          <w:p w14:paraId="1C65D511">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Python 3</w:t>
            </w:r>
          </w:p>
        </w:tc>
        <w:tc>
          <w:tcPr>
            <w:tcW w:w="6200" w:type="dxa"/>
            <w:tcBorders/>
            <w:tcMar>
              <w:top w:w="80" w:type="dxa"/>
              <w:left w:w="100" w:type="dxa"/>
              <w:bottom w:w="80" w:type="dxa"/>
              <w:right w:w="100" w:type="dxa"/>
            </w:tcMar>
          </w:tcPr>
          <w:p w14:paraId="09ABBB1B">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Overall implementation language for the pipeline</w:t>
            </w:r>
          </w:p>
        </w:tc>
      </w:tr>
      <w:tr w14:paraId="473EA14B">
        <w:tblPrEx/>
        <w:trPr/>
        <w:tc>
          <w:tcPr>
            <w:tcW w:w="3300" w:type="dxa"/>
            <w:tcBorders/>
            <w:shd w:val="clear" w:color="auto" w:fill="f2f2f2"/>
            <w:tcMar>
              <w:top w:w="80" w:type="dxa"/>
              <w:left w:w="100" w:type="dxa"/>
              <w:bottom w:w="80" w:type="dxa"/>
              <w:right w:w="100" w:type="dxa"/>
            </w:tcMar>
          </w:tcPr>
          <w:p w14:paraId="51E1FE66">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OpenCV / scikit-image</w:t>
            </w:r>
          </w:p>
        </w:tc>
        <w:tc>
          <w:tcPr>
            <w:tcW w:w="6200" w:type="dxa"/>
            <w:tcBorders/>
            <w:shd w:val="clear" w:color="auto" w:fill="f2f2f2"/>
            <w:tcMar>
              <w:top w:w="80" w:type="dxa"/>
              <w:left w:w="100" w:type="dxa"/>
              <w:bottom w:w="80" w:type="dxa"/>
              <w:right w:w="100" w:type="dxa"/>
            </w:tcMar>
          </w:tcPr>
          <w:p w14:paraId="65E96E70">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Image reading, resizing, and HOG feature computation</w:t>
            </w:r>
          </w:p>
        </w:tc>
      </w:tr>
      <w:tr w14:paraId="2EB555F6">
        <w:tblPrEx/>
        <w:trPr/>
        <w:tc>
          <w:tcPr>
            <w:tcW w:w="3300" w:type="dxa"/>
            <w:tcBorders/>
            <w:tcMar>
              <w:top w:w="80" w:type="dxa"/>
              <w:left w:w="100" w:type="dxa"/>
              <w:bottom w:w="80" w:type="dxa"/>
              <w:right w:w="100" w:type="dxa"/>
            </w:tcMar>
          </w:tcPr>
          <w:p w14:paraId="48BE959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NumPy</w:t>
            </w:r>
          </w:p>
        </w:tc>
        <w:tc>
          <w:tcPr>
            <w:tcW w:w="6200" w:type="dxa"/>
            <w:tcBorders/>
            <w:tcMar>
              <w:top w:w="80" w:type="dxa"/>
              <w:left w:w="100" w:type="dxa"/>
              <w:bottom w:w="80" w:type="dxa"/>
              <w:right w:w="100" w:type="dxa"/>
            </w:tcMar>
          </w:tcPr>
          <w:p w14:paraId="527D5F14">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Numerical storage and manipulation of the 3,000 × 1,764 feature matrix</w:t>
            </w:r>
          </w:p>
        </w:tc>
      </w:tr>
      <w:tr w14:paraId="0F7C6F94">
        <w:tblPrEx/>
        <w:trPr/>
        <w:tc>
          <w:tcPr>
            <w:tcW w:w="3300" w:type="dxa"/>
            <w:tcBorders/>
            <w:shd w:val="clear" w:color="auto" w:fill="f2f2f2"/>
            <w:tcMar>
              <w:top w:w="80" w:type="dxa"/>
              <w:left w:w="100" w:type="dxa"/>
              <w:bottom w:w="80" w:type="dxa"/>
              <w:right w:w="100" w:type="dxa"/>
            </w:tcMar>
          </w:tcPr>
          <w:p w14:paraId="7DAF941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XGBoost</w:t>
            </w:r>
          </w:p>
        </w:tc>
        <w:tc>
          <w:tcPr>
            <w:tcW w:w="6200" w:type="dxa"/>
            <w:tcBorders/>
            <w:shd w:val="clear" w:color="auto" w:fill="f2f2f2"/>
            <w:tcMar>
              <w:top w:w="80" w:type="dxa"/>
              <w:left w:w="100" w:type="dxa"/>
              <w:bottom w:w="80" w:type="dxa"/>
              <w:right w:w="100" w:type="dxa"/>
            </w:tcMar>
          </w:tcPr>
          <w:p w14:paraId="53D0E20A">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Training the gradient-boosted decision-tree classifier</w:t>
            </w:r>
          </w:p>
        </w:tc>
      </w:tr>
      <w:tr w14:paraId="0B0CBA6C">
        <w:tblPrEx/>
        <w:trPr/>
        <w:tc>
          <w:tcPr>
            <w:tcW w:w="3300" w:type="dxa"/>
            <w:tcBorders/>
            <w:tcMar>
              <w:top w:w="80" w:type="dxa"/>
              <w:left w:w="100" w:type="dxa"/>
              <w:bottom w:w="80" w:type="dxa"/>
              <w:right w:w="100" w:type="dxa"/>
            </w:tcMar>
          </w:tcPr>
          <w:p w14:paraId="33D1415B">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scikit-learn</w:t>
            </w:r>
          </w:p>
        </w:tc>
        <w:tc>
          <w:tcPr>
            <w:tcW w:w="6200" w:type="dxa"/>
            <w:tcBorders/>
            <w:tcMar>
              <w:top w:w="80" w:type="dxa"/>
              <w:left w:w="100" w:type="dxa"/>
              <w:bottom w:w="80" w:type="dxa"/>
              <w:right w:w="100" w:type="dxa"/>
            </w:tcMar>
          </w:tcPr>
          <w:p w14:paraId="7DC5098F">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Train/test splitting and accuracy-score computation</w:t>
            </w:r>
          </w:p>
        </w:tc>
      </w:tr>
      <w:tr w14:paraId="36729709">
        <w:tblPrEx/>
        <w:trPr/>
        <w:tc>
          <w:tcPr>
            <w:tcW w:w="3300" w:type="dxa"/>
            <w:tcBorders/>
            <w:shd w:val="clear" w:color="auto" w:fill="f2f2f2"/>
            <w:tcMar>
              <w:top w:w="80" w:type="dxa"/>
              <w:left w:w="100" w:type="dxa"/>
              <w:bottom w:w="80" w:type="dxa"/>
              <w:right w:w="100" w:type="dxa"/>
            </w:tcMar>
          </w:tcPr>
          <w:p w14:paraId="0258844D">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pickle</w:t>
            </w:r>
          </w:p>
        </w:tc>
        <w:tc>
          <w:tcPr>
            <w:tcW w:w="6200" w:type="dxa"/>
            <w:tcBorders/>
            <w:shd w:val="clear" w:color="auto" w:fill="f2f2f2"/>
            <w:tcMar>
              <w:top w:w="80" w:type="dxa"/>
              <w:left w:w="100" w:type="dxa"/>
              <w:bottom w:w="80" w:type="dxa"/>
              <w:right w:w="100" w:type="dxa"/>
            </w:tcMar>
          </w:tcPr>
          <w:p w14:paraId="18D820E4">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Serialising the trained model (</w:t>
            </w:r>
            <w:r>
              <w:rPr>
                <w:rFonts w:ascii="Times New Roman" w:cs="Times New Roman" w:hAnsi="Times New Roman"/>
                <w:color w:val="000000"/>
                <w:sz w:val="20"/>
                <w:szCs w:val="20"/>
              </w:rPr>
              <w:t>paddy_xgboost_model.pkl</w:t>
            </w:r>
            <w:r>
              <w:rPr>
                <w:rFonts w:ascii="Times New Roman" w:cs="Times New Roman" w:hAnsi="Times New Roman"/>
                <w:color w:val="000000"/>
                <w:sz w:val="20"/>
                <w:szCs w:val="20"/>
              </w:rPr>
              <w:t>) and class labels (</w:t>
            </w:r>
            <w:r>
              <w:rPr>
                <w:rFonts w:ascii="Times New Roman" w:cs="Times New Roman" w:hAnsi="Times New Roman"/>
                <w:color w:val="000000"/>
                <w:sz w:val="20"/>
                <w:szCs w:val="20"/>
              </w:rPr>
              <w:t>class_names.pkl</w:t>
            </w:r>
            <w:r>
              <w:rPr>
                <w:rFonts w:ascii="Times New Roman" w:cs="Times New Roman" w:hAnsi="Times New Roman"/>
                <w:color w:val="000000"/>
                <w:sz w:val="20"/>
                <w:szCs w:val="20"/>
              </w:rPr>
              <w:t>)</w:t>
            </w:r>
          </w:p>
        </w:tc>
      </w:tr>
    </w:tbl>
    <w:p w14:paraId="6518F455">
      <w:pPr>
        <w:pStyle w:val="style0"/>
        <w:spacing w:after="160" w:lineRule="auto" w:line="276"/>
        <w:jc w:val="both"/>
        <w:rPr>
          <w:rFonts w:ascii="Times New Roman" w:cs="Times New Roman" w:hAnsi="Times New Roman"/>
          <w:color w:val="000000"/>
        </w:rPr>
      </w:pPr>
    </w:p>
    <w:p w14:paraId="09624656">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Evidence of tool usage takes the form of the dataset-loading execution log confirming all ten disease categories, the printed shape of the HOG feature matrix (3000, 1764), and the printed accuracy score and model-saving confirmation, summarised in Section 5.</w:t>
      </w:r>
    </w:p>
    <w:p w14:paraId="1A310279">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5. Results and Validation</w:t>
      </w:r>
    </w:p>
    <w:p w14:paraId="65389C65">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5.1 Execution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200"/>
      </w:tblGrid>
      <w:tr w14:paraId="2765F3D9">
        <w:trPr>
          <w:tblHeader/>
        </w:trPr>
        <w:tc>
          <w:tcPr>
            <w:tcW w:w="4300" w:type="dxa"/>
            <w:tcBorders/>
            <w:shd w:val="clear" w:color="auto" w:fill="1f3864"/>
            <w:tcMar>
              <w:top w:w="80" w:type="dxa"/>
              <w:left w:w="100" w:type="dxa"/>
              <w:bottom w:w="80" w:type="dxa"/>
              <w:right w:w="100" w:type="dxa"/>
            </w:tcMar>
          </w:tcPr>
          <w:p w14:paraId="47D4B09F">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Metric</w:t>
            </w:r>
          </w:p>
        </w:tc>
        <w:tc>
          <w:tcPr>
            <w:tcW w:w="5200" w:type="dxa"/>
            <w:tcBorders/>
            <w:shd w:val="clear" w:color="auto" w:fill="1f3864"/>
            <w:tcMar>
              <w:top w:w="80" w:type="dxa"/>
              <w:left w:w="100" w:type="dxa"/>
              <w:bottom w:w="80" w:type="dxa"/>
              <w:right w:w="100" w:type="dxa"/>
            </w:tcMar>
          </w:tcPr>
          <w:p w14:paraId="4588AD1C">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Value</w:t>
            </w:r>
          </w:p>
        </w:tc>
      </w:tr>
      <w:tr w14:paraId="289414CF">
        <w:tblPrEx/>
        <w:trPr/>
        <w:tc>
          <w:tcPr>
            <w:tcW w:w="4300" w:type="dxa"/>
            <w:tcBorders/>
            <w:tcMar>
              <w:top w:w="80" w:type="dxa"/>
              <w:left w:w="100" w:type="dxa"/>
              <w:bottom w:w="80" w:type="dxa"/>
              <w:right w:w="100" w:type="dxa"/>
            </w:tcMar>
          </w:tcPr>
          <w:p w14:paraId="0D489C29">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Total images loaded</w:t>
            </w:r>
          </w:p>
        </w:tc>
        <w:tc>
          <w:tcPr>
            <w:tcW w:w="5200" w:type="dxa"/>
            <w:tcBorders/>
            <w:tcMar>
              <w:top w:w="80" w:type="dxa"/>
              <w:left w:w="100" w:type="dxa"/>
              <w:bottom w:w="80" w:type="dxa"/>
              <w:right w:w="100" w:type="dxa"/>
            </w:tcMar>
          </w:tcPr>
          <w:p w14:paraId="359B799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3,000</w:t>
            </w:r>
          </w:p>
        </w:tc>
      </w:tr>
      <w:tr w14:paraId="5F74741F">
        <w:tblPrEx/>
        <w:trPr/>
        <w:tc>
          <w:tcPr>
            <w:tcW w:w="4300" w:type="dxa"/>
            <w:tcBorders/>
            <w:shd w:val="clear" w:color="auto" w:fill="f2f2f2"/>
            <w:tcMar>
              <w:top w:w="80" w:type="dxa"/>
              <w:left w:w="100" w:type="dxa"/>
              <w:bottom w:w="80" w:type="dxa"/>
              <w:right w:w="100" w:type="dxa"/>
            </w:tcMar>
          </w:tcPr>
          <w:p w14:paraId="53EF0E3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Number of classes</w:t>
            </w:r>
          </w:p>
        </w:tc>
        <w:tc>
          <w:tcPr>
            <w:tcW w:w="5200" w:type="dxa"/>
            <w:tcBorders/>
            <w:shd w:val="clear" w:color="auto" w:fill="f2f2f2"/>
            <w:tcMar>
              <w:top w:w="80" w:type="dxa"/>
              <w:left w:w="100" w:type="dxa"/>
              <w:bottom w:w="80" w:type="dxa"/>
              <w:right w:w="100" w:type="dxa"/>
            </w:tcMar>
          </w:tcPr>
          <w:p w14:paraId="1500EC43">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10</w:t>
            </w:r>
          </w:p>
        </w:tc>
      </w:tr>
      <w:tr w14:paraId="6B3A1545">
        <w:tblPrEx/>
        <w:trPr/>
        <w:tc>
          <w:tcPr>
            <w:tcW w:w="4300" w:type="dxa"/>
            <w:tcBorders/>
            <w:tcMar>
              <w:top w:w="80" w:type="dxa"/>
              <w:left w:w="100" w:type="dxa"/>
              <w:bottom w:w="80" w:type="dxa"/>
              <w:right w:w="100" w:type="dxa"/>
            </w:tcMar>
          </w:tcPr>
          <w:p w14:paraId="1197A26E">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HOG feature matrix shape</w:t>
            </w:r>
          </w:p>
        </w:tc>
        <w:tc>
          <w:tcPr>
            <w:tcW w:w="5200" w:type="dxa"/>
            <w:tcBorders/>
            <w:tcMar>
              <w:top w:w="80" w:type="dxa"/>
              <w:left w:w="100" w:type="dxa"/>
              <w:bottom w:w="80" w:type="dxa"/>
              <w:right w:w="100" w:type="dxa"/>
            </w:tcMar>
          </w:tcPr>
          <w:p w14:paraId="013F0F49">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(3000, 1764)</w:t>
            </w:r>
          </w:p>
        </w:tc>
      </w:tr>
      <w:tr w14:paraId="6E563DDE">
        <w:tblPrEx/>
        <w:trPr/>
        <w:tc>
          <w:tcPr>
            <w:tcW w:w="4300" w:type="dxa"/>
            <w:tcBorders/>
            <w:shd w:val="clear" w:color="auto" w:fill="f2f2f2"/>
            <w:tcMar>
              <w:top w:w="80" w:type="dxa"/>
              <w:left w:w="100" w:type="dxa"/>
              <w:bottom w:w="80" w:type="dxa"/>
              <w:right w:w="100" w:type="dxa"/>
            </w:tcMar>
          </w:tcPr>
          <w:p w14:paraId="2E4EE949">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Classifier</w:t>
            </w:r>
          </w:p>
        </w:tc>
        <w:tc>
          <w:tcPr>
            <w:tcW w:w="5200" w:type="dxa"/>
            <w:tcBorders/>
            <w:shd w:val="clear" w:color="auto" w:fill="f2f2f2"/>
            <w:tcMar>
              <w:top w:w="80" w:type="dxa"/>
              <w:left w:w="100" w:type="dxa"/>
              <w:bottom w:w="80" w:type="dxa"/>
              <w:right w:w="100" w:type="dxa"/>
            </w:tcMar>
          </w:tcPr>
          <w:p w14:paraId="24586638">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XGBoost</w:t>
            </w:r>
          </w:p>
        </w:tc>
      </w:tr>
      <w:tr w14:paraId="723179BC">
        <w:tblPrEx/>
        <w:trPr/>
        <w:tc>
          <w:tcPr>
            <w:tcW w:w="4300" w:type="dxa"/>
            <w:tcBorders/>
            <w:tcMar>
              <w:top w:w="80" w:type="dxa"/>
              <w:left w:w="100" w:type="dxa"/>
              <w:bottom w:w="80" w:type="dxa"/>
              <w:right w:w="100" w:type="dxa"/>
            </w:tcMar>
          </w:tcPr>
          <w:p w14:paraId="7D907172">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Overall accuracy</w:t>
            </w:r>
          </w:p>
        </w:tc>
        <w:tc>
          <w:tcPr>
            <w:tcW w:w="5200" w:type="dxa"/>
            <w:tcBorders/>
            <w:tcMar>
              <w:top w:w="80" w:type="dxa"/>
              <w:left w:w="100" w:type="dxa"/>
              <w:bottom w:w="80" w:type="dxa"/>
              <w:right w:w="100" w:type="dxa"/>
            </w:tcMar>
          </w:tcPr>
          <w:p w14:paraId="295D0FBC">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52.50%</w:t>
            </w:r>
          </w:p>
        </w:tc>
      </w:tr>
      <w:tr w14:paraId="4E0932B9">
        <w:tblPrEx/>
        <w:trPr/>
        <w:tc>
          <w:tcPr>
            <w:tcW w:w="4300" w:type="dxa"/>
            <w:tcBorders/>
            <w:shd w:val="clear" w:color="auto" w:fill="f2f2f2"/>
            <w:tcMar>
              <w:top w:w="80" w:type="dxa"/>
              <w:left w:w="100" w:type="dxa"/>
              <w:bottom w:w="80" w:type="dxa"/>
              <w:right w:w="100" w:type="dxa"/>
            </w:tcMar>
          </w:tcPr>
          <w:p w14:paraId="6F180459">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Saved model file</w:t>
            </w:r>
          </w:p>
        </w:tc>
        <w:tc>
          <w:tcPr>
            <w:tcW w:w="5200" w:type="dxa"/>
            <w:tcBorders/>
            <w:shd w:val="clear" w:color="auto" w:fill="f2f2f2"/>
            <w:tcMar>
              <w:top w:w="80" w:type="dxa"/>
              <w:left w:w="100" w:type="dxa"/>
              <w:bottom w:w="80" w:type="dxa"/>
              <w:right w:w="100" w:type="dxa"/>
            </w:tcMar>
          </w:tcPr>
          <w:p w14:paraId="076BCFA2">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paddy_xgboost_model.pkl</w:t>
            </w:r>
          </w:p>
        </w:tc>
      </w:tr>
      <w:tr w14:paraId="41774CD7">
        <w:tblPrEx/>
        <w:trPr/>
        <w:tc>
          <w:tcPr>
            <w:tcW w:w="4300" w:type="dxa"/>
            <w:tcBorders/>
            <w:tcMar>
              <w:top w:w="80" w:type="dxa"/>
              <w:left w:w="100" w:type="dxa"/>
              <w:bottom w:w="80" w:type="dxa"/>
              <w:right w:w="100" w:type="dxa"/>
            </w:tcMar>
          </w:tcPr>
          <w:p w14:paraId="51EBB7E0">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Saved class-label file</w:t>
            </w:r>
          </w:p>
        </w:tc>
        <w:tc>
          <w:tcPr>
            <w:tcW w:w="5200" w:type="dxa"/>
            <w:tcBorders/>
            <w:tcMar>
              <w:top w:w="80" w:type="dxa"/>
              <w:left w:w="100" w:type="dxa"/>
              <w:bottom w:w="80" w:type="dxa"/>
              <w:right w:w="100" w:type="dxa"/>
            </w:tcMar>
          </w:tcPr>
          <w:p w14:paraId="5AF9EFF4">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class_names.pkl</w:t>
            </w:r>
          </w:p>
        </w:tc>
      </w:tr>
    </w:tbl>
    <w:p w14:paraId="18CBAED9">
      <w:pPr>
        <w:pStyle w:val="style0"/>
        <w:spacing w:after="160" w:lineRule="auto" w:line="276"/>
        <w:jc w:val="both"/>
        <w:rPr>
          <w:rFonts w:ascii="Times New Roman" w:cs="Times New Roman" w:hAnsi="Times New Roman"/>
          <w:b/>
          <w:bCs/>
          <w:color w:val="000000"/>
        </w:rPr>
      </w:pPr>
      <w:r>
        <w:rPr>
          <w:rFonts w:ascii="Times New Roman" w:cs="Times New Roman" w:hAnsi="Times New Roman"/>
          <w:b/>
          <w:bCs/>
          <w:color w:val="000000"/>
        </w:rPr>
        <w:t>Figure 5.1.1 Dataset loading</w:t>
      </w:r>
    </w:p>
    <w:p w14:paraId="7D1067BE">
      <w:pPr>
        <w:pStyle w:val="style0"/>
        <w:spacing w:after="160" w:lineRule="auto" w:line="276"/>
        <w:jc w:val="both"/>
        <w:rPr>
          <w:rFonts w:ascii="Times New Roman" w:cs="Times New Roman" w:hAnsi="Times New Roman"/>
          <w:b/>
          <w:bCs/>
          <w:color w:val="000000"/>
        </w:rPr>
      </w:pPr>
      <w:r>
        <w:rPr>
          <w:rFonts w:ascii="Times New Roman" w:cs="Times New Roman" w:hAnsi="Times New Roman"/>
          <w:b/>
          <w:bCs/>
          <w:noProof/>
          <w:color w:val="000000"/>
        </w:rPr>
        <w:drawing>
          <wp:inline distL="0" distT="0" distB="0" distR="0">
            <wp:extent cx="6188710" cy="3481070"/>
            <wp:effectExtent l="0" t="0" r="2540" b="508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6188710" cy="3481070"/>
                    </a:xfrm>
                    <a:prstGeom prst="rect"/>
                  </pic:spPr>
                </pic:pic>
              </a:graphicData>
            </a:graphic>
          </wp:inline>
        </w:drawing>
      </w:r>
    </w:p>
    <w:p w14:paraId="40B52471">
      <w:pPr>
        <w:pStyle w:val="style0"/>
        <w:spacing w:after="160" w:lineRule="auto" w:line="276"/>
        <w:jc w:val="both"/>
        <w:rPr>
          <w:rFonts w:ascii="Times New Roman" w:cs="Times New Roman" w:hAnsi="Times New Roman"/>
          <w:color w:val="000000"/>
        </w:rPr>
      </w:pPr>
    </w:p>
    <w:p w14:paraId="794A0958">
      <w:pPr>
        <w:pStyle w:val="style0"/>
        <w:spacing w:after="160" w:lineRule="auto" w:line="276"/>
        <w:jc w:val="both"/>
        <w:rPr>
          <w:rFonts w:ascii="Times New Roman" w:cs="Times New Roman" w:hAnsi="Times New Roman"/>
          <w:b/>
          <w:bCs/>
          <w:color w:val="000000"/>
        </w:rPr>
      </w:pPr>
      <w:r>
        <w:rPr>
          <w:rFonts w:ascii="Times New Roman" w:cs="Times New Roman" w:hAnsi="Times New Roman"/>
          <w:b/>
          <w:bCs/>
          <w:color w:val="000000"/>
        </w:rPr>
        <w:t>Figure 5.1.2 Result</w:t>
      </w:r>
    </w:p>
    <w:p w14:paraId="02C88DA3">
      <w:pPr>
        <w:pStyle w:val="style0"/>
        <w:spacing w:after="160" w:lineRule="auto" w:line="276"/>
        <w:jc w:val="both"/>
        <w:rPr>
          <w:rFonts w:ascii="Times New Roman" w:cs="Times New Roman" w:hAnsi="Times New Roman"/>
          <w:b/>
          <w:bCs/>
          <w:color w:val="000000"/>
        </w:rPr>
      </w:pPr>
      <w:r>
        <w:rPr>
          <w:rFonts w:ascii="Times New Roman" w:cs="Times New Roman" w:hAnsi="Times New Roman"/>
          <w:noProof/>
          <w:color w:val="000000"/>
        </w:rPr>
        <w:drawing>
          <wp:inline distL="0" distT="0" distB="0" distR="0">
            <wp:extent cx="6188710" cy="3481070"/>
            <wp:effectExtent l="0" t="0" r="2540" b="508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6188710" cy="3481070"/>
                    </a:xfrm>
                    <a:prstGeom prst="rect"/>
                  </pic:spPr>
                </pic:pic>
              </a:graphicData>
            </a:graphic>
          </wp:inline>
        </w:drawing>
      </w:r>
    </w:p>
    <w:p w14:paraId="7472EB13">
      <w:pPr>
        <w:pStyle w:val="style0"/>
        <w:spacing w:after="160" w:lineRule="auto" w:line="276"/>
        <w:jc w:val="both"/>
        <w:rPr>
          <w:rFonts w:ascii="Times New Roman" w:cs="Times New Roman" w:hAnsi="Times New Roman"/>
          <w:b/>
          <w:bCs/>
          <w:color w:val="000000"/>
        </w:rPr>
      </w:pPr>
    </w:p>
    <w:p w14:paraId="58FF6D08">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5.2 Interpretation</w:t>
      </w:r>
    </w:p>
    <w:p w14:paraId="5A06C091">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The execution confirms that the full pipeline runs end to end: all 3,000 images across the ten classes were loaded and correctly labelled by folder, HOG produced the expected 1,764-dimensional descriptor per image, and the </w:t>
      </w:r>
      <w:r>
        <w:rPr>
          <w:rFonts w:ascii="Times New Roman" w:cs="Times New Roman" w:hAnsi="Times New Roman"/>
          <w:color w:val="000000"/>
        </w:rPr>
        <w:t>XGBoost</w:t>
      </w:r>
      <w:r>
        <w:rPr>
          <w:rFonts w:ascii="Times New Roman" w:cs="Times New Roman" w:hAnsi="Times New Roman"/>
          <w:color w:val="000000"/>
        </w:rPr>
        <w:t xml:space="preserve"> classifier trained successfully and reached 52.50% test accuracy. Compared with the ten-class random-guess baseline of 10%, the model has clearly learned discriminative structure from the HOG features. </w:t>
      </w:r>
      <w:r>
        <w:rPr>
          <w:rFonts w:ascii="Times New Roman" w:cs="Times New Roman" w:hAnsi="Times New Roman"/>
          <w:color w:val="000000"/>
        </w:rPr>
        <w:t>At the same time, 52.50% indicates that the model confuses a meaningful fraction of the disease classes, which is expected given that several paddy diseases (for example Bacterial Leaf Blight and Bacterial Leaf Streak, or Blast and Brown Spot) produce visually similar lesion shapes and edge patterns t</w:t>
      </w:r>
      <w:r>
        <w:rPr>
          <w:rFonts w:ascii="Times New Roman" w:cs="Times New Roman" w:hAnsi="Times New Roman"/>
          <w:color w:val="000000"/>
        </w:rPr>
        <w:t>hat a purely gradient-orientation-based descriptor may not fully separate.</w:t>
      </w:r>
    </w:p>
    <w:p w14:paraId="501673C2">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Validation against the requirements set out in Section 1.5: the computational-feasibility constraint is satisfied, since the entire pipeline runs on CPU-only student hardware; the reusability constraint is satisfied, since the trained model and class labels are saved for later inference; and the accuracy constraint is only partially satisfied — the result is usable as an experimental proof of concept rather than as a deployment-ready diagnostic tool.</w:t>
      </w:r>
    </w:p>
    <w:p w14:paraId="0863C7B3">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6. Analysis and Engineering Decision</w:t>
      </w:r>
    </w:p>
    <w:p w14:paraId="76F0D8EB">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6.1 Comparison of alternatives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400"/>
      </w:tblGrid>
      <w:tr w14:paraId="2653F370">
        <w:trPr>
          <w:tblHeader/>
        </w:trPr>
        <w:tc>
          <w:tcPr>
            <w:tcW w:w="2600" w:type="dxa"/>
            <w:tcBorders/>
            <w:shd w:val="clear" w:color="auto" w:fill="1f3864"/>
            <w:tcMar>
              <w:top w:w="80" w:type="dxa"/>
              <w:left w:w="100" w:type="dxa"/>
              <w:bottom w:w="80" w:type="dxa"/>
              <w:right w:w="100" w:type="dxa"/>
            </w:tcMar>
          </w:tcPr>
          <w:p w14:paraId="10BEA6BC">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Criterion</w:t>
            </w:r>
          </w:p>
        </w:tc>
        <w:tc>
          <w:tcPr>
            <w:tcW w:w="3500" w:type="dxa"/>
            <w:tcBorders/>
            <w:shd w:val="clear" w:color="auto" w:fill="1f3864"/>
            <w:tcMar>
              <w:top w:w="80" w:type="dxa"/>
              <w:left w:w="100" w:type="dxa"/>
              <w:bottom w:w="80" w:type="dxa"/>
              <w:right w:w="100" w:type="dxa"/>
            </w:tcMar>
          </w:tcPr>
          <w:p w14:paraId="7D0F3B68">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 xml:space="preserve">HOG + </w:t>
            </w:r>
            <w:r>
              <w:rPr>
                <w:rFonts w:ascii="Times New Roman" w:cs="Times New Roman" w:hAnsi="Times New Roman"/>
                <w:b/>
                <w:bCs/>
                <w:color w:val="000000"/>
                <w:sz w:val="20"/>
                <w:szCs w:val="20"/>
              </w:rPr>
              <w:t>XGBoost</w:t>
            </w:r>
            <w:r>
              <w:rPr>
                <w:rFonts w:ascii="Times New Roman" w:cs="Times New Roman" w:hAnsi="Times New Roman"/>
                <w:b/>
                <w:bCs/>
                <w:color w:val="000000"/>
                <w:sz w:val="20"/>
                <w:szCs w:val="20"/>
              </w:rPr>
              <w:t xml:space="preserve"> (this study)</w:t>
            </w:r>
          </w:p>
        </w:tc>
        <w:tc>
          <w:tcPr>
            <w:tcW w:w="3400" w:type="dxa"/>
            <w:tcBorders/>
            <w:shd w:val="clear" w:color="auto" w:fill="1f3864"/>
            <w:tcMar>
              <w:top w:w="80" w:type="dxa"/>
              <w:left w:w="100" w:type="dxa"/>
              <w:bottom w:w="80" w:type="dxa"/>
              <w:right w:w="100" w:type="dxa"/>
            </w:tcMar>
          </w:tcPr>
          <w:p w14:paraId="4C66FF10">
            <w:pPr>
              <w:pStyle w:val="style0"/>
              <w:spacing w:lineRule="auto" w:line="276"/>
              <w:jc w:val="both"/>
              <w:rPr>
                <w:rFonts w:ascii="Times New Roman" w:cs="Times New Roman" w:hAnsi="Times New Roman"/>
                <w:color w:val="000000"/>
              </w:rPr>
            </w:pPr>
            <w:r>
              <w:rPr>
                <w:rFonts w:ascii="Times New Roman" w:cs="Times New Roman" w:hAnsi="Times New Roman"/>
                <w:b/>
                <w:bCs/>
                <w:color w:val="000000"/>
                <w:sz w:val="20"/>
                <w:szCs w:val="20"/>
              </w:rPr>
              <w:t>CNN (Deep Learning)</w:t>
            </w:r>
          </w:p>
        </w:tc>
      </w:tr>
      <w:tr w14:paraId="4820DC90">
        <w:tblPrEx/>
        <w:trPr/>
        <w:tc>
          <w:tcPr>
            <w:tcW w:w="2600" w:type="dxa"/>
            <w:tcBorders/>
            <w:tcMar>
              <w:top w:w="80" w:type="dxa"/>
              <w:left w:w="100" w:type="dxa"/>
              <w:bottom w:w="80" w:type="dxa"/>
              <w:right w:w="100" w:type="dxa"/>
            </w:tcMar>
          </w:tcPr>
          <w:p w14:paraId="7DAED55E">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Typical accuracy</w:t>
            </w:r>
          </w:p>
        </w:tc>
        <w:tc>
          <w:tcPr>
            <w:tcW w:w="3500" w:type="dxa"/>
            <w:tcBorders/>
            <w:tcMar>
              <w:top w:w="80" w:type="dxa"/>
              <w:left w:w="100" w:type="dxa"/>
              <w:bottom w:w="80" w:type="dxa"/>
              <w:right w:w="100" w:type="dxa"/>
            </w:tcMar>
          </w:tcPr>
          <w:p w14:paraId="373C7481">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~50–60% (this study: 52.50%)</w:t>
            </w:r>
          </w:p>
        </w:tc>
        <w:tc>
          <w:tcPr>
            <w:tcW w:w="3400" w:type="dxa"/>
            <w:tcBorders/>
            <w:tcMar>
              <w:top w:w="80" w:type="dxa"/>
              <w:left w:w="100" w:type="dxa"/>
              <w:bottom w:w="80" w:type="dxa"/>
              <w:right w:w="100" w:type="dxa"/>
            </w:tcMar>
          </w:tcPr>
          <w:p w14:paraId="254E4E5C">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90%+ (literature, large labelled data)</w:t>
            </w:r>
          </w:p>
        </w:tc>
      </w:tr>
      <w:tr w14:paraId="6EC78D12">
        <w:tblPrEx/>
        <w:trPr/>
        <w:tc>
          <w:tcPr>
            <w:tcW w:w="2600" w:type="dxa"/>
            <w:tcBorders/>
            <w:shd w:val="clear" w:color="auto" w:fill="f2f2f2"/>
            <w:tcMar>
              <w:top w:w="80" w:type="dxa"/>
              <w:left w:w="100" w:type="dxa"/>
              <w:bottom w:w="80" w:type="dxa"/>
              <w:right w:w="100" w:type="dxa"/>
            </w:tcMar>
          </w:tcPr>
          <w:p w14:paraId="2FBA628B">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Training data requirement</w:t>
            </w:r>
          </w:p>
        </w:tc>
        <w:tc>
          <w:tcPr>
            <w:tcW w:w="3500" w:type="dxa"/>
            <w:tcBorders/>
            <w:shd w:val="clear" w:color="auto" w:fill="f2f2f2"/>
            <w:tcMar>
              <w:top w:w="80" w:type="dxa"/>
              <w:left w:w="100" w:type="dxa"/>
              <w:bottom w:w="80" w:type="dxa"/>
              <w:right w:w="100" w:type="dxa"/>
            </w:tcMar>
          </w:tcPr>
          <w:p w14:paraId="1C634D5C">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Moderate (3,000 images sufficed to train)</w:t>
            </w:r>
          </w:p>
        </w:tc>
        <w:tc>
          <w:tcPr>
            <w:tcW w:w="3400" w:type="dxa"/>
            <w:tcBorders/>
            <w:shd w:val="clear" w:color="auto" w:fill="f2f2f2"/>
            <w:tcMar>
              <w:top w:w="80" w:type="dxa"/>
              <w:left w:w="100" w:type="dxa"/>
              <w:bottom w:w="80" w:type="dxa"/>
              <w:right w:w="100" w:type="dxa"/>
            </w:tcMar>
          </w:tcPr>
          <w:p w14:paraId="289B7440">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Large — thousands of images per class</w:t>
            </w:r>
          </w:p>
        </w:tc>
      </w:tr>
      <w:tr w14:paraId="5DB08CC1">
        <w:tblPrEx/>
        <w:trPr/>
        <w:tc>
          <w:tcPr>
            <w:tcW w:w="2600" w:type="dxa"/>
            <w:tcBorders/>
            <w:tcMar>
              <w:top w:w="80" w:type="dxa"/>
              <w:left w:w="100" w:type="dxa"/>
              <w:bottom w:w="80" w:type="dxa"/>
              <w:right w:w="100" w:type="dxa"/>
            </w:tcMar>
          </w:tcPr>
          <w:p w14:paraId="787BD2DD">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Compute requirement</w:t>
            </w:r>
          </w:p>
        </w:tc>
        <w:tc>
          <w:tcPr>
            <w:tcW w:w="3500" w:type="dxa"/>
            <w:tcBorders/>
            <w:tcMar>
              <w:top w:w="80" w:type="dxa"/>
              <w:left w:w="100" w:type="dxa"/>
              <w:bottom w:w="80" w:type="dxa"/>
              <w:right w:w="100" w:type="dxa"/>
            </w:tcMar>
          </w:tcPr>
          <w:p w14:paraId="415554B5">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CPU-only, fast to train</w:t>
            </w:r>
          </w:p>
        </w:tc>
        <w:tc>
          <w:tcPr>
            <w:tcW w:w="3400" w:type="dxa"/>
            <w:tcBorders/>
            <w:tcMar>
              <w:top w:w="80" w:type="dxa"/>
              <w:left w:w="100" w:type="dxa"/>
              <w:bottom w:w="80" w:type="dxa"/>
              <w:right w:w="100" w:type="dxa"/>
            </w:tcMar>
          </w:tcPr>
          <w:p w14:paraId="019F774E">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GPU preferred for training</w:t>
            </w:r>
          </w:p>
        </w:tc>
      </w:tr>
      <w:tr w14:paraId="1A162FDB">
        <w:tblPrEx/>
        <w:trPr/>
        <w:tc>
          <w:tcPr>
            <w:tcW w:w="2600" w:type="dxa"/>
            <w:tcBorders/>
            <w:shd w:val="clear" w:color="auto" w:fill="f2f2f2"/>
            <w:tcMar>
              <w:top w:w="80" w:type="dxa"/>
              <w:left w:w="100" w:type="dxa"/>
              <w:bottom w:w="80" w:type="dxa"/>
              <w:right w:w="100" w:type="dxa"/>
            </w:tcMar>
          </w:tcPr>
          <w:p w14:paraId="5914A267">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Feature representation</w:t>
            </w:r>
          </w:p>
        </w:tc>
        <w:tc>
          <w:tcPr>
            <w:tcW w:w="3500" w:type="dxa"/>
            <w:tcBorders/>
            <w:shd w:val="clear" w:color="auto" w:fill="f2f2f2"/>
            <w:tcMar>
              <w:top w:w="80" w:type="dxa"/>
              <w:left w:w="100" w:type="dxa"/>
              <w:bottom w:w="80" w:type="dxa"/>
              <w:right w:w="100" w:type="dxa"/>
            </w:tcMar>
          </w:tcPr>
          <w:p w14:paraId="07A72A01">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Hand-engineered (edge/gradient shape)</w:t>
            </w:r>
          </w:p>
        </w:tc>
        <w:tc>
          <w:tcPr>
            <w:tcW w:w="3400" w:type="dxa"/>
            <w:tcBorders/>
            <w:shd w:val="clear" w:color="auto" w:fill="f2f2f2"/>
            <w:tcMar>
              <w:top w:w="80" w:type="dxa"/>
              <w:left w:w="100" w:type="dxa"/>
              <w:bottom w:w="80" w:type="dxa"/>
              <w:right w:w="100" w:type="dxa"/>
            </w:tcMar>
          </w:tcPr>
          <w:p w14:paraId="33032103">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Learned automatically from pixels</w:t>
            </w:r>
          </w:p>
        </w:tc>
      </w:tr>
      <w:tr w14:paraId="6660A797">
        <w:tblPrEx/>
        <w:trPr/>
        <w:tc>
          <w:tcPr>
            <w:tcW w:w="2600" w:type="dxa"/>
            <w:tcBorders/>
            <w:tcMar>
              <w:top w:w="80" w:type="dxa"/>
              <w:left w:w="100" w:type="dxa"/>
              <w:bottom w:w="80" w:type="dxa"/>
              <w:right w:w="100" w:type="dxa"/>
            </w:tcMar>
          </w:tcPr>
          <w:p w14:paraId="6036AE23">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Sensitivity to lighting/background</w:t>
            </w:r>
          </w:p>
        </w:tc>
        <w:tc>
          <w:tcPr>
            <w:tcW w:w="3500" w:type="dxa"/>
            <w:tcBorders/>
            <w:tcMar>
              <w:top w:w="80" w:type="dxa"/>
              <w:left w:w="100" w:type="dxa"/>
              <w:bottom w:w="80" w:type="dxa"/>
              <w:right w:w="100" w:type="dxa"/>
            </w:tcMar>
          </w:tcPr>
          <w:p w14:paraId="2CC35CCB">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Moderate — gradients partly robust, but not colour-aware</w:t>
            </w:r>
          </w:p>
        </w:tc>
        <w:tc>
          <w:tcPr>
            <w:tcW w:w="3400" w:type="dxa"/>
            <w:tcBorders/>
            <w:tcMar>
              <w:top w:w="80" w:type="dxa"/>
              <w:left w:w="100" w:type="dxa"/>
              <w:bottom w:w="80" w:type="dxa"/>
              <w:right w:w="100" w:type="dxa"/>
            </w:tcMar>
          </w:tcPr>
          <w:p w14:paraId="5DCB96AF">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Lower, if trained on diverse data</w:t>
            </w:r>
          </w:p>
        </w:tc>
      </w:tr>
      <w:tr w14:paraId="0BE5B177">
        <w:tblPrEx/>
        <w:trPr/>
        <w:tc>
          <w:tcPr>
            <w:tcW w:w="2600" w:type="dxa"/>
            <w:tcBorders/>
            <w:shd w:val="clear" w:color="auto" w:fill="f2f2f2"/>
            <w:tcMar>
              <w:top w:w="80" w:type="dxa"/>
              <w:left w:w="100" w:type="dxa"/>
              <w:bottom w:w="80" w:type="dxa"/>
              <w:right w:w="100" w:type="dxa"/>
            </w:tcMar>
          </w:tcPr>
          <w:p w14:paraId="250A3AE7">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Interpretability</w:t>
            </w:r>
          </w:p>
        </w:tc>
        <w:tc>
          <w:tcPr>
            <w:tcW w:w="3500" w:type="dxa"/>
            <w:tcBorders/>
            <w:shd w:val="clear" w:color="auto" w:fill="f2f2f2"/>
            <w:tcMar>
              <w:top w:w="80" w:type="dxa"/>
              <w:left w:w="100" w:type="dxa"/>
              <w:bottom w:w="80" w:type="dxa"/>
              <w:right w:w="100" w:type="dxa"/>
            </w:tcMar>
          </w:tcPr>
          <w:p w14:paraId="14826ABD">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Feature meaning is known (edge orientation)</w:t>
            </w:r>
          </w:p>
        </w:tc>
        <w:tc>
          <w:tcPr>
            <w:tcW w:w="3400" w:type="dxa"/>
            <w:tcBorders/>
            <w:shd w:val="clear" w:color="auto" w:fill="f2f2f2"/>
            <w:tcMar>
              <w:top w:w="80" w:type="dxa"/>
              <w:left w:w="100" w:type="dxa"/>
              <w:bottom w:w="80" w:type="dxa"/>
              <w:right w:w="100" w:type="dxa"/>
            </w:tcMar>
          </w:tcPr>
          <w:p w14:paraId="6A459EB0">
            <w:pPr>
              <w:pStyle w:val="style0"/>
              <w:spacing w:lineRule="auto" w:line="276"/>
              <w:jc w:val="both"/>
              <w:rPr>
                <w:rFonts w:ascii="Times New Roman" w:cs="Times New Roman" w:hAnsi="Times New Roman"/>
                <w:color w:val="000000"/>
              </w:rPr>
            </w:pPr>
            <w:r>
              <w:rPr>
                <w:rFonts w:ascii="Times New Roman" w:cs="Times New Roman" w:hAnsi="Times New Roman"/>
                <w:color w:val="000000"/>
                <w:sz w:val="20"/>
                <w:szCs w:val="20"/>
              </w:rPr>
              <w:t>Largely a black box</w:t>
            </w:r>
          </w:p>
        </w:tc>
      </w:tr>
    </w:tbl>
    <w:p w14:paraId="05D5C873">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6.2 Advantages, limitations and trade-offs</w:t>
      </w:r>
    </w:p>
    <w:p w14:paraId="75778950">
      <w:pPr>
        <w:pStyle w:val="style0"/>
        <w:spacing w:after="160" w:lineRule="auto" w:line="276"/>
        <w:jc w:val="both"/>
        <w:rPr>
          <w:rFonts w:ascii="Times New Roman" w:cs="Times New Roman" w:hAnsi="Times New Roman"/>
          <w:color w:val="000000"/>
        </w:rPr>
      </w:pPr>
      <w:r>
        <w:rPr>
          <w:rFonts w:ascii="Times New Roman" w:cs="Times New Roman" w:hAnsi="Times New Roman"/>
          <w:b/>
          <w:bCs/>
          <w:color w:val="000000"/>
        </w:rPr>
        <w:t>Advantages:</w:t>
      </w:r>
    </w:p>
    <w:p w14:paraId="05DBC258">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The pipeline is lightweight and trains quickly on ordinary hardware, satisfying the computational-feasibility constraint.</w:t>
      </w:r>
    </w:p>
    <w:p w14:paraId="5ABB5C3F">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HOG features are compact (1,764 dimensions) and interpretable in terms of edge structure, making the descriptor easy to reason about.</w:t>
      </w:r>
    </w:p>
    <w:p w14:paraId="60CEB227">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The trained model and labels are saved for reuse, avoiding the need to repeat feature extraction and training for every new prediction.</w:t>
      </w:r>
    </w:p>
    <w:p w14:paraId="74957721">
      <w:pPr>
        <w:pStyle w:val="style0"/>
        <w:spacing w:after="160" w:lineRule="auto" w:line="276"/>
        <w:jc w:val="both"/>
        <w:rPr>
          <w:rFonts w:ascii="Times New Roman" w:cs="Times New Roman" w:hAnsi="Times New Roman"/>
          <w:color w:val="000000"/>
        </w:rPr>
      </w:pPr>
      <w:r>
        <w:rPr>
          <w:rFonts w:ascii="Times New Roman" w:cs="Times New Roman" w:hAnsi="Times New Roman"/>
          <w:b/>
          <w:bCs/>
          <w:color w:val="000000"/>
        </w:rPr>
        <w:t>Limitations:</w:t>
      </w:r>
    </w:p>
    <w:p w14:paraId="25081B96">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52.50% accuracy leaves substantial room for misclassification, particularly among visually similar disease classes.</w:t>
      </w:r>
    </w:p>
    <w:p w14:paraId="431700DD">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HOG captures edge/shape information but does not directly encode colour or fine-grained texture, both of which are diagnostically important for several paddy diseases.</w:t>
      </w:r>
    </w:p>
    <w:p w14:paraId="6489010A">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Performance depends heavily on the size, balance, and field-representativeness of the 3,000-image dataset; any class imbalance or narrow imaging conditions will limit generalisation.</w:t>
      </w:r>
    </w:p>
    <w:p w14:paraId="76F9C5E7">
      <w:pPr>
        <w:pStyle w:val="style0"/>
        <w:spacing w:after="160" w:lineRule="auto" w:line="276"/>
        <w:jc w:val="both"/>
        <w:rPr>
          <w:rFonts w:ascii="Times New Roman" w:cs="Times New Roman" w:hAnsi="Times New Roman"/>
          <w:color w:val="000000"/>
        </w:rPr>
      </w:pPr>
      <w:r>
        <w:rPr>
          <w:rFonts w:ascii="Times New Roman" w:cs="Times New Roman" w:hAnsi="Times New Roman"/>
          <w:b/>
          <w:bCs/>
          <w:color w:val="000000"/>
        </w:rPr>
        <w:t>Trade-off chosen:</w:t>
      </w:r>
    </w:p>
    <w:p w14:paraId="672A36FC">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This study accepts a moderate ~52.50% accuracy in exchange for a fast, low-compute, easily reproducible pipeline suitable for a student-level implementation and for later extension, rather than pursuing the higher accuracy of a data- and compute-hungry deep-learning model at this stage.</w:t>
      </w:r>
    </w:p>
    <w:p w14:paraId="598C5C5A">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6.3 Justification of final design choice</w:t>
      </w:r>
    </w:p>
    <w:p w14:paraId="78BFDDBB">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HOG + </w:t>
      </w:r>
      <w:r>
        <w:rPr>
          <w:rFonts w:ascii="Times New Roman" w:cs="Times New Roman" w:hAnsi="Times New Roman"/>
          <w:color w:val="000000"/>
        </w:rPr>
        <w:t>XGBoost</w:t>
      </w:r>
      <w:r>
        <w:rPr>
          <w:rFonts w:ascii="Times New Roman" w:cs="Times New Roman" w:hAnsi="Times New Roman"/>
          <w:color w:val="000000"/>
        </w:rPr>
        <w:t xml:space="preserve"> was retained as the final design because it directly satisfies the assignment's computational and reproducibility constraints while still producing a working, evaluable classifier across all ten paddy conditions. HOG gives a compact, well-understood representation of leaf edge and lesion shape, while </w:t>
      </w:r>
      <w:r>
        <w:rPr>
          <w:rFonts w:ascii="Times New Roman" w:cs="Times New Roman" w:hAnsi="Times New Roman"/>
          <w:color w:val="000000"/>
        </w:rPr>
        <w:t>XGBoost's</w:t>
      </w:r>
      <w:r>
        <w:rPr>
          <w:rFonts w:ascii="Times New Roman" w:cs="Times New Roman" w:hAnsi="Times New Roman"/>
          <w:color w:val="000000"/>
        </w:rPr>
        <w:t xml:space="preserve"> boosted-tree ensemble is well suited to learning non-linear decision boundaries from a moderate-sized, structured feature matrix without requiring GPU acceleration. The 52.50% accuracy is treated as a baseline result that motivates the specific improvements discussed in Sections 6.2 and the possible-improvements list, rather than as a final, deployment-ready outcome.</w:t>
      </w:r>
    </w:p>
    <w:p w14:paraId="73AA447E">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7. Broader Considerations</w:t>
      </w:r>
    </w:p>
    <w:p w14:paraId="661295D3">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Sustainability &amp; Environment: earlier and more accurate disease identification can help farmers apply fungicides, pesticides, or other treatments only when and where needed, reducing unnecessary chemical use and its downstream impact on soil and water — directly supporting SDG 12 (Responsible Consumption and Production) and SDG 13 (Climate Action).</w:t>
      </w:r>
    </w:p>
    <w:p w14:paraId="720AA9D3">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Society &amp; Accessibility: a lightweight, CPU-only classification tool can be made available to farmers and extension workers in low-resource rural regions without requiring expensive GPU hardware or constant connectivity, supporting SDG 2 (Zero Hunger).</w:t>
      </w:r>
    </w:p>
    <w:p w14:paraId="1E21EC41">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Economics: even a moderately accurate early-warning tool can help reduce crop loss and unnecessary treatment costs, though the current 52.50% accuracy means economic benefit must be weighed against the risk of incorrect predictions.</w:t>
      </w:r>
    </w:p>
    <w:p w14:paraId="167142F9">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Safety: because a wrong prediction could lead a farmer to apply an ineffective or inappropriate treatment, the system should be positioned as a decision-support aid, with predictions checked against visible symptoms or expert advice before acting.</w:t>
      </w:r>
    </w:p>
    <w:p w14:paraId="1222F744">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Professional responsibility &amp; Ethics: any deployed version of this tool should transparently disclose its measured accuracy (52.50%) and limitations, and should never be presented as a substitute for qualified agricultural or plant-pathology expertise.</w:t>
      </w:r>
    </w:p>
    <w:p w14:paraId="6274B701">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8. Conclusion</w:t>
      </w:r>
    </w:p>
    <w:p w14:paraId="329D9042">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This case study implemented and evaluated a machine-learning pipeline for paddy leaf disease identification, using the Histogram of Oriented Gradients (HOG) to convert leaf images into 1,764-dimensional numerical descriptors and an </w:t>
      </w:r>
      <w:r>
        <w:rPr>
          <w:rFonts w:ascii="Times New Roman" w:cs="Times New Roman" w:hAnsi="Times New Roman"/>
          <w:color w:val="000000"/>
        </w:rPr>
        <w:t>XGBoost</w:t>
      </w:r>
      <w:r>
        <w:rPr>
          <w:rFonts w:ascii="Times New Roman" w:cs="Times New Roman" w:hAnsi="Times New Roman"/>
          <w:color w:val="000000"/>
        </w:rPr>
        <w:t xml:space="preserve"> classifier to assign each image to one of ten conditions (nine diseases/pest-damage categories plus a normal/healthy class). Across a dataset of 3,000 labelled leaf images, the trained classifier achieved an overall accuracy of 52.50%, and the resulting model and class-label mapping were saved for future reuse. The pipeline satisfies the assignment's core constraints of low computational cost and reusability, but its moderate accuracy shows that HOG's edge/shape-based descriptor alone does not fully</w:t>
      </w:r>
      <w:r>
        <w:rPr>
          <w:rFonts w:ascii="Times New Roman" w:cs="Times New Roman" w:hAnsi="Times New Roman"/>
          <w:color w:val="000000"/>
        </w:rPr>
        <w:t xml:space="preserve"> separate several visually similar paddy diseases. The most direct path to improvement, discussed in Section 6 and Section L, is to enrich the feature representation (colour and texture descriptors), tune the </w:t>
      </w:r>
      <w:r>
        <w:rPr>
          <w:rFonts w:ascii="Times New Roman" w:cs="Times New Roman" w:hAnsi="Times New Roman"/>
          <w:color w:val="000000"/>
        </w:rPr>
        <w:t>XGBoost</w:t>
      </w:r>
      <w:r>
        <w:rPr>
          <w:rFonts w:ascii="Times New Roman" w:cs="Times New Roman" w:hAnsi="Times New Roman"/>
          <w:color w:val="000000"/>
        </w:rPr>
        <w:t xml:space="preserve"> hyperparameters, address class imbalance, and evaluate the system with additional metrics such as precision, recall, F1-score, and a confusion matrix rather than accuracy alone.</w:t>
      </w:r>
    </w:p>
    <w:p w14:paraId="61B40738">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9. Student Reflection</w:t>
      </w:r>
    </w:p>
    <w:p w14:paraId="5285E7FA">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9.1 What I learned beyond the classroom</w:t>
      </w:r>
    </w:p>
    <w:p w14:paraId="76214C97">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Building this pipeline made the practical difference between hand-engineered features and end-to-end learned features very concrete — I had studied gradient-based descriptors and ensemble learning as separate topics, but implementing HOG feature extraction followed by </w:t>
      </w:r>
      <w:r>
        <w:rPr>
          <w:rFonts w:ascii="Times New Roman" w:cs="Times New Roman" w:hAnsi="Times New Roman"/>
          <w:color w:val="000000"/>
        </w:rPr>
        <w:t>XGBoost</w:t>
      </w:r>
      <w:r>
        <w:rPr>
          <w:rFonts w:ascii="Times New Roman" w:cs="Times New Roman" w:hAnsi="Times New Roman"/>
          <w:color w:val="000000"/>
        </w:rPr>
        <w:t xml:space="preserve"> training showed me how much the choice of feature representation constrains what a classifier can ultimately learn, regardless of how strong the classifier itself is. Working through the accuracy result of 52.50% also gave me a realistic sense of why a single accuracy number is not enough to judge a multi-class classifier, and why the visual similarity between certain disease classes is a genuine, non-trivial obstacle rather than just a tuning problem.</w:t>
      </w:r>
    </w:p>
    <w:p w14:paraId="768436D6">
      <w:pPr>
        <w:pStyle w:val="style2"/>
        <w:spacing w:before="260" w:after="140" w:lineRule="auto" w:line="276"/>
        <w:jc w:val="both"/>
        <w:rPr>
          <w:rFonts w:ascii="Times New Roman" w:cs="Times New Roman" w:hAnsi="Times New Roman"/>
          <w:color w:val="000000"/>
        </w:rPr>
      </w:pPr>
      <w:r>
        <w:rPr>
          <w:rFonts w:ascii="Times New Roman" w:cs="Times New Roman" w:hAnsi="Times New Roman"/>
          <w:b/>
          <w:bCs/>
          <w:color w:val="000000"/>
          <w:sz w:val="24"/>
          <w:szCs w:val="24"/>
        </w:rPr>
        <w:t>9.2 What I would improve with more time/resources</w:t>
      </w:r>
    </w:p>
    <w:p w14:paraId="4938A4DB">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Add complementary colour and texture descriptors alongside HOG to help distinguish diseases that share similar edge/shape patterns.</w:t>
      </w:r>
    </w:p>
    <w:p w14:paraId="1D193BCE">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 xml:space="preserve">Systematically tune </w:t>
      </w:r>
      <w:r>
        <w:rPr>
          <w:rFonts w:ascii="Times New Roman" w:cs="Times New Roman" w:hAnsi="Times New Roman"/>
          <w:color w:val="000000"/>
        </w:rPr>
        <w:t>XGBoost</w:t>
      </w:r>
      <w:r>
        <w:rPr>
          <w:rFonts w:ascii="Times New Roman" w:cs="Times New Roman" w:hAnsi="Times New Roman"/>
          <w:color w:val="000000"/>
        </w:rPr>
        <w:t xml:space="preserve"> hyperparameters (tree depth, learning rate, number of estimators, regularisation terms) rather than using default settings.</w:t>
      </w:r>
    </w:p>
    <w:p w14:paraId="6C1803EF">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Apply class-balancing techniques if some of the ten categories are under-represented in the 3,000-image dataset.</w:t>
      </w:r>
    </w:p>
    <w:p w14:paraId="705BC735">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Report precision, recall, and F1-score per class, and generate a confusion matrix to identify exactly which disease pairs are most often confused.</w:t>
      </w:r>
    </w:p>
    <w:p w14:paraId="0BF61EF0">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 xml:space="preserve">Benchmark this HOG + </w:t>
      </w:r>
      <w:r>
        <w:rPr>
          <w:rFonts w:ascii="Times New Roman" w:cs="Times New Roman" w:hAnsi="Times New Roman"/>
          <w:color w:val="000000"/>
        </w:rPr>
        <w:t>XGBoost</w:t>
      </w:r>
      <w:r>
        <w:rPr>
          <w:rFonts w:ascii="Times New Roman" w:cs="Times New Roman" w:hAnsi="Times New Roman"/>
          <w:color w:val="000000"/>
        </w:rPr>
        <w:t xml:space="preserve"> pipeline directly against a CNN-based approach on the same train/test split.</w:t>
      </w:r>
    </w:p>
    <w:p w14:paraId="7C0D9934">
      <w:pPr>
        <w:pStyle w:val="style179"/>
        <w:numPr>
          <w:ilvl w:val="0"/>
          <w:numId w:val="1"/>
        </w:numPr>
        <w:spacing w:after="100" w:lineRule="auto" w:line="276"/>
        <w:jc w:val="both"/>
        <w:rPr>
          <w:rFonts w:ascii="Times New Roman" w:cs="Times New Roman" w:hAnsi="Times New Roman"/>
          <w:color w:val="000000"/>
        </w:rPr>
      </w:pPr>
      <w:r>
        <w:rPr>
          <w:rFonts w:ascii="Times New Roman" w:cs="Times New Roman" w:hAnsi="Times New Roman"/>
          <w:color w:val="000000"/>
        </w:rPr>
        <w:t>Test the system on leaf photographs captured under real field conditions rather than curated dataset images.</w:t>
      </w:r>
    </w:p>
    <w:p w14:paraId="30BB4CB0">
      <w:pPr>
        <w:pStyle w:val="style1"/>
        <w:pBdr>
          <w:bottom w:val="single" w:sz="8" w:space="4" w:color="2e5395"/>
        </w:pBdr>
        <w:spacing w:before="360" w:after="200" w:lineRule="auto" w:line="276"/>
        <w:jc w:val="both"/>
        <w:rPr>
          <w:rFonts w:ascii="Times New Roman" w:cs="Times New Roman" w:hAnsi="Times New Roman"/>
          <w:color w:val="000000"/>
        </w:rPr>
      </w:pPr>
      <w:r>
        <w:rPr>
          <w:rFonts w:ascii="Times New Roman" w:cs="Times New Roman" w:hAnsi="Times New Roman"/>
          <w:b/>
          <w:bCs/>
          <w:color w:val="000000"/>
          <w:sz w:val="30"/>
          <w:szCs w:val="30"/>
        </w:rPr>
        <w:t>10. References</w:t>
      </w:r>
    </w:p>
    <w:p w14:paraId="1C79CBE3">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[1] Common Course Assignment Format, CSA1704 – Artificial Intelligence, Department of Computer Science and Engineering, Academic Year 2026–2027.</w:t>
      </w:r>
    </w:p>
    <w:p w14:paraId="078F960A">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[2] Dalal, N., &amp; Triggs, B. (20</w:t>
      </w:r>
      <w:r>
        <w:rPr>
          <w:rFonts w:ascii="Times New Roman" w:cs="Times New Roman" w:hAnsi="Times New Roman"/>
          <w:color w:val="000000"/>
        </w:rPr>
        <w:t>2</w:t>
      </w:r>
      <w:r>
        <w:rPr>
          <w:rFonts w:ascii="Times New Roman" w:cs="Times New Roman" w:hAnsi="Times New Roman"/>
          <w:color w:val="000000"/>
        </w:rPr>
        <w:t>5). Histograms of Oriented Gradients for Human Detection. IEEE CVPR. (Source of the HOG descriptor used in Sections 2–3.)</w:t>
      </w:r>
    </w:p>
    <w:p w14:paraId="2A7BB78E">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[3] Chen, T., &amp; </w:t>
      </w:r>
      <w:r>
        <w:rPr>
          <w:rFonts w:ascii="Times New Roman" w:cs="Times New Roman" w:hAnsi="Times New Roman"/>
          <w:color w:val="000000"/>
        </w:rPr>
        <w:t>Guestrin</w:t>
      </w:r>
      <w:r>
        <w:rPr>
          <w:rFonts w:ascii="Times New Roman" w:cs="Times New Roman" w:hAnsi="Times New Roman"/>
          <w:color w:val="000000"/>
        </w:rPr>
        <w:t>, C. (20</w:t>
      </w:r>
      <w:r>
        <w:rPr>
          <w:rFonts w:ascii="Times New Roman" w:cs="Times New Roman" w:hAnsi="Times New Roman"/>
          <w:color w:val="000000"/>
        </w:rPr>
        <w:t>2</w:t>
      </w:r>
      <w:r>
        <w:rPr>
          <w:rFonts w:ascii="Times New Roman" w:cs="Times New Roman" w:hAnsi="Times New Roman"/>
          <w:color w:val="000000"/>
        </w:rPr>
        <w:t xml:space="preserve">6). </w:t>
      </w:r>
      <w:r>
        <w:rPr>
          <w:rFonts w:ascii="Times New Roman" w:cs="Times New Roman" w:hAnsi="Times New Roman"/>
          <w:color w:val="000000"/>
        </w:rPr>
        <w:t>XGBoost</w:t>
      </w:r>
      <w:r>
        <w:rPr>
          <w:rFonts w:ascii="Times New Roman" w:cs="Times New Roman" w:hAnsi="Times New Roman"/>
          <w:color w:val="000000"/>
        </w:rPr>
        <w:t>: A Scalable Tree Boosting System. ACM SIGKDD. (Source of the gradient-boosting model and objective function used in Section 2.2.)</w:t>
      </w:r>
    </w:p>
    <w:p w14:paraId="673D85B8">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[4] Paddy Disease Dataset and execution results supplied as part of the assignment implementation.</w:t>
      </w:r>
    </w:p>
    <w:p w14:paraId="3E3FDA75">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 xml:space="preserve">[5] OpenCV, scikit-image, scikit-learn, and </w:t>
      </w:r>
      <w:r>
        <w:rPr>
          <w:rFonts w:ascii="Times New Roman" w:cs="Times New Roman" w:hAnsi="Times New Roman"/>
          <w:color w:val="000000"/>
        </w:rPr>
        <w:t>XGBoost</w:t>
      </w:r>
      <w:r>
        <w:rPr>
          <w:rFonts w:ascii="Times New Roman" w:cs="Times New Roman" w:hAnsi="Times New Roman"/>
          <w:color w:val="000000"/>
        </w:rPr>
        <w:t xml:space="preserve"> library documentation, used for image preprocessing, HOG feature computation, evaluation, and model training respectively (Section 4).</w:t>
      </w:r>
    </w:p>
    <w:p w14:paraId="32AC8296">
      <w:pPr>
        <w:pStyle w:val="style0"/>
        <w:spacing w:after="160" w:lineRule="auto" w:line="276"/>
        <w:jc w:val="both"/>
        <w:rPr>
          <w:rFonts w:ascii="Times New Roman" w:cs="Times New Roman" w:hAnsi="Times New Roman"/>
          <w:color w:val="000000"/>
        </w:rPr>
      </w:pPr>
      <w:r>
        <w:rPr>
          <w:rFonts w:ascii="Times New Roman" w:cs="Times New Roman" w:hAnsi="Times New Roman"/>
          <w:color w:val="000000"/>
        </w:rPr>
        <w:t>[6] Anthropic Claude (AI-assisted tool): used to help structure this report and draft explanatory text; all technical content was reviewed by the student.</w:t>
      </w:r>
    </w:p>
    <w:sectPr>
      <w:pgSz w:w="11906" w:h="16838"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73670B0"/>
    <w:lvl w:ilvl="0" w:tplc="800CB1B4">
      <w:start w:val="1"/>
      <w:numFmt w:val="bullet"/>
      <w:lvlText w:val="•"/>
      <w:lvlJc w:val="left"/>
      <w:pPr>
        <w:ind w:left="576" w:hanging="288"/>
      </w:pPr>
    </w:lvl>
    <w:lvl w:ilvl="1" w:tplc="D576CD92">
      <w:start w:val="1"/>
      <w:numFmt w:val="decimal"/>
      <w:lvlText w:val=""/>
      <w:lvlJc w:val="left"/>
      <w:pPr/>
    </w:lvl>
    <w:lvl w:ilvl="2" w:tplc="1A708F8E">
      <w:start w:val="1"/>
      <w:numFmt w:val="decimal"/>
      <w:lvlText w:val=""/>
      <w:lvlJc w:val="left"/>
      <w:pPr/>
    </w:lvl>
    <w:lvl w:ilvl="3" w:tplc="BB9ABC12">
      <w:start w:val="1"/>
      <w:numFmt w:val="decimal"/>
      <w:lvlText w:val=""/>
      <w:lvlJc w:val="left"/>
      <w:pPr/>
    </w:lvl>
    <w:lvl w:ilvl="4" w:tplc="A582E7DA">
      <w:start w:val="1"/>
      <w:numFmt w:val="decimal"/>
      <w:lvlText w:val=""/>
      <w:lvlJc w:val="left"/>
      <w:pPr/>
    </w:lvl>
    <w:lvl w:ilvl="5" w:tplc="503471E6">
      <w:start w:val="1"/>
      <w:numFmt w:val="decimal"/>
      <w:lvlText w:val=""/>
      <w:lvlJc w:val="left"/>
      <w:pPr/>
    </w:lvl>
    <w:lvl w:ilvl="6" w:tplc="E8E8A824">
      <w:start w:val="1"/>
      <w:numFmt w:val="decimal"/>
      <w:lvlText w:val=""/>
      <w:lvlJc w:val="left"/>
      <w:pPr/>
    </w:lvl>
    <w:lvl w:ilvl="7" w:tplc="F438ADC2">
      <w:start w:val="1"/>
      <w:numFmt w:val="decimal"/>
      <w:lvlText w:val=""/>
      <w:lvlJc w:val="left"/>
      <w:pPr/>
    </w:lvl>
    <w:lvl w:ilvl="8" w:tplc="9D0AF6AC">
      <w:start w:val="1"/>
      <w:numFmt w:val="decimal"/>
      <w:lvlText w:val=""/>
      <w:lvlJc w:val="left"/>
      <w:pPr/>
    </w:lvl>
  </w:abstractNum>
  <w:abstractNum w:abstractNumId="1">
    <w:nsid w:val="00000001"/>
    <w:multiLevelType w:val="hybridMultilevel"/>
    <w:tmpl w:val="9404CA9E"/>
    <w:lvl w:ilvl="0" w:tplc="A5B4943A">
      <w:start w:val="1"/>
      <w:numFmt w:val="bullet"/>
      <w:lvlText w:val="●"/>
      <w:lvlJc w:val="left"/>
      <w:pPr>
        <w:ind w:left="720" w:hanging="360"/>
      </w:pPr>
    </w:lvl>
    <w:lvl w:ilvl="1" w:tplc="FFC84038">
      <w:start w:val="1"/>
      <w:numFmt w:val="bullet"/>
      <w:lvlText w:val="○"/>
      <w:lvlJc w:val="left"/>
      <w:pPr>
        <w:ind w:left="1440" w:hanging="360"/>
      </w:pPr>
    </w:lvl>
    <w:lvl w:ilvl="2" w:tplc="F530DE8E">
      <w:start w:val="1"/>
      <w:numFmt w:val="bullet"/>
      <w:lvlText w:val="■"/>
      <w:lvlJc w:val="left"/>
      <w:pPr>
        <w:ind w:left="2160" w:hanging="360"/>
      </w:pPr>
    </w:lvl>
    <w:lvl w:ilvl="3" w:tplc="8D3E2B0E">
      <w:start w:val="1"/>
      <w:numFmt w:val="bullet"/>
      <w:lvlText w:val="●"/>
      <w:lvlJc w:val="left"/>
      <w:pPr>
        <w:ind w:left="2880" w:hanging="360"/>
      </w:pPr>
    </w:lvl>
    <w:lvl w:ilvl="4" w:tplc="458C624E">
      <w:start w:val="1"/>
      <w:numFmt w:val="bullet"/>
      <w:lvlText w:val="○"/>
      <w:lvlJc w:val="left"/>
      <w:pPr>
        <w:ind w:left="3600" w:hanging="360"/>
      </w:pPr>
    </w:lvl>
    <w:lvl w:ilvl="5" w:tplc="C7D276EC">
      <w:start w:val="1"/>
      <w:numFmt w:val="bullet"/>
      <w:lvlText w:val="■"/>
      <w:lvlJc w:val="left"/>
      <w:pPr>
        <w:ind w:left="4320" w:hanging="360"/>
      </w:pPr>
    </w:lvl>
    <w:lvl w:ilvl="6" w:tplc="D152C6CE">
      <w:start w:val="1"/>
      <w:numFmt w:val="bullet"/>
      <w:lvlText w:val="●"/>
      <w:lvlJc w:val="left"/>
      <w:pPr>
        <w:ind w:left="5040" w:hanging="360"/>
      </w:pPr>
    </w:lvl>
    <w:lvl w:ilvl="7" w:tplc="575A9944">
      <w:start w:val="1"/>
      <w:numFmt w:val="bullet"/>
      <w:lvlText w:val="●"/>
      <w:lvlJc w:val="left"/>
      <w:pPr>
        <w:ind w:left="5760" w:hanging="360"/>
      </w:pPr>
    </w:lvl>
    <w:lvl w:ilvl="8" w:tplc="41ACBA4A">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94">
    <w:name w:val="Normal (Web)"/>
    <w:basedOn w:val="style0"/>
    <w:next w:val="style94"/>
    <w:uiPriority w:val="99"/>
    <w:pPr/>
    <w:rPr>
      <w:rFonts w:ascii="Times New Roman" w:cs="Times New Roman" w:hAnsi="Times New Roman"/>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Words>3185</Words>
  <Pages>10</Pages>
  <Characters>19200</Characters>
  <Application>WPS Office</Application>
  <DocSecurity>0</DocSecurity>
  <Paragraphs>298</Paragraphs>
  <ScaleCrop>false</ScaleCrop>
  <LinksUpToDate>false</LinksUpToDate>
  <CharactersWithSpaces>22170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2026-09-03T17:01:00Z</dcterms:created>
  <dc:creator>Un-named</dc:creator>
  <lastModifiedBy>25028PC03I</lastModifiedBy>
  <dcterms:modified xsi:type="dcterms:W3CDTF">2026-09-04T01:30:48Z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63444204-ddc2-42f9-adb3-3142677c78f8</vt:lpwstr>
  </property>
  <property fmtid="{D5CDD505-2E9C-101B-9397-08002B2CF9AE}" pid="3" name="ICV">
    <vt:lpwstr>2559923c07eb46babddd7477072520cf_23</vt:lpwstr>
  </property>
</Properties>
</file>