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60"/>
        <w:jc w:val="center"/>
      </w:pPr>
      <w:r>
        <w:rPr>
          <w:rFonts w:ascii="Calibri" w:cs="Calibri" w:eastAsia="Calibri" w:hAnsi="Calibri"/>
          <w:b/>
          <w:bCs/>
          <w:color w:val="0F7A6E"/>
          <w:spacing w:val="40"/>
          <w:sz w:val="22"/>
          <w:szCs w:val="22"/>
        </w:rPr>
        <w:t xml:space="preserve">A COMPARATIVE ANALYSIS</w:t>
      </w:r>
    </w:p>
    <w:p>
      <w:pPr>
        <w:spacing w:after="60"/>
        <w:jc w:val="center"/>
      </w:pPr>
      <w:r>
        <w:rPr>
          <w:rFonts w:ascii="Calibri" w:cs="Calibri" w:eastAsia="Calibri" w:hAnsi="Calibri"/>
          <w:b/>
          <w:bCs/>
          <w:color w:val="1F3864"/>
          <w:sz w:val="60"/>
          <w:szCs w:val="60"/>
        </w:rPr>
        <w:t xml:space="preserve">Traditional Development</w:t>
      </w:r>
    </w:p>
    <w:p>
      <w:pPr>
        <w:spacing w:after="60"/>
        <w:jc w:val="center"/>
      </w:pPr>
      <w:r>
        <w:rPr>
          <w:rFonts w:ascii="Calibri" w:cs="Calibri" w:eastAsia="Calibri" w:hAnsi="Calibri"/>
          <w:b/>
          <w:bCs/>
          <w:color w:val="0F7A6E"/>
          <w:sz w:val="40"/>
          <w:szCs w:val="40"/>
        </w:rPr>
        <w:t xml:space="preserve">vs.</w:t>
      </w:r>
    </w:p>
    <w:p>
      <w:pPr>
        <w:spacing w:after="500"/>
        <w:jc w:val="center"/>
      </w:pPr>
      <w:r>
        <w:rPr>
          <w:rFonts w:ascii="Calibri" w:cs="Calibri" w:eastAsia="Calibri" w:hAnsi="Calibri"/>
          <w:b/>
          <w:bCs/>
          <w:color w:val="1F3864"/>
          <w:sz w:val="60"/>
          <w:szCs w:val="60"/>
        </w:rPr>
        <w:t xml:space="preserve">Low-Code Platforms</w:t>
      </w:r>
    </w:p>
    <w:p>
      <w:pPr>
        <w:pBdr>
          <w:top w:val="single" w:color="0F7A6E" w:sz="12" w:space="10"/>
        </w:pBdr>
        <w:spacing w:after="700"/>
        <w:jc w:val="center"/>
      </w:pPr>
    </w:p>
    <w:p>
      <w:pPr>
        <w:spacing w:after="160"/>
        <w:jc w:val="center"/>
      </w:pPr>
      <w:r>
        <w:rPr>
          <w:rFonts w:ascii="Calibri" w:cs="Calibri" w:eastAsia="Calibri" w:hAnsi="Calibri"/>
          <w:color w:val="595959"/>
          <w:sz w:val="22"/>
          <w:szCs w:val="22"/>
        </w:rPr>
        <w:t xml:space="preserve">A side-by-side evaluation of software delivery approaches — architecture, cost,</w:t>
      </w:r>
    </w:p>
    <w:p>
      <w:pPr>
        <w:spacing w:after="900"/>
        <w:jc w:val="center"/>
      </w:pPr>
      <w:r>
        <w:rPr>
          <w:rFonts w:ascii="Calibri" w:cs="Calibri" w:eastAsia="Calibri" w:hAnsi="Calibri"/>
          <w:color w:val="595959"/>
          <w:sz w:val="22"/>
          <w:szCs w:val="22"/>
        </w:rPr>
        <w:t xml:space="preserve">speed, governance, and long-term scalability.</w:t>
      </w:r>
    </w:p>
    <w:p>
      <w:pPr>
        <w:spacing w:after="200"/>
      </w:pPr>
    </w:p>
    <w:p>
      <w:pPr>
        <w:spacing w:after="200"/>
      </w:pPr>
    </w:p>
    <w:p>
      <w:pPr>
        <w:spacing w:after="200"/>
      </w:pPr>
    </w:p>
    <w:p>
      <w:pPr>
        <w:spacing w:after="200"/>
      </w:pPr>
    </w:p>
    <w:p>
      <w:pPr>
        <w:spacing w:after="200"/>
      </w:pPr>
    </w:p>
    <w:p>
      <w:pPr>
        <w:spacing w:after="200"/>
      </w:pPr>
    </w:p>
    <w:p>
      <w:pPr>
        <w:pBdr>
          <w:top w:val="single" w:color="BFBFBF" w:sz="4" w:space="8"/>
        </w:pBdr>
        <w:spacing w:after="100" w:before="200"/>
        <w:jc w:val="center"/>
      </w:pPr>
      <w:r>
        <w:rPr>
          <w:rFonts w:ascii="Calibri" w:cs="Calibri" w:eastAsia="Calibri" w:hAnsi="Calibri"/>
          <w:b/>
          <w:bCs/>
          <w:color w:val="1F3864"/>
          <w:spacing w:val="30"/>
          <w:sz w:val="18"/>
          <w:szCs w:val="18"/>
        </w:rPr>
        <w:t xml:space="preserve">PREPARED  |  JULY 2026</w:t>
      </w:r>
    </w:p>
    <w:p>
      <w:pPr>
        <w:jc w:val="center"/>
      </w:pPr>
      <w:r>
        <w:rPr>
          <w:rFonts w:ascii="Calibri" w:cs="Calibri" w:eastAsia="Calibri" w:hAnsi="Calibri"/>
          <w:color w:val="595959"/>
          <w:sz w:val="18"/>
          <w:szCs w:val="18"/>
        </w:rPr>
        <w:t xml:space="preserve">Technology Strategy Briefing</w:t>
      </w:r>
    </w:p>
    <w:p>
      <w:r>
        <w:br w:type="page"/>
      </w:r>
    </w:p>
    <w:p>
      <w:pPr>
        <w:spacing w:after="80"/>
      </w:pPr>
      <w:r>
        <w:rPr>
          <w:rFonts w:ascii="Calibri" w:cs="Calibri" w:eastAsia="Calibri" w:hAnsi="Calibri"/>
          <w:b/>
          <w:bCs/>
          <w:color w:val="0F7A6E"/>
          <w:spacing w:val="20"/>
          <w:sz w:val="18"/>
          <w:szCs w:val="18"/>
        </w:rPr>
        <w:t xml:space="preserve">INTRODUCTION</w:t>
      </w:r>
    </w:p>
    <w:p>
      <w:pPr>
        <w:pStyle w:val="Heading1"/>
        <w:spacing w:after="160"/>
      </w:pPr>
      <w:r>
        <w:rPr>
          <w:rFonts w:ascii="Calibri" w:cs="Calibri" w:eastAsia="Calibri" w:hAnsi="Calibri"/>
          <w:b/>
          <w:bCs/>
          <w:color w:val="1F3864"/>
          <w:sz w:val="34"/>
          <w:szCs w:val="34"/>
        </w:rPr>
        <w:t xml:space="preserve">Two Paths to Building Software</w:t>
      </w:r>
    </w:p>
    <w:p>
      <w:pPr>
        <w:pBdr>
          <w:bottom w:val="single" w:color="BFBFBF" w:sz="6" w:space="1"/>
        </w:pBdr>
        <w:spacing w:after="200" w:before="60"/>
      </w:pPr>
    </w:p>
    <w:p>
      <w:pPr>
        <w:spacing w:after="160" w:line="276"/>
      </w:pPr>
      <w:r>
        <w:rPr>
          <w:rFonts w:ascii="Calibri" w:cs="Calibri" w:eastAsia="Calibri" w:hAnsi="Calibri"/>
          <w:i w:val="false"/>
          <w:iCs w:val="false"/>
          <w:color w:val="262626"/>
          <w:sz w:val="21"/>
          <w:szCs w:val="21"/>
        </w:rPr>
        <w:t xml:space="preserve">Every organization building digital products eventually faces the same fork in the road: write custom, hand-coded software from the ground up, or assemble applications visually on a low-code platform that generates much of the underlying code automatically. Both paths can produce working, reliable software — but they optimize for very different things, and the right choice depends heavily on context: team skills, timeline, budget, compliance requirements, and how long the application is expected to live.</w:t>
      </w:r>
    </w:p>
    <w:p>
      <w:pPr>
        <w:spacing w:after="160" w:line="276"/>
      </w:pPr>
      <w:r>
        <w:rPr>
          <w:rFonts w:ascii="Calibri" w:cs="Calibri" w:eastAsia="Calibri" w:hAnsi="Calibri"/>
          <w:i w:val="false"/>
          <w:iCs w:val="false"/>
          <w:color w:val="262626"/>
          <w:sz w:val="21"/>
          <w:szCs w:val="21"/>
        </w:rPr>
        <w:t xml:space="preserve">Traditional development refers to the conventional software engineering lifecycle: developers write source code by hand in languages such as Java, Python, C#, or JavaScript, using frameworks, version control, and manual testing pipelines. It offers maximum control over architecture, performance, and integration, at the cost of longer build times and a higher-skill workforce.</w:t>
      </w:r>
    </w:p>
    <w:p>
      <w:pPr>
        <w:spacing w:after="160" w:line="276"/>
      </w:pPr>
      <w:r>
        <w:rPr>
          <w:rFonts w:ascii="Calibri" w:cs="Calibri" w:eastAsia="Calibri" w:hAnsi="Calibri"/>
          <w:i w:val="false"/>
          <w:iCs w:val="false"/>
          <w:color w:val="262626"/>
          <w:sz w:val="21"/>
          <w:szCs w:val="21"/>
        </w:rPr>
        <w:t xml:space="preserve">Low-code platforms (such as OutSystems, Mendix, Microsoft Power Apps, and Appian) provide visual, drag-and-drop design surfaces, prebuilt components, and automated workflow engines. Developers — and increasingly business analysts — assemble applications from reusable blocks rather than writing every line of logic manually. This dramatically accelerates delivery for common application patterns, though it introduces platform dependency and, in some cases, limits on deep customization.</w:t>
      </w:r>
    </w:p>
    <w:p>
      <w:pPr>
        <w:spacing w:after="100" w:before="200"/>
      </w:pPr>
      <w:r>
        <w:rPr>
          <w:rFonts w:ascii="Calibri" w:cs="Calibri" w:eastAsia="Calibri" w:hAnsi="Calibri"/>
          <w:b/>
          <w:bCs/>
          <w:color w:val="0F7A6E"/>
          <w:sz w:val="24"/>
          <w:szCs w:val="24"/>
        </w:rPr>
        <w:t xml:space="preserve">Why This Comparison Matters</w:t>
      </w:r>
    </w:p>
    <w:p>
      <w:pPr>
        <w:spacing w:after="200" w:line="276"/>
      </w:pPr>
      <w:r>
        <w:rPr>
          <w:rFonts w:ascii="Calibri" w:cs="Calibri" w:eastAsia="Calibri" w:hAnsi="Calibri"/>
          <w:i w:val="false"/>
          <w:iCs w:val="false"/>
          <w:color w:val="262626"/>
          <w:sz w:val="21"/>
          <w:szCs w:val="21"/>
        </w:rPr>
        <w:t xml:space="preserve">Choosing between these approaches is rarely about which is objectively "better." It is about matching the tool to the problem. A customer-facing fintech platform with unique performance requirements may demand full custom code; an internal approvals workflow for HR might be shipped in low-code in a fraction of the time. This document lays out the two approaches across the dimensions that matter most to engineering leaders, product owners, and CIOs making that call.</w:t>
      </w:r>
    </w:p>
    <w:p>
      <w:pPr>
        <w:spacing w:after="100" w:before="200"/>
      </w:pPr>
      <w:r>
        <w:rPr>
          <w:rFonts w:ascii="Calibri" w:cs="Calibri" w:eastAsia="Calibri" w:hAnsi="Calibri"/>
          <w:b/>
          <w:bCs/>
          <w:color w:val="0F7A6E"/>
          <w:sz w:val="24"/>
          <w:szCs w:val="24"/>
        </w:rPr>
        <w:t xml:space="preserve">What This Report Covers</w:t>
      </w:r>
    </w:p>
    <w:p>
      <w:pPr>
        <w:pStyle w:val="ListParagraph"/>
        <w:numPr>
          <w:ilvl w:val="0"/>
          <w:numId w:val="2"/>
        </w:numPr>
        <w:spacing w:after="90" w:line="268"/>
      </w:pPr>
      <w:r>
        <w:rPr>
          <w:rFonts w:ascii="Calibri" w:cs="Calibri" w:eastAsia="Calibri" w:hAnsi="Calibri"/>
          <w:color w:val="262626"/>
          <w:sz w:val="20"/>
          <w:szCs w:val="20"/>
        </w:rPr>
        <w:t xml:space="preserve">A full attribute-by-attribute comparative diff table</w:t>
      </w:r>
    </w:p>
    <w:p>
      <w:pPr>
        <w:pStyle w:val="ListParagraph"/>
        <w:numPr>
          <w:ilvl w:val="0"/>
          <w:numId w:val="2"/>
        </w:numPr>
        <w:spacing w:after="90" w:line="268"/>
      </w:pPr>
      <w:r>
        <w:rPr>
          <w:rFonts w:ascii="Calibri" w:cs="Calibri" w:eastAsia="Calibri" w:hAnsi="Calibri"/>
          <w:color w:val="262626"/>
          <w:sz w:val="20"/>
          <w:szCs w:val="20"/>
        </w:rPr>
        <w:t xml:space="preserve">How the development lifecycle differs at each phase</w:t>
      </w:r>
    </w:p>
    <w:p>
      <w:pPr>
        <w:pStyle w:val="ListParagraph"/>
        <w:numPr>
          <w:ilvl w:val="0"/>
          <w:numId w:val="2"/>
        </w:numPr>
        <w:spacing w:after="90" w:line="268"/>
      </w:pPr>
      <w:r>
        <w:rPr>
          <w:rFonts w:ascii="Calibri" w:cs="Calibri" w:eastAsia="Calibri" w:hAnsi="Calibri"/>
          <w:color w:val="262626"/>
          <w:sz w:val="20"/>
          <w:szCs w:val="20"/>
        </w:rPr>
        <w:t xml:space="preserve">Cost and time-to-delivery implications</w:t>
      </w:r>
    </w:p>
    <w:p>
      <w:pPr>
        <w:pStyle w:val="ListParagraph"/>
        <w:numPr>
          <w:ilvl w:val="0"/>
          <w:numId w:val="2"/>
        </w:numPr>
        <w:spacing w:after="90" w:line="268"/>
      </w:pPr>
      <w:r>
        <w:rPr>
          <w:rFonts w:ascii="Calibri" w:cs="Calibri" w:eastAsia="Calibri" w:hAnsi="Calibri"/>
          <w:color w:val="262626"/>
          <w:sz w:val="20"/>
          <w:szCs w:val="20"/>
        </w:rPr>
        <w:t xml:space="preserve">Ideal use cases for each approach, including hybrid strategies</w:t>
      </w:r>
    </w:p>
    <w:p>
      <w:pPr>
        <w:pStyle w:val="ListParagraph"/>
        <w:numPr>
          <w:ilvl w:val="0"/>
          <w:numId w:val="2"/>
        </w:numPr>
        <w:spacing w:after="90" w:line="268"/>
      </w:pPr>
      <w:r>
        <w:rPr>
          <w:rFonts w:ascii="Calibri" w:cs="Calibri" w:eastAsia="Calibri" w:hAnsi="Calibri"/>
          <w:color w:val="262626"/>
          <w:sz w:val="20"/>
          <w:szCs w:val="20"/>
        </w:rPr>
        <w:t xml:space="preserve">A summary scorecard and final recommendations</w:t>
      </w:r>
    </w:p>
    <w:p>
      <w:r>
        <w:br w:type="page"/>
      </w:r>
    </w:p>
    <w:p>
      <w:pPr>
        <w:spacing w:after="80"/>
      </w:pPr>
      <w:r>
        <w:rPr>
          <w:rFonts w:ascii="Calibri" w:cs="Calibri" w:eastAsia="Calibri" w:hAnsi="Calibri"/>
          <w:b/>
          <w:bCs/>
          <w:color w:val="0F7A6E"/>
          <w:spacing w:val="20"/>
          <w:sz w:val="18"/>
          <w:szCs w:val="18"/>
        </w:rPr>
        <w:t xml:space="preserve">HEAD-TO-HEAD</w:t>
      </w:r>
    </w:p>
    <w:p>
      <w:pPr>
        <w:pStyle w:val="Heading1"/>
        <w:spacing w:after="160"/>
      </w:pPr>
      <w:r>
        <w:rPr>
          <w:rFonts w:ascii="Calibri" w:cs="Calibri" w:eastAsia="Calibri" w:hAnsi="Calibri"/>
          <w:b/>
          <w:bCs/>
          <w:color w:val="1F3864"/>
          <w:sz w:val="34"/>
          <w:szCs w:val="34"/>
        </w:rPr>
        <w:t xml:space="preserve">Comparative Diff Table</w:t>
      </w:r>
    </w:p>
    <w:p>
      <w:pPr>
        <w:pBdr>
          <w:bottom w:val="single" w:color="BFBFBF" w:sz="6" w:space="1"/>
        </w:pBdr>
        <w:spacing w:after="200" w:before="60"/>
      </w:pPr>
    </w:p>
    <w:p>
      <w:pPr>
        <w:spacing w:after="200" w:line="276"/>
      </w:pPr>
      <w:r>
        <w:rPr>
          <w:rFonts w:ascii="Calibri" w:cs="Calibri" w:eastAsia="Calibri" w:hAnsi="Calibri"/>
          <w:i w:val="false"/>
          <w:iCs w:val="false"/>
          <w:color w:val="262626"/>
          <w:sz w:val="21"/>
          <w:szCs w:val="21"/>
        </w:rPr>
        <w:t xml:space="preserve">The table below distills the fourteen attributes that most frequently drive the build-vs-assemble decision, comparing traditional hand-coded development against low-code platform development side by side.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900"/>
      </w:tblGrid>
      <w:tr>
        <w:trPr>
          <w:tblHeader/>
        </w:trPr>
        <w:tc>
          <w:tcPr>
            <w:tcW w:type="dxa" w:w="2600"/>
            <w:shd w:fill="1F3864" w:color="1F3864" w:val="clear"/>
            <w:tcMar>
              <w:top w:type="dxa" w:w="120"/>
              <w:left w:type="dxa" w:w="140"/>
              <w:bottom w:type="dxa" w:w="120"/>
              <w:right w:type="dxa" w:w="140"/>
            </w:tcMar>
            <w:vAlign w:val="center"/>
          </w:tcPr>
          <w:p>
            <w:pPr>
              <w:spacing w:after="0" w:line="240"/>
              <w:jc w:val="left"/>
            </w:pPr>
            <w:r>
              <w:rPr>
                <w:rFonts w:ascii="Calibri" w:cs="Calibri" w:eastAsia="Calibri" w:hAnsi="Calibri"/>
                <w:b/>
                <w:bCs/>
                <w:color w:val="FFFFFF"/>
                <w:sz w:val="19"/>
                <w:szCs w:val="19"/>
              </w:rPr>
              <w:t xml:space="preserve">Attribute</w:t>
            </w:r>
          </w:p>
        </w:tc>
        <w:tc>
          <w:tcPr>
            <w:tcW w:type="dxa" w:w="3900"/>
            <w:shd w:fill="1F3864" w:color="1F3864" w:val="clear"/>
            <w:tcMar>
              <w:top w:type="dxa" w:w="120"/>
              <w:left w:type="dxa" w:w="140"/>
              <w:bottom w:type="dxa" w:w="120"/>
              <w:right w:type="dxa" w:w="140"/>
            </w:tcMar>
            <w:vAlign w:val="center"/>
          </w:tcPr>
          <w:p>
            <w:pPr>
              <w:spacing w:after="0" w:line="240"/>
              <w:jc w:val="left"/>
            </w:pPr>
            <w:r>
              <w:rPr>
                <w:rFonts w:ascii="Calibri" w:cs="Calibri" w:eastAsia="Calibri" w:hAnsi="Calibri"/>
                <w:b/>
                <w:bCs/>
                <w:color w:val="FFFFFF"/>
                <w:sz w:val="19"/>
                <w:szCs w:val="19"/>
              </w:rPr>
              <w:t xml:space="preserve">Traditional Development</w:t>
            </w:r>
          </w:p>
        </w:tc>
        <w:tc>
          <w:tcPr>
            <w:tcW w:type="dxa" w:w="3900"/>
            <w:shd w:fill="1F3864" w:color="1F3864" w:val="clear"/>
            <w:tcMar>
              <w:top w:type="dxa" w:w="120"/>
              <w:left w:type="dxa" w:w="140"/>
              <w:bottom w:type="dxa" w:w="120"/>
              <w:right w:type="dxa" w:w="140"/>
            </w:tcMar>
            <w:vAlign w:val="center"/>
          </w:tcPr>
          <w:p>
            <w:pPr>
              <w:spacing w:after="0" w:line="240"/>
              <w:jc w:val="left"/>
            </w:pPr>
            <w:r>
              <w:rPr>
                <w:rFonts w:ascii="Calibri" w:cs="Calibri" w:eastAsia="Calibri" w:hAnsi="Calibri"/>
                <w:b/>
                <w:bCs/>
                <w:color w:val="FFFFFF"/>
                <w:sz w:val="19"/>
                <w:szCs w:val="19"/>
              </w:rPr>
              <w:t xml:space="preserve">Low-Code Platforms</w:t>
            </w:r>
          </w:p>
        </w:tc>
      </w:tr>
      <w:tr>
        <w:tc>
          <w:tcPr>
            <w:tcW w:type="dxa" w:w="26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Development Speed</w:t>
            </w:r>
          </w:p>
        </w:tc>
        <w:tc>
          <w:tcPr>
            <w:tcW w:type="dxa" w:w="39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Slower — every feature is hand-coded and tested</w:t>
            </w:r>
          </w:p>
        </w:tc>
        <w:tc>
          <w:tcPr>
            <w:tcW w:type="dxa" w:w="39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Fast — visual builders and prebuilt modules</w:t>
            </w:r>
          </w:p>
        </w:tc>
      </w:tr>
      <w:tr>
        <w:tc>
          <w:tcPr>
            <w:tcW w:type="dxa" w:w="26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Skill Requirement</w:t>
            </w:r>
          </w:p>
        </w:tc>
        <w:tc>
          <w:tcPr>
            <w:tcW w:type="dxa" w:w="39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Trained software engineers, multiple languages</w:t>
            </w:r>
          </w:p>
        </w:tc>
        <w:tc>
          <w:tcPr>
            <w:tcW w:type="dxa" w:w="39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Business analysts or citizen developers, minimal coding</w:t>
            </w:r>
          </w:p>
        </w:tc>
      </w:tr>
      <w:tr>
        <w:tc>
          <w:tcPr>
            <w:tcW w:type="dxa" w:w="26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Customization</w:t>
            </w:r>
          </w:p>
        </w:tc>
        <w:tc>
          <w:tcPr>
            <w:tcW w:type="dxa" w:w="39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Virtually unlimited; any architecture possible</w:t>
            </w:r>
          </w:p>
        </w:tc>
        <w:tc>
          <w:tcPr>
            <w:tcW w:type="dxa" w:w="39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Bounded by platform components and APIs</w:t>
            </w:r>
          </w:p>
        </w:tc>
      </w:tr>
      <w:tr>
        <w:tc>
          <w:tcPr>
            <w:tcW w:type="dxa" w:w="26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Upfront Cost</w:t>
            </w:r>
          </w:p>
        </w:tc>
        <w:tc>
          <w:tcPr>
            <w:tcW w:type="dxa" w:w="39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High — salaries, infrastructure, tooling</w:t>
            </w:r>
          </w:p>
        </w:tc>
        <w:tc>
          <w:tcPr>
            <w:tcW w:type="dxa" w:w="39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Lower — subscription/license-based pricing</w:t>
            </w:r>
          </w:p>
        </w:tc>
      </w:tr>
      <w:tr>
        <w:tc>
          <w:tcPr>
            <w:tcW w:type="dxa" w:w="26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Long-Term Cost</w:t>
            </w:r>
          </w:p>
        </w:tc>
        <w:tc>
          <w:tcPr>
            <w:tcW w:type="dxa" w:w="39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Ongoing dev &amp; maintenance overhead</w:t>
            </w:r>
          </w:p>
        </w:tc>
        <w:tc>
          <w:tcPr>
            <w:tcW w:type="dxa" w:w="39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Recurring vendor licensing fees, can scale with users</w:t>
            </w:r>
          </w:p>
        </w:tc>
      </w:tr>
      <w:tr>
        <w:tc>
          <w:tcPr>
            <w:tcW w:type="dxa" w:w="26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Scalability</w:t>
            </w:r>
          </w:p>
        </w:tc>
        <w:tc>
          <w:tcPr>
            <w:tcW w:type="dxa" w:w="39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Fully controllable, engineered per requirement</w:t>
            </w:r>
          </w:p>
        </w:tc>
        <w:tc>
          <w:tcPr>
            <w:tcW w:type="dxa" w:w="39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Depends on vendor's platform limits</w:t>
            </w:r>
          </w:p>
        </w:tc>
      </w:tr>
      <w:tr>
        <w:tc>
          <w:tcPr>
            <w:tcW w:type="dxa" w:w="26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Maintenance</w:t>
            </w:r>
          </w:p>
        </w:tc>
        <w:tc>
          <w:tcPr>
            <w:tcW w:type="dxa" w:w="39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Manual patching, refactoring, regression testing</w:t>
            </w:r>
          </w:p>
        </w:tc>
        <w:tc>
          <w:tcPr>
            <w:tcW w:type="dxa" w:w="39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Vendor-managed updates and patches</w:t>
            </w:r>
          </w:p>
        </w:tc>
      </w:tr>
      <w:tr>
        <w:tc>
          <w:tcPr>
            <w:tcW w:type="dxa" w:w="26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Time to Market</w:t>
            </w:r>
          </w:p>
        </w:tc>
        <w:tc>
          <w:tcPr>
            <w:tcW w:type="dxa" w:w="39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Weeks to months for MVPs, longer for complex apps</w:t>
            </w:r>
          </w:p>
        </w:tc>
        <w:tc>
          <w:tcPr>
            <w:tcW w:type="dxa" w:w="39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Days to weeks for standard applications</w:t>
            </w:r>
          </w:p>
        </w:tc>
      </w:tr>
      <w:tr>
        <w:tc>
          <w:tcPr>
            <w:tcW w:type="dxa" w:w="26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Integration Flexibility</w:t>
            </w:r>
          </w:p>
        </w:tc>
        <w:tc>
          <w:tcPr>
            <w:tcW w:type="dxa" w:w="39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Native, deep integration with any system</w:t>
            </w:r>
          </w:p>
        </w:tc>
        <w:tc>
          <w:tcPr>
            <w:tcW w:type="dxa" w:w="39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Connector-based; strong for common systems, limited for niche ones</w:t>
            </w:r>
          </w:p>
        </w:tc>
      </w:tr>
      <w:tr>
        <w:tc>
          <w:tcPr>
            <w:tcW w:type="dxa" w:w="26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Vendor Lock-In</w:t>
            </w:r>
          </w:p>
        </w:tc>
        <w:tc>
          <w:tcPr>
            <w:tcW w:type="dxa" w:w="39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None — code is fully owned</w:t>
            </w:r>
          </w:p>
        </w:tc>
        <w:tc>
          <w:tcPr>
            <w:tcW w:type="dxa" w:w="39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Moderate to high — tied to platform ecosystem</w:t>
            </w:r>
          </w:p>
        </w:tc>
      </w:tr>
      <w:tr>
        <w:tc>
          <w:tcPr>
            <w:tcW w:type="dxa" w:w="26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Security Control</w:t>
            </w:r>
          </w:p>
        </w:tc>
        <w:tc>
          <w:tcPr>
            <w:tcW w:type="dxa" w:w="39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Fully configurable, owned end-to-end</w:t>
            </w:r>
          </w:p>
        </w:tc>
        <w:tc>
          <w:tcPr>
            <w:tcW w:type="dxa" w:w="39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Shared responsibility; governed by vendor's model</w:t>
            </w:r>
          </w:p>
        </w:tc>
      </w:tr>
      <w:tr>
        <w:tc>
          <w:tcPr>
            <w:tcW w:type="dxa" w:w="26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Governance &amp; Compliance</w:t>
            </w:r>
          </w:p>
        </w:tc>
        <w:tc>
          <w:tcPr>
            <w:tcW w:type="dxa" w:w="39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Custom-built to exact regulatory need</w:t>
            </w:r>
          </w:p>
        </w:tc>
        <w:tc>
          <w:tcPr>
            <w:tcW w:type="dxa" w:w="39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Built-in templates; may need workarounds for edge cases</w:t>
            </w:r>
          </w:p>
        </w:tc>
      </w:tr>
      <w:tr>
        <w:tc>
          <w:tcPr>
            <w:tcW w:type="dxa" w:w="26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Best Fit Team Size</w:t>
            </w:r>
          </w:p>
        </w:tc>
        <w:tc>
          <w:tcPr>
            <w:tcW w:type="dxa" w:w="39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Medium to large engineering teams</w:t>
            </w:r>
          </w:p>
        </w:tc>
        <w:tc>
          <w:tcPr>
            <w:tcW w:type="dxa" w:w="39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Small teams, or business units without dedicated devs</w:t>
            </w:r>
          </w:p>
        </w:tc>
      </w:tr>
      <w:tr>
        <w:tc>
          <w:tcPr>
            <w:tcW w:type="dxa" w:w="26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Innovation Ceiling</w:t>
            </w:r>
          </w:p>
        </w:tc>
        <w:tc>
          <w:tcPr>
            <w:tcW w:type="dxa" w:w="39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No architectural ceiling</w:t>
            </w:r>
          </w:p>
        </w:tc>
        <w:tc>
          <w:tcPr>
            <w:tcW w:type="dxa" w:w="39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Capped by what the platform vendor supports</w:t>
            </w:r>
          </w:p>
        </w:tc>
      </w:tr>
    </w:tbl>
    <w:p>
      <w:pPr>
        <w:spacing w:before="200"/>
      </w:pPr>
      <w:r>
        <w:rPr>
          <w:rFonts w:ascii="Calibri" w:cs="Calibri" w:eastAsia="Calibri" w:hAnsi="Calibri"/>
          <w:b/>
          <w:bCs/>
          <w:i/>
          <w:iCs/>
          <w:color w:val="595959"/>
          <w:sz w:val="17"/>
          <w:szCs w:val="17"/>
        </w:rPr>
        <w:t xml:space="preserve">Note: </w:t>
      </w:r>
      <w:r>
        <w:rPr>
          <w:rFonts w:ascii="Calibri" w:cs="Calibri" w:eastAsia="Calibri" w:hAnsi="Calibri"/>
          <w:i/>
          <w:iCs/>
          <w:color w:val="595959"/>
          <w:sz w:val="17"/>
          <w:szCs w:val="17"/>
        </w:rPr>
        <w:t xml:space="preserve">Ratings reflect typical platform behavior; specific vendors and codebases may vary.</w:t>
      </w:r>
    </w:p>
    <w:p>
      <w:r>
        <w:br w:type="page"/>
      </w:r>
    </w:p>
    <w:p>
      <w:pPr>
        <w:spacing w:after="80"/>
      </w:pPr>
      <w:r>
        <w:rPr>
          <w:rFonts w:ascii="Calibri" w:cs="Calibri" w:eastAsia="Calibri" w:hAnsi="Calibri"/>
          <w:b/>
          <w:bCs/>
          <w:color w:val="0F7A6E"/>
          <w:spacing w:val="20"/>
          <w:sz w:val="18"/>
          <w:szCs w:val="18"/>
        </w:rPr>
        <w:t xml:space="preserve">PROCESS</w:t>
      </w:r>
    </w:p>
    <w:p>
      <w:pPr>
        <w:pStyle w:val="Heading1"/>
        <w:spacing w:after="160"/>
      </w:pPr>
      <w:r>
        <w:rPr>
          <w:rFonts w:ascii="Calibri" w:cs="Calibri" w:eastAsia="Calibri" w:hAnsi="Calibri"/>
          <w:b/>
          <w:bCs/>
          <w:color w:val="1F3864"/>
          <w:sz w:val="34"/>
          <w:szCs w:val="34"/>
        </w:rPr>
        <w:t xml:space="preserve">The Development Lifecycle, Side by Side</w:t>
      </w:r>
    </w:p>
    <w:p>
      <w:pPr>
        <w:pBdr>
          <w:bottom w:val="single" w:color="BFBFBF" w:sz="6" w:space="1"/>
        </w:pBdr>
        <w:spacing w:after="200" w:before="60"/>
      </w:pPr>
    </w:p>
    <w:p>
      <w:pPr>
        <w:spacing w:after="160" w:line="276"/>
      </w:pPr>
      <w:r>
        <w:rPr>
          <w:rFonts w:ascii="Calibri" w:cs="Calibri" w:eastAsia="Calibri" w:hAnsi="Calibri"/>
          <w:i w:val="false"/>
          <w:iCs w:val="false"/>
          <w:color w:val="262626"/>
          <w:sz w:val="21"/>
          <w:szCs w:val="21"/>
        </w:rPr>
        <w:t xml:space="preserve">The two approaches don't just differ in output — they differ in how work moves through every phase of delivery. Understanding where the phases diverge helps teams anticipate where low-code will save the most time, and where traditional development still earns its cost.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900"/>
      </w:tblGrid>
      <w:tr>
        <w:trPr>
          <w:tblHeader/>
        </w:trPr>
        <w:tc>
          <w:tcPr>
            <w:tcW w:type="dxa" w:w="2200"/>
            <w:shd w:fill="1F3864" w:color="1F3864" w:val="clear"/>
            <w:tcMar>
              <w:top w:type="dxa" w:w="120"/>
              <w:left w:type="dxa" w:w="140"/>
              <w:bottom w:type="dxa" w:w="120"/>
              <w:right w:type="dxa" w:w="140"/>
            </w:tcMar>
            <w:vAlign w:val="center"/>
          </w:tcPr>
          <w:p>
            <w:pPr>
              <w:spacing w:after="0" w:line="240"/>
              <w:jc w:val="left"/>
            </w:pPr>
            <w:r>
              <w:rPr>
                <w:rFonts w:ascii="Calibri" w:cs="Calibri" w:eastAsia="Calibri" w:hAnsi="Calibri"/>
                <w:b/>
                <w:bCs/>
                <w:color w:val="FFFFFF"/>
                <w:sz w:val="19"/>
                <w:szCs w:val="19"/>
              </w:rPr>
              <w:t xml:space="preserve">Phase</w:t>
            </w:r>
          </w:p>
        </w:tc>
        <w:tc>
          <w:tcPr>
            <w:tcW w:type="dxa" w:w="4300"/>
            <w:shd w:fill="1F3864" w:color="1F3864" w:val="clear"/>
            <w:tcMar>
              <w:top w:type="dxa" w:w="120"/>
              <w:left w:type="dxa" w:w="140"/>
              <w:bottom w:type="dxa" w:w="120"/>
              <w:right w:type="dxa" w:w="140"/>
            </w:tcMar>
            <w:vAlign w:val="center"/>
          </w:tcPr>
          <w:p>
            <w:pPr>
              <w:spacing w:after="0" w:line="240"/>
              <w:jc w:val="left"/>
            </w:pPr>
            <w:r>
              <w:rPr>
                <w:rFonts w:ascii="Calibri" w:cs="Calibri" w:eastAsia="Calibri" w:hAnsi="Calibri"/>
                <w:b/>
                <w:bCs/>
                <w:color w:val="FFFFFF"/>
                <w:sz w:val="19"/>
                <w:szCs w:val="19"/>
              </w:rPr>
              <w:t xml:space="preserve">Traditional Development</w:t>
            </w:r>
          </w:p>
        </w:tc>
        <w:tc>
          <w:tcPr>
            <w:tcW w:type="dxa" w:w="3900"/>
            <w:shd w:fill="1F3864" w:color="1F3864" w:val="clear"/>
            <w:tcMar>
              <w:top w:type="dxa" w:w="120"/>
              <w:left w:type="dxa" w:w="140"/>
              <w:bottom w:type="dxa" w:w="120"/>
              <w:right w:type="dxa" w:w="140"/>
            </w:tcMar>
            <w:vAlign w:val="center"/>
          </w:tcPr>
          <w:p>
            <w:pPr>
              <w:spacing w:after="0" w:line="240"/>
              <w:jc w:val="left"/>
            </w:pPr>
            <w:r>
              <w:rPr>
                <w:rFonts w:ascii="Calibri" w:cs="Calibri" w:eastAsia="Calibri" w:hAnsi="Calibri"/>
                <w:b/>
                <w:bCs/>
                <w:color w:val="FFFFFF"/>
                <w:sz w:val="19"/>
                <w:szCs w:val="19"/>
              </w:rPr>
              <w:t xml:space="preserve">Low-Code Platforms</w:t>
            </w:r>
          </w:p>
        </w:tc>
      </w:tr>
      <w:tr>
        <w:tc>
          <w:tcPr>
            <w:tcW w:type="dxa" w:w="22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bCs/>
                <w:color w:val="0F7A6E"/>
                <w:sz w:val="18"/>
                <w:szCs w:val="18"/>
              </w:rPr>
              <w:t xml:space="preserve">Requirements</w:t>
            </w:r>
          </w:p>
        </w:tc>
        <w:tc>
          <w:tcPr>
            <w:tcW w:type="dxa" w:w="43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Detailed technical specs, architecture diagrams, and API contracts drafted before coding begins.</w:t>
            </w:r>
          </w:p>
        </w:tc>
        <w:tc>
          <w:tcPr>
            <w:tcW w:type="dxa" w:w="39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Requirements captured as workflows and forms directly inside the builder.</w:t>
            </w:r>
          </w:p>
        </w:tc>
      </w:tr>
      <w:tr>
        <w:tc>
          <w:tcPr>
            <w:tcW w:type="dxa" w:w="22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bCs/>
                <w:color w:val="0F7A6E"/>
                <w:sz w:val="18"/>
                <w:szCs w:val="18"/>
              </w:rPr>
              <w:t xml:space="preserve">Design</w:t>
            </w:r>
          </w:p>
        </w:tc>
        <w:tc>
          <w:tcPr>
            <w:tcW w:type="dxa" w:w="43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UI/UX designed independently, then implemented pixel-by-pixel in code.</w:t>
            </w:r>
          </w:p>
        </w:tc>
        <w:tc>
          <w:tcPr>
            <w:tcW w:type="dxa" w:w="39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Drag-and-drop UI design using prebuilt, theme-consistent components.</w:t>
            </w:r>
          </w:p>
        </w:tc>
      </w:tr>
      <w:tr>
        <w:tc>
          <w:tcPr>
            <w:tcW w:type="dxa" w:w="22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bCs/>
                <w:color w:val="0F7A6E"/>
                <w:sz w:val="18"/>
                <w:szCs w:val="18"/>
              </w:rPr>
              <w:t xml:space="preserve">Build</w:t>
            </w:r>
          </w:p>
        </w:tc>
        <w:tc>
          <w:tcPr>
            <w:tcW w:type="dxa" w:w="43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Engineers write, review, and merge code across services and repositories.</w:t>
            </w:r>
          </w:p>
        </w:tc>
        <w:tc>
          <w:tcPr>
            <w:tcW w:type="dxa" w:w="39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Developers configure logic visually; custom code used only for edge cases.</w:t>
            </w:r>
          </w:p>
        </w:tc>
      </w:tr>
      <w:tr>
        <w:tc>
          <w:tcPr>
            <w:tcW w:type="dxa" w:w="22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bCs/>
                <w:color w:val="0F7A6E"/>
                <w:sz w:val="18"/>
                <w:szCs w:val="18"/>
              </w:rPr>
              <w:t xml:space="preserve">Testing</w:t>
            </w:r>
          </w:p>
        </w:tc>
        <w:tc>
          <w:tcPr>
            <w:tcW w:type="dxa" w:w="43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Unit, integration, and end-to-end tests written and maintained by hand.</w:t>
            </w:r>
          </w:p>
        </w:tc>
        <w:tc>
          <w:tcPr>
            <w:tcW w:type="dxa" w:w="39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Much of the testing surface is abstracted; platform validates configurations automatically.</w:t>
            </w:r>
          </w:p>
        </w:tc>
      </w:tr>
      <w:tr>
        <w:tc>
          <w:tcPr>
            <w:tcW w:type="dxa" w:w="22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bCs/>
                <w:color w:val="0F7A6E"/>
                <w:sz w:val="18"/>
                <w:szCs w:val="18"/>
              </w:rPr>
              <w:t xml:space="preserve">Deployment</w:t>
            </w:r>
          </w:p>
        </w:tc>
        <w:tc>
          <w:tcPr>
            <w:tcW w:type="dxa" w:w="43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CI/CD pipelines, containers, and infrastructure provisioned and managed by the team.</w:t>
            </w:r>
          </w:p>
        </w:tc>
        <w:tc>
          <w:tcPr>
            <w:tcW w:type="dxa" w:w="39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One-click or managed deployment through the vendor's hosting environment.</w:t>
            </w:r>
          </w:p>
        </w:tc>
      </w:tr>
      <w:tr>
        <w:tc>
          <w:tcPr>
            <w:tcW w:type="dxa" w:w="22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bCs/>
                <w:color w:val="0F7A6E"/>
                <w:sz w:val="18"/>
                <w:szCs w:val="18"/>
              </w:rPr>
              <w:t xml:space="preserve">Iteration</w:t>
            </w:r>
          </w:p>
        </w:tc>
        <w:tc>
          <w:tcPr>
            <w:tcW w:type="dxa" w:w="43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Change requests go through the full code-review and release cycle.</w:t>
            </w:r>
          </w:p>
        </w:tc>
        <w:tc>
          <w:tcPr>
            <w:tcW w:type="dxa" w:w="39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Changes made visually and published near-instantly to the environment.</w:t>
            </w:r>
          </w:p>
        </w:tc>
      </w:tr>
    </w:tbl>
    <w:p>
      <w:pPr>
        <w:spacing w:after="100" w:before="240"/>
      </w:pPr>
    </w:p>
    <w:p>
      <w:pPr>
        <w:spacing w:after="100" w:before="200"/>
      </w:pPr>
      <w:r>
        <w:rPr>
          <w:rFonts w:ascii="Calibri" w:cs="Calibri" w:eastAsia="Calibri" w:hAnsi="Calibri"/>
          <w:b/>
          <w:bCs/>
          <w:color w:val="0F7A6E"/>
          <w:sz w:val="24"/>
          <w:szCs w:val="24"/>
        </w:rPr>
        <w:t xml:space="preserve">Where the Time Savings Really Come From</w:t>
      </w:r>
    </w:p>
    <w:p>
      <w:pPr>
        <w:spacing w:after="0" w:line="276"/>
      </w:pPr>
      <w:r>
        <w:rPr>
          <w:rFonts w:ascii="Calibri" w:cs="Calibri" w:eastAsia="Calibri" w:hAnsi="Calibri"/>
          <w:i w:val="false"/>
          <w:iCs w:val="false"/>
          <w:color w:val="262626"/>
          <w:sz w:val="21"/>
          <w:szCs w:val="21"/>
        </w:rPr>
        <w:t xml:space="preserve">The biggest low-code time savings show up at the build and testing phases, where visual configuration replaces manual coding and much of the validation is handled by the platform itself. Traditional development retains its edge at the requirements and design phase for complex, novel systems, where nothing prebuilt fits the problem well enough to configure around it.</w:t>
      </w:r>
    </w:p>
    <w:p>
      <w:r>
        <w:br w:type="page"/>
      </w:r>
    </w:p>
    <w:p>
      <w:pPr>
        <w:spacing w:after="80"/>
      </w:pPr>
      <w:r>
        <w:rPr>
          <w:rFonts w:ascii="Calibri" w:cs="Calibri" w:eastAsia="Calibri" w:hAnsi="Calibri"/>
          <w:b/>
          <w:bCs/>
          <w:color w:val="0F7A6E"/>
          <w:spacing w:val="20"/>
          <w:sz w:val="18"/>
          <w:szCs w:val="18"/>
        </w:rPr>
        <w:t xml:space="preserve">ECONOMICS</w:t>
      </w:r>
    </w:p>
    <w:p>
      <w:pPr>
        <w:pStyle w:val="Heading1"/>
        <w:spacing w:after="160"/>
      </w:pPr>
      <w:r>
        <w:rPr>
          <w:rFonts w:ascii="Calibri" w:cs="Calibri" w:eastAsia="Calibri" w:hAnsi="Calibri"/>
          <w:b/>
          <w:bCs/>
          <w:color w:val="1F3864"/>
          <w:sz w:val="34"/>
          <w:szCs w:val="34"/>
        </w:rPr>
        <w:t xml:space="preserve">Cost and Time-to-Delivery</w:t>
      </w:r>
    </w:p>
    <w:p>
      <w:pPr>
        <w:pBdr>
          <w:bottom w:val="single" w:color="BFBFBF" w:sz="6" w:space="1"/>
        </w:pBdr>
        <w:spacing w:after="200" w:before="60"/>
      </w:pPr>
    </w:p>
    <w:p>
      <w:pPr>
        <w:spacing w:after="160" w:line="276"/>
      </w:pPr>
      <w:r>
        <w:rPr>
          <w:rFonts w:ascii="Calibri" w:cs="Calibri" w:eastAsia="Calibri" w:hAnsi="Calibri"/>
          <w:i w:val="false"/>
          <w:iCs w:val="false"/>
          <w:color w:val="262626"/>
          <w:sz w:val="21"/>
          <w:szCs w:val="21"/>
        </w:rPr>
        <w:t xml:space="preserve">Cost comparisons between the two approaches are often oversimplified as "low-code is cheaper." That's true for the first year, and often for simple applications — but the picture shifts as scale, customization needs, and application lifespan increase.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600"/>
      </w:tblGrid>
      <w:tr>
        <w:trPr>
          <w:tblHeader/>
        </w:trPr>
        <w:tc>
          <w:tcPr>
            <w:tcW w:type="dxa" w:w="3200"/>
            <w:shd w:fill="1F3864" w:color="1F3864" w:val="clear"/>
            <w:tcMar>
              <w:top w:type="dxa" w:w="120"/>
              <w:left w:type="dxa" w:w="140"/>
              <w:bottom w:type="dxa" w:w="120"/>
              <w:right w:type="dxa" w:w="140"/>
            </w:tcMar>
            <w:vAlign w:val="center"/>
          </w:tcPr>
          <w:p>
            <w:pPr>
              <w:spacing w:after="0" w:line="240"/>
              <w:jc w:val="left"/>
            </w:pPr>
            <w:r>
              <w:rPr>
                <w:rFonts w:ascii="Calibri" w:cs="Calibri" w:eastAsia="Calibri" w:hAnsi="Calibri"/>
                <w:b/>
                <w:bCs/>
                <w:color w:val="FFFFFF"/>
                <w:sz w:val="19"/>
                <w:szCs w:val="19"/>
              </w:rPr>
              <w:t xml:space="preserve">Category</w:t>
            </w:r>
          </w:p>
        </w:tc>
        <w:tc>
          <w:tcPr>
            <w:tcW w:type="dxa" w:w="3600"/>
            <w:shd w:fill="1F3864" w:color="1F3864" w:val="clear"/>
            <w:tcMar>
              <w:top w:type="dxa" w:w="120"/>
              <w:left w:type="dxa" w:w="140"/>
              <w:bottom w:type="dxa" w:w="120"/>
              <w:right w:type="dxa" w:w="140"/>
            </w:tcMar>
            <w:vAlign w:val="center"/>
          </w:tcPr>
          <w:p>
            <w:pPr>
              <w:spacing w:after="0" w:line="240"/>
              <w:jc w:val="left"/>
            </w:pPr>
            <w:r>
              <w:rPr>
                <w:rFonts w:ascii="Calibri" w:cs="Calibri" w:eastAsia="Calibri" w:hAnsi="Calibri"/>
                <w:b/>
                <w:bCs/>
                <w:color w:val="FFFFFF"/>
                <w:sz w:val="19"/>
                <w:szCs w:val="19"/>
              </w:rPr>
              <w:t xml:space="preserve">Traditional Development</w:t>
            </w:r>
          </w:p>
        </w:tc>
        <w:tc>
          <w:tcPr>
            <w:tcW w:type="dxa" w:w="3600"/>
            <w:shd w:fill="1F3864" w:color="1F3864" w:val="clear"/>
            <w:tcMar>
              <w:top w:type="dxa" w:w="120"/>
              <w:left w:type="dxa" w:w="140"/>
              <w:bottom w:type="dxa" w:w="120"/>
              <w:right w:type="dxa" w:w="140"/>
            </w:tcMar>
            <w:vAlign w:val="center"/>
          </w:tcPr>
          <w:p>
            <w:pPr>
              <w:spacing w:after="0" w:line="240"/>
              <w:jc w:val="left"/>
            </w:pPr>
            <w:r>
              <w:rPr>
                <w:rFonts w:ascii="Calibri" w:cs="Calibri" w:eastAsia="Calibri" w:hAnsi="Calibri"/>
                <w:b/>
                <w:bCs/>
                <w:color w:val="FFFFFF"/>
                <w:sz w:val="19"/>
                <w:szCs w:val="19"/>
              </w:rPr>
              <w:t xml:space="preserve">Low-Code Platforms</w:t>
            </w:r>
          </w:p>
        </w:tc>
      </w:tr>
      <w:tr>
        <w:tc>
          <w:tcPr>
            <w:tcW w:type="dxa" w:w="32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Typical MVP Timeline</w:t>
            </w:r>
          </w:p>
        </w:tc>
        <w:tc>
          <w:tcPr>
            <w:tcW w:type="dxa" w:w="36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3 – 6 months</w:t>
            </w:r>
          </w:p>
        </w:tc>
        <w:tc>
          <w:tcPr>
            <w:tcW w:type="dxa" w:w="36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2 – 6 weeks</w:t>
            </w:r>
          </w:p>
        </w:tc>
      </w:tr>
      <w:tr>
        <w:tc>
          <w:tcPr>
            <w:tcW w:type="dxa" w:w="3200"/>
            <w:shd w:fill="DFF3EF" w:color="DFF3EF"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Team Composition</w:t>
            </w:r>
          </w:p>
        </w:tc>
        <w:tc>
          <w:tcPr>
            <w:tcW w:type="dxa" w:w="3600"/>
            <w:shd w:fill="DFF3EF" w:color="DFF3E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Full engineering team (FE, BE, QA, DevOps)</w:t>
            </w:r>
          </w:p>
        </w:tc>
        <w:tc>
          <w:tcPr>
            <w:tcW w:type="dxa" w:w="3600"/>
            <w:shd w:fill="DFF3EF" w:color="DFF3E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1–3 developers or citizen developers</w:t>
            </w:r>
          </w:p>
        </w:tc>
      </w:tr>
      <w:tr>
        <w:tc>
          <w:tcPr>
            <w:tcW w:type="dxa" w:w="32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Initial Investment</w:t>
            </w:r>
          </w:p>
        </w:tc>
        <w:tc>
          <w:tcPr>
            <w:tcW w:type="dxa" w:w="36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High (salaries + infra + tooling)</w:t>
            </w:r>
          </w:p>
        </w:tc>
        <w:tc>
          <w:tcPr>
            <w:tcW w:type="dxa" w:w="36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Low–moderate (licensing only)</w:t>
            </w:r>
          </w:p>
        </w:tc>
      </w:tr>
      <w:tr>
        <w:tc>
          <w:tcPr>
            <w:tcW w:type="dxa" w:w="3200"/>
            <w:shd w:fill="DFF3EF" w:color="DFF3EF"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3-Year TCO Driver</w:t>
            </w:r>
          </w:p>
        </w:tc>
        <w:tc>
          <w:tcPr>
            <w:tcW w:type="dxa" w:w="3600"/>
            <w:shd w:fill="DFF3EF" w:color="DFF3E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Engineering headcount and infrastructure</w:t>
            </w:r>
          </w:p>
        </w:tc>
        <w:tc>
          <w:tcPr>
            <w:tcW w:type="dxa" w:w="3600"/>
            <w:shd w:fill="DFF3EF" w:color="DFF3E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Per-user or per-app licensing fees</w:t>
            </w:r>
          </w:p>
        </w:tc>
      </w:tr>
      <w:tr>
        <w:tc>
          <w:tcPr>
            <w:tcW w:type="dxa" w:w="32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Cost Predictability</w:t>
            </w:r>
          </w:p>
        </w:tc>
        <w:tc>
          <w:tcPr>
            <w:tcW w:type="dxa" w:w="36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Variable — scope creep affects cost directly</w:t>
            </w:r>
          </w:p>
        </w:tc>
        <w:tc>
          <w:tcPr>
            <w:tcW w:type="dxa" w:w="36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Predictable — subscription-based</w:t>
            </w:r>
          </w:p>
        </w:tc>
      </w:tr>
      <w:tr>
        <w:tc>
          <w:tcPr>
            <w:tcW w:type="dxa" w:w="3200"/>
            <w:shd w:fill="DFF3EF" w:color="DFF3EF"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Break-even Point</w:t>
            </w:r>
          </w:p>
        </w:tc>
        <w:tc>
          <w:tcPr>
            <w:tcW w:type="dxa" w:w="3600"/>
            <w:shd w:fill="DFF3EF" w:color="DFF3E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Favorable for long-lived, high-scale systems</w:t>
            </w:r>
          </w:p>
        </w:tc>
        <w:tc>
          <w:tcPr>
            <w:tcW w:type="dxa" w:w="3600"/>
            <w:shd w:fill="DFF3EF" w:color="DFF3EF" w:val="clear"/>
            <w:tcMar>
              <w:top w:type="dxa" w:w="100"/>
              <w:left w:type="dxa" w:w="140"/>
              <w:bottom w:type="dxa" w:w="100"/>
              <w:right w:type="dxa" w:w="140"/>
            </w:tcMar>
            <w:vAlign w:val="center"/>
          </w:tcPr>
          <w:p>
            <w:pPr>
              <w:spacing w:after="0" w:line="240"/>
              <w:jc w:val="left"/>
            </w:pPr>
            <w:r>
              <w:rPr>
                <w:rFonts w:ascii="Calibri" w:cs="Calibri" w:eastAsia="Calibri" w:hAnsi="Calibri"/>
                <w:b w:val="false"/>
                <w:bCs w:val="false"/>
                <w:color w:val="262626"/>
                <w:sz w:val="18"/>
                <w:szCs w:val="18"/>
              </w:rPr>
              <w:t xml:space="preserve">Favorable for short-to-mid lifecycle apps</w:t>
            </w:r>
          </w:p>
        </w:tc>
      </w:tr>
    </w:tbl>
    <w:p>
      <w:pPr>
        <w:spacing w:after="100" w:before="240"/>
      </w:pPr>
    </w:p>
    <w:p>
      <w:pPr>
        <w:spacing w:after="100" w:before="200"/>
      </w:pPr>
      <w:r>
        <w:rPr>
          <w:rFonts w:ascii="Calibri" w:cs="Calibri" w:eastAsia="Calibri" w:hAnsi="Calibri"/>
          <w:b/>
          <w:bCs/>
          <w:color w:val="0F7A6E"/>
          <w:sz w:val="24"/>
          <w:szCs w:val="24"/>
        </w:rPr>
        <w:t xml:space="preserve">The Crossover Point</w:t>
      </w:r>
    </w:p>
    <w:p>
      <w:pPr>
        <w:spacing w:after="160" w:line="276"/>
      </w:pPr>
      <w:r>
        <w:rPr>
          <w:rFonts w:ascii="Calibri" w:cs="Calibri" w:eastAsia="Calibri" w:hAnsi="Calibri"/>
          <w:i w:val="false"/>
          <w:iCs w:val="false"/>
          <w:color w:val="262626"/>
          <w:sz w:val="21"/>
          <w:szCs w:val="21"/>
        </w:rPr>
        <w:t xml:space="preserve">Low-code platforms typically win on cost and speed for the first 12–24 months of an application's life, especially for internal tools, workflow automation, and MVPs validating a new idea. As an application grows in complexity, user volume, or need for bespoke integrations, licensing costs and platform constraints can erode that advantage — at which point the total cost of ownership for a custom-built system may become more favorable, particularly if it avoids per-user vendor fees at scale.</w:t>
      </w:r>
    </w:p>
    <w:p>
      <w:pPr>
        <w:spacing w:after="0" w:line="276"/>
      </w:pPr>
      <w:r>
        <w:rPr>
          <w:rFonts w:ascii="Calibri" w:cs="Calibri" w:eastAsia="Calibri" w:hAnsi="Calibri"/>
          <w:i w:val="false"/>
          <w:iCs w:val="false"/>
          <w:color w:val="262626"/>
          <w:sz w:val="21"/>
          <w:szCs w:val="21"/>
        </w:rPr>
        <w:t xml:space="preserve">The practical takeaway: run the cost comparison against the expected 3–5 year lifespan of the application, not just the initial build cost.</w:t>
      </w:r>
    </w:p>
    <w:p>
      <w:r>
        <w:br w:type="page"/>
      </w:r>
    </w:p>
    <w:p>
      <w:pPr>
        <w:spacing w:after="80"/>
      </w:pPr>
      <w:r>
        <w:rPr>
          <w:rFonts w:ascii="Calibri" w:cs="Calibri" w:eastAsia="Calibri" w:hAnsi="Calibri"/>
          <w:b/>
          <w:bCs/>
          <w:color w:val="0F7A6E"/>
          <w:spacing w:val="20"/>
          <w:sz w:val="18"/>
          <w:szCs w:val="18"/>
        </w:rPr>
        <w:t xml:space="preserve">APPLICATION</w:t>
      </w:r>
    </w:p>
    <w:p>
      <w:pPr>
        <w:pStyle w:val="Heading1"/>
        <w:spacing w:after="160"/>
      </w:pPr>
      <w:r>
        <w:rPr>
          <w:rFonts w:ascii="Calibri" w:cs="Calibri" w:eastAsia="Calibri" w:hAnsi="Calibri"/>
          <w:b/>
          <w:bCs/>
          <w:color w:val="1F3864"/>
          <w:sz w:val="34"/>
          <w:szCs w:val="34"/>
        </w:rPr>
        <w:t xml:space="preserve">When to Choose Which</w:t>
      </w:r>
    </w:p>
    <w:p>
      <w:pPr>
        <w:pBdr>
          <w:bottom w:val="single" w:color="BFBFBF" w:sz="6" w:space="1"/>
        </w:pBdr>
        <w:spacing w:after="200" w:before="60"/>
      </w:pPr>
    </w:p>
    <w:p>
      <w:pPr>
        <w:spacing w:after="100" w:before="200"/>
      </w:pPr>
      <w:r>
        <w:rPr>
          <w:rFonts w:ascii="Calibri" w:cs="Calibri" w:eastAsia="Calibri" w:hAnsi="Calibri"/>
          <w:b/>
          <w:bCs/>
          <w:color w:val="1F3864"/>
          <w:sz w:val="24"/>
          <w:szCs w:val="24"/>
        </w:rPr>
        <w:t xml:space="preserve">Choose Traditional Development When…</w:t>
      </w:r>
    </w:p>
    <w:p>
      <w:pPr>
        <w:pStyle w:val="ListParagraph"/>
        <w:numPr>
          <w:ilvl w:val="0"/>
          <w:numId w:val="2"/>
        </w:numPr>
        <w:spacing w:after="90" w:line="268"/>
      </w:pPr>
      <w:r>
        <w:rPr>
          <w:rFonts w:ascii="Calibri" w:cs="Calibri" w:eastAsia="Calibri" w:hAnsi="Calibri"/>
          <w:color w:val="262626"/>
          <w:sz w:val="20"/>
          <w:szCs w:val="20"/>
        </w:rPr>
        <w:t xml:space="preserve">The application has unique, complex business logic that doesn't map to prebuilt components</w:t>
      </w:r>
    </w:p>
    <w:p>
      <w:pPr>
        <w:pStyle w:val="ListParagraph"/>
        <w:numPr>
          <w:ilvl w:val="0"/>
          <w:numId w:val="2"/>
        </w:numPr>
        <w:spacing w:after="90" w:line="268"/>
      </w:pPr>
      <w:r>
        <w:rPr>
          <w:rFonts w:ascii="Calibri" w:cs="Calibri" w:eastAsia="Calibri" w:hAnsi="Calibri"/>
          <w:color w:val="262626"/>
          <w:sz w:val="20"/>
          <w:szCs w:val="20"/>
        </w:rPr>
        <w:t xml:space="preserve">Performance, latency, or scale requirements are extreme (e.g., high-frequency trading, real-time gaming)</w:t>
      </w:r>
    </w:p>
    <w:p>
      <w:pPr>
        <w:pStyle w:val="ListParagraph"/>
        <w:numPr>
          <w:ilvl w:val="0"/>
          <w:numId w:val="2"/>
        </w:numPr>
        <w:spacing w:after="90" w:line="268"/>
      </w:pPr>
      <w:r>
        <w:rPr>
          <w:rFonts w:ascii="Calibri" w:cs="Calibri" w:eastAsia="Calibri" w:hAnsi="Calibri"/>
          <w:color w:val="262626"/>
          <w:sz w:val="20"/>
          <w:szCs w:val="20"/>
        </w:rPr>
        <w:t xml:space="preserve">Full ownership of source code and infrastructure is a hard compliance requirement</w:t>
      </w:r>
    </w:p>
    <w:p>
      <w:pPr>
        <w:pStyle w:val="ListParagraph"/>
        <w:numPr>
          <w:ilvl w:val="0"/>
          <w:numId w:val="2"/>
        </w:numPr>
        <w:spacing w:after="90" w:line="268"/>
      </w:pPr>
      <w:r>
        <w:rPr>
          <w:rFonts w:ascii="Calibri" w:cs="Calibri" w:eastAsia="Calibri" w:hAnsi="Calibri"/>
          <w:color w:val="262626"/>
          <w:sz w:val="20"/>
          <w:szCs w:val="20"/>
        </w:rPr>
        <w:t xml:space="preserve">The product is customer-facing and core to competitive differentiation</w:t>
      </w:r>
    </w:p>
    <w:p>
      <w:pPr>
        <w:pStyle w:val="ListParagraph"/>
        <w:numPr>
          <w:ilvl w:val="0"/>
          <w:numId w:val="2"/>
        </w:numPr>
        <w:spacing w:after="90" w:line="268"/>
      </w:pPr>
      <w:r>
        <w:rPr>
          <w:rFonts w:ascii="Calibri" w:cs="Calibri" w:eastAsia="Calibri" w:hAnsi="Calibri"/>
          <w:color w:val="262626"/>
          <w:sz w:val="20"/>
          <w:szCs w:val="20"/>
        </w:rPr>
        <w:t xml:space="preserve">Deep, non-standard integrations with legacy or proprietary systems are required</w:t>
      </w:r>
    </w:p>
    <w:p>
      <w:pPr>
        <w:spacing w:after="100" w:before="200"/>
      </w:pPr>
      <w:r>
        <w:rPr>
          <w:rFonts w:ascii="Calibri" w:cs="Calibri" w:eastAsia="Calibri" w:hAnsi="Calibri"/>
          <w:b/>
          <w:bCs/>
          <w:color w:val="0F7A6E"/>
          <w:sz w:val="24"/>
          <w:szCs w:val="24"/>
        </w:rPr>
        <w:t xml:space="preserve">Choose Low-Code Platforms When…</w:t>
      </w:r>
    </w:p>
    <w:p>
      <w:pPr>
        <w:pStyle w:val="ListParagraph"/>
        <w:numPr>
          <w:ilvl w:val="0"/>
          <w:numId w:val="2"/>
        </w:numPr>
        <w:spacing w:after="90" w:line="268"/>
      </w:pPr>
      <w:r>
        <w:rPr>
          <w:rFonts w:ascii="Calibri" w:cs="Calibri" w:eastAsia="Calibri" w:hAnsi="Calibri"/>
          <w:color w:val="262626"/>
          <w:sz w:val="20"/>
          <w:szCs w:val="20"/>
        </w:rPr>
        <w:t xml:space="preserve">Speed to market matters more than deep customization</w:t>
      </w:r>
    </w:p>
    <w:p>
      <w:pPr>
        <w:pStyle w:val="ListParagraph"/>
        <w:numPr>
          <w:ilvl w:val="0"/>
          <w:numId w:val="2"/>
        </w:numPr>
        <w:spacing w:after="90" w:line="268"/>
      </w:pPr>
      <w:r>
        <w:rPr>
          <w:rFonts w:ascii="Calibri" w:cs="Calibri" w:eastAsia="Calibri" w:hAnsi="Calibri"/>
          <w:color w:val="262626"/>
          <w:sz w:val="20"/>
          <w:szCs w:val="20"/>
        </w:rPr>
        <w:t xml:space="preserve">The use case is a common pattern: forms, approvals, case management, internal dashboards</w:t>
      </w:r>
    </w:p>
    <w:p>
      <w:pPr>
        <w:pStyle w:val="ListParagraph"/>
        <w:numPr>
          <w:ilvl w:val="0"/>
          <w:numId w:val="2"/>
        </w:numPr>
        <w:spacing w:after="90" w:line="268"/>
      </w:pPr>
      <w:r>
        <w:rPr>
          <w:rFonts w:ascii="Calibri" w:cs="Calibri" w:eastAsia="Calibri" w:hAnsi="Calibri"/>
          <w:color w:val="262626"/>
          <w:sz w:val="20"/>
          <w:szCs w:val="20"/>
        </w:rPr>
        <w:t xml:space="preserve">The team lacks dedicated engineering capacity but understands the business process well</w:t>
      </w:r>
    </w:p>
    <w:p>
      <w:pPr>
        <w:pStyle w:val="ListParagraph"/>
        <w:numPr>
          <w:ilvl w:val="0"/>
          <w:numId w:val="2"/>
        </w:numPr>
        <w:spacing w:after="90" w:line="268"/>
      </w:pPr>
      <w:r>
        <w:rPr>
          <w:rFonts w:ascii="Calibri" w:cs="Calibri" w:eastAsia="Calibri" w:hAnsi="Calibri"/>
          <w:color w:val="262626"/>
          <w:sz w:val="20"/>
          <w:szCs w:val="20"/>
        </w:rPr>
        <w:t xml:space="preserve">The application is internal-facing, with a small to medium user base</w:t>
      </w:r>
    </w:p>
    <w:p>
      <w:pPr>
        <w:pStyle w:val="ListParagraph"/>
        <w:numPr>
          <w:ilvl w:val="0"/>
          <w:numId w:val="2"/>
        </w:numPr>
        <w:spacing w:after="90" w:line="268"/>
      </w:pPr>
      <w:r>
        <w:rPr>
          <w:rFonts w:ascii="Calibri" w:cs="Calibri" w:eastAsia="Calibri" w:hAnsi="Calibri"/>
          <w:color w:val="262626"/>
          <w:sz w:val="20"/>
          <w:szCs w:val="20"/>
        </w:rPr>
        <w:t xml:space="preserve">Budget favors operating expense (subscription) over capital expense (headcount and infra)</w:t>
      </w:r>
    </w:p>
    <w:p>
      <w:pPr>
        <w:spacing w:after="100" w:before="200"/>
      </w:pPr>
      <w:r>
        <w:rPr>
          <w:rFonts w:ascii="Calibri" w:cs="Calibri" w:eastAsia="Calibri" w:hAnsi="Calibri"/>
          <w:b/>
          <w:bCs/>
          <w:color w:val="1F3864"/>
          <w:sz w:val="24"/>
          <w:szCs w:val="24"/>
        </w:rPr>
        <w:t xml:space="preserve">The Hybrid Middle Ground</w:t>
      </w:r>
    </w:p>
    <w:p>
      <w:pPr>
        <w:spacing w:after="160" w:line="276"/>
      </w:pPr>
      <w:r>
        <w:rPr>
          <w:rFonts w:ascii="Calibri" w:cs="Calibri" w:eastAsia="Calibri" w:hAnsi="Calibri"/>
          <w:i w:val="false"/>
          <w:iCs w:val="false"/>
          <w:color w:val="262626"/>
          <w:sz w:val="21"/>
          <w:szCs w:val="21"/>
        </w:rPr>
        <w:t xml:space="preserve">Many mature organizations don't pick one path exclusively — they run both in parallel. Core, differentiating systems are custom-built and tightly controlled, while low-code platforms handle the long tail of internal tools, workflow automation, and departmental apps that would otherwise compete for scarce engineering time. Modern low-code platforms also increasingly support "escape hatches" — custom code modules or API extensions — that let teams blend approaches within a single application, applying custom logic only where the platform's prebuilt components fall short.</w:t>
      </w:r>
    </w:p>
    <w:p>
      <w:r>
        <w:br w:type="page"/>
      </w:r>
    </w:p>
    <w:p>
      <w:pPr>
        <w:spacing w:after="80"/>
      </w:pPr>
      <w:r>
        <w:rPr>
          <w:rFonts w:ascii="Calibri" w:cs="Calibri" w:eastAsia="Calibri" w:hAnsi="Calibri"/>
          <w:b/>
          <w:bCs/>
          <w:color w:val="0F7A6E"/>
          <w:spacing w:val="20"/>
          <w:sz w:val="18"/>
          <w:szCs w:val="18"/>
        </w:rPr>
        <w:t xml:space="preserve">SUMMARY</w:t>
      </w:r>
    </w:p>
    <w:p>
      <w:pPr>
        <w:pStyle w:val="Heading1"/>
        <w:spacing w:after="160"/>
      </w:pPr>
      <w:r>
        <w:rPr>
          <w:rFonts w:ascii="Calibri" w:cs="Calibri" w:eastAsia="Calibri" w:hAnsi="Calibri"/>
          <w:b/>
          <w:bCs/>
          <w:color w:val="1F3864"/>
          <w:sz w:val="34"/>
          <w:szCs w:val="34"/>
        </w:rPr>
        <w:t xml:space="preserve">Scorecard &amp; Recommendation</w:t>
      </w:r>
    </w:p>
    <w:p>
      <w:pPr>
        <w:pBdr>
          <w:bottom w:val="single" w:color="BFBFBF" w:sz="6" w:space="1"/>
        </w:pBdr>
        <w:spacing w:after="200" w:before="60"/>
      </w:pP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200"/>
        <w:gridCol w:w="3100"/>
        <w:gridCol w:w="3100"/>
      </w:tblGrid>
      <w:tr>
        <w:trPr>
          <w:tblHeader/>
        </w:trPr>
        <w:tc>
          <w:tcPr>
            <w:tcW w:type="dxa" w:w="4200"/>
            <w:shd w:fill="1F3864" w:color="1F3864" w:val="clear"/>
            <w:tcMar>
              <w:top w:type="dxa" w:w="120"/>
              <w:left w:type="dxa" w:w="140"/>
              <w:bottom w:type="dxa" w:w="120"/>
              <w:right w:type="dxa" w:w="140"/>
            </w:tcMar>
            <w:vAlign w:val="center"/>
          </w:tcPr>
          <w:p>
            <w:pPr>
              <w:spacing w:after="0" w:line="240"/>
              <w:jc w:val="left"/>
            </w:pPr>
            <w:r>
              <w:rPr>
                <w:rFonts w:ascii="Calibri" w:cs="Calibri" w:eastAsia="Calibri" w:hAnsi="Calibri"/>
                <w:b/>
                <w:bCs/>
                <w:color w:val="FFFFFF"/>
                <w:sz w:val="19"/>
                <w:szCs w:val="19"/>
              </w:rPr>
              <w:t xml:space="preserve">Dimension</w:t>
            </w:r>
          </w:p>
        </w:tc>
        <w:tc>
          <w:tcPr>
            <w:tcW w:type="dxa" w:w="3100"/>
            <w:shd w:fill="1F3864" w:color="1F3864" w:val="clear"/>
            <w:tcMar>
              <w:top w:type="dxa" w:w="120"/>
              <w:left w:type="dxa" w:w="140"/>
              <w:bottom w:type="dxa" w:w="120"/>
              <w:right w:type="dxa" w:w="140"/>
            </w:tcMar>
            <w:vAlign w:val="center"/>
          </w:tcPr>
          <w:p>
            <w:pPr>
              <w:spacing w:after="0" w:line="240"/>
              <w:jc w:val="left"/>
            </w:pPr>
            <w:r>
              <w:rPr>
                <w:rFonts w:ascii="Calibri" w:cs="Calibri" w:eastAsia="Calibri" w:hAnsi="Calibri"/>
                <w:b/>
                <w:bCs/>
                <w:color w:val="FFFFFF"/>
                <w:sz w:val="19"/>
                <w:szCs w:val="19"/>
              </w:rPr>
              <w:t xml:space="preserve">Traditional</w:t>
            </w:r>
          </w:p>
        </w:tc>
        <w:tc>
          <w:tcPr>
            <w:tcW w:type="dxa" w:w="3100"/>
            <w:shd w:fill="1F3864" w:color="1F3864" w:val="clear"/>
            <w:tcMar>
              <w:top w:type="dxa" w:w="120"/>
              <w:left w:type="dxa" w:w="140"/>
              <w:bottom w:type="dxa" w:w="120"/>
              <w:right w:type="dxa" w:w="140"/>
            </w:tcMar>
            <w:vAlign w:val="center"/>
          </w:tcPr>
          <w:p>
            <w:pPr>
              <w:spacing w:after="0" w:line="240"/>
              <w:jc w:val="left"/>
            </w:pPr>
            <w:r>
              <w:rPr>
                <w:rFonts w:ascii="Calibri" w:cs="Calibri" w:eastAsia="Calibri" w:hAnsi="Calibri"/>
                <w:b/>
                <w:bCs/>
                <w:color w:val="FFFFFF"/>
                <w:sz w:val="19"/>
                <w:szCs w:val="19"/>
              </w:rPr>
              <w:t xml:space="preserve">Low-Code</w:t>
            </w:r>
          </w:p>
        </w:tc>
      </w:tr>
      <w:tr>
        <w:tc>
          <w:tcPr>
            <w:tcW w:type="dxa" w:w="42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Speed of Delivery</w:t>
            </w:r>
          </w:p>
        </w:tc>
        <w:tc>
          <w:tcPr>
            <w:tcW w:type="dxa" w:w="3100"/>
            <w:shd w:fill="FFFFFF" w:color="FFFFFF" w:val="clear"/>
            <w:tcMar>
              <w:top w:type="dxa" w:w="100"/>
              <w:left w:type="dxa" w:w="100"/>
              <w:bottom w:type="dxa" w:w="100"/>
              <w:right w:type="dxa" w:w="100"/>
            </w:tcMar>
            <w:vAlign w:val="center"/>
          </w:tcPr>
          <w:p>
            <w:pPr>
              <w:spacing w:after="0" w:line="240"/>
              <w:jc w:val="center"/>
            </w:pPr>
            <w:r>
              <w:rPr>
                <w:rFonts w:ascii="Calibri" w:cs="Calibri" w:eastAsia="Calibri" w:hAnsi="Calibri"/>
                <w:b/>
                <w:bCs/>
                <w:color w:val="262626"/>
                <w:sz w:val="19"/>
                <w:szCs w:val="19"/>
              </w:rPr>
              <w:t xml:space="preserve">★★☆☆☆</w:t>
            </w:r>
          </w:p>
        </w:tc>
        <w:tc>
          <w:tcPr>
            <w:tcW w:type="dxa" w:w="3100"/>
            <w:shd w:fill="FFFFFF" w:color="FFFFFF" w:val="clear"/>
            <w:tcMar>
              <w:top w:type="dxa" w:w="100"/>
              <w:left w:type="dxa" w:w="100"/>
              <w:bottom w:type="dxa" w:w="100"/>
              <w:right w:type="dxa" w:w="100"/>
            </w:tcMar>
            <w:vAlign w:val="center"/>
          </w:tcPr>
          <w:p>
            <w:pPr>
              <w:spacing w:after="0" w:line="240"/>
              <w:jc w:val="center"/>
            </w:pPr>
            <w:r>
              <w:rPr>
                <w:rFonts w:ascii="Calibri" w:cs="Calibri" w:eastAsia="Calibri" w:hAnsi="Calibri"/>
                <w:b/>
                <w:bCs/>
                <w:color w:val="262626"/>
                <w:sz w:val="19"/>
                <w:szCs w:val="19"/>
              </w:rPr>
              <w:t xml:space="preserve">★★★★★</w:t>
            </w:r>
          </w:p>
        </w:tc>
      </w:tr>
      <w:tr>
        <w:tc>
          <w:tcPr>
            <w:tcW w:type="dxa" w:w="42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Customization Depth</w:t>
            </w:r>
          </w:p>
        </w:tc>
        <w:tc>
          <w:tcPr>
            <w:tcW w:type="dxa" w:w="3100"/>
            <w:shd w:fill="F2F2F2" w:color="F2F2F2" w:val="clear"/>
            <w:tcMar>
              <w:top w:type="dxa" w:w="100"/>
              <w:left w:type="dxa" w:w="100"/>
              <w:bottom w:type="dxa" w:w="100"/>
              <w:right w:type="dxa" w:w="100"/>
            </w:tcMar>
            <w:vAlign w:val="center"/>
          </w:tcPr>
          <w:p>
            <w:pPr>
              <w:spacing w:after="0" w:line="240"/>
              <w:jc w:val="center"/>
            </w:pPr>
            <w:r>
              <w:rPr>
                <w:rFonts w:ascii="Calibri" w:cs="Calibri" w:eastAsia="Calibri" w:hAnsi="Calibri"/>
                <w:b/>
                <w:bCs/>
                <w:color w:val="262626"/>
                <w:sz w:val="19"/>
                <w:szCs w:val="19"/>
              </w:rPr>
              <w:t xml:space="preserve">★★★★★</w:t>
            </w:r>
          </w:p>
        </w:tc>
        <w:tc>
          <w:tcPr>
            <w:tcW w:type="dxa" w:w="3100"/>
            <w:shd w:fill="F2F2F2" w:color="F2F2F2" w:val="clear"/>
            <w:tcMar>
              <w:top w:type="dxa" w:w="100"/>
              <w:left w:type="dxa" w:w="100"/>
              <w:bottom w:type="dxa" w:w="100"/>
              <w:right w:type="dxa" w:w="100"/>
            </w:tcMar>
            <w:vAlign w:val="center"/>
          </w:tcPr>
          <w:p>
            <w:pPr>
              <w:spacing w:after="0" w:line="240"/>
              <w:jc w:val="center"/>
            </w:pPr>
            <w:r>
              <w:rPr>
                <w:rFonts w:ascii="Calibri" w:cs="Calibri" w:eastAsia="Calibri" w:hAnsi="Calibri"/>
                <w:b/>
                <w:bCs/>
                <w:color w:val="262626"/>
                <w:sz w:val="19"/>
                <w:szCs w:val="19"/>
              </w:rPr>
              <w:t xml:space="preserve">★★☆☆☆</w:t>
            </w:r>
          </w:p>
        </w:tc>
      </w:tr>
      <w:tr>
        <w:tc>
          <w:tcPr>
            <w:tcW w:type="dxa" w:w="42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Initial Cost Efficiency</w:t>
            </w:r>
          </w:p>
        </w:tc>
        <w:tc>
          <w:tcPr>
            <w:tcW w:type="dxa" w:w="3100"/>
            <w:shd w:fill="FFFFFF" w:color="FFFFFF" w:val="clear"/>
            <w:tcMar>
              <w:top w:type="dxa" w:w="100"/>
              <w:left w:type="dxa" w:w="100"/>
              <w:bottom w:type="dxa" w:w="100"/>
              <w:right w:type="dxa" w:w="100"/>
            </w:tcMar>
            <w:vAlign w:val="center"/>
          </w:tcPr>
          <w:p>
            <w:pPr>
              <w:spacing w:after="0" w:line="240"/>
              <w:jc w:val="center"/>
            </w:pPr>
            <w:r>
              <w:rPr>
                <w:rFonts w:ascii="Calibri" w:cs="Calibri" w:eastAsia="Calibri" w:hAnsi="Calibri"/>
                <w:b/>
                <w:bCs/>
                <w:color w:val="262626"/>
                <w:sz w:val="19"/>
                <w:szCs w:val="19"/>
              </w:rPr>
              <w:t xml:space="preserve">★★☆☆☆</w:t>
            </w:r>
          </w:p>
        </w:tc>
        <w:tc>
          <w:tcPr>
            <w:tcW w:type="dxa" w:w="3100"/>
            <w:shd w:fill="FFFFFF" w:color="FFFFFF" w:val="clear"/>
            <w:tcMar>
              <w:top w:type="dxa" w:w="100"/>
              <w:left w:type="dxa" w:w="100"/>
              <w:bottom w:type="dxa" w:w="100"/>
              <w:right w:type="dxa" w:w="100"/>
            </w:tcMar>
            <w:vAlign w:val="center"/>
          </w:tcPr>
          <w:p>
            <w:pPr>
              <w:spacing w:after="0" w:line="240"/>
              <w:jc w:val="center"/>
            </w:pPr>
            <w:r>
              <w:rPr>
                <w:rFonts w:ascii="Calibri" w:cs="Calibri" w:eastAsia="Calibri" w:hAnsi="Calibri"/>
                <w:b/>
                <w:bCs/>
                <w:color w:val="262626"/>
                <w:sz w:val="19"/>
                <w:szCs w:val="19"/>
              </w:rPr>
              <w:t xml:space="preserve">★★★★☆</w:t>
            </w:r>
          </w:p>
        </w:tc>
      </w:tr>
      <w:tr>
        <w:tc>
          <w:tcPr>
            <w:tcW w:type="dxa" w:w="42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Long-Term Scalability</w:t>
            </w:r>
          </w:p>
        </w:tc>
        <w:tc>
          <w:tcPr>
            <w:tcW w:type="dxa" w:w="3100"/>
            <w:shd w:fill="F2F2F2" w:color="F2F2F2" w:val="clear"/>
            <w:tcMar>
              <w:top w:type="dxa" w:w="100"/>
              <w:left w:type="dxa" w:w="100"/>
              <w:bottom w:type="dxa" w:w="100"/>
              <w:right w:type="dxa" w:w="100"/>
            </w:tcMar>
            <w:vAlign w:val="center"/>
          </w:tcPr>
          <w:p>
            <w:pPr>
              <w:spacing w:after="0" w:line="240"/>
              <w:jc w:val="center"/>
            </w:pPr>
            <w:r>
              <w:rPr>
                <w:rFonts w:ascii="Calibri" w:cs="Calibri" w:eastAsia="Calibri" w:hAnsi="Calibri"/>
                <w:b/>
                <w:bCs/>
                <w:color w:val="262626"/>
                <w:sz w:val="19"/>
                <w:szCs w:val="19"/>
              </w:rPr>
              <w:t xml:space="preserve">★★★★★</w:t>
            </w:r>
          </w:p>
        </w:tc>
        <w:tc>
          <w:tcPr>
            <w:tcW w:type="dxa" w:w="3100"/>
            <w:shd w:fill="F2F2F2" w:color="F2F2F2" w:val="clear"/>
            <w:tcMar>
              <w:top w:type="dxa" w:w="100"/>
              <w:left w:type="dxa" w:w="100"/>
              <w:bottom w:type="dxa" w:w="100"/>
              <w:right w:type="dxa" w:w="100"/>
            </w:tcMar>
            <w:vAlign w:val="center"/>
          </w:tcPr>
          <w:p>
            <w:pPr>
              <w:spacing w:after="0" w:line="240"/>
              <w:jc w:val="center"/>
            </w:pPr>
            <w:r>
              <w:rPr>
                <w:rFonts w:ascii="Calibri" w:cs="Calibri" w:eastAsia="Calibri" w:hAnsi="Calibri"/>
                <w:b/>
                <w:bCs/>
                <w:color w:val="262626"/>
                <w:sz w:val="19"/>
                <w:szCs w:val="19"/>
              </w:rPr>
              <w:t xml:space="preserve">★★★☆☆</w:t>
            </w:r>
          </w:p>
        </w:tc>
      </w:tr>
      <w:tr>
        <w:tc>
          <w:tcPr>
            <w:tcW w:type="dxa" w:w="42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Ease of Maintenance</w:t>
            </w:r>
          </w:p>
        </w:tc>
        <w:tc>
          <w:tcPr>
            <w:tcW w:type="dxa" w:w="3100"/>
            <w:shd w:fill="FFFFFF" w:color="FFFFFF" w:val="clear"/>
            <w:tcMar>
              <w:top w:type="dxa" w:w="100"/>
              <w:left w:type="dxa" w:w="100"/>
              <w:bottom w:type="dxa" w:w="100"/>
              <w:right w:type="dxa" w:w="100"/>
            </w:tcMar>
            <w:vAlign w:val="center"/>
          </w:tcPr>
          <w:p>
            <w:pPr>
              <w:spacing w:after="0" w:line="240"/>
              <w:jc w:val="center"/>
            </w:pPr>
            <w:r>
              <w:rPr>
                <w:rFonts w:ascii="Calibri" w:cs="Calibri" w:eastAsia="Calibri" w:hAnsi="Calibri"/>
                <w:b/>
                <w:bCs/>
                <w:color w:val="262626"/>
                <w:sz w:val="19"/>
                <w:szCs w:val="19"/>
              </w:rPr>
              <w:t xml:space="preserve">★★☆☆☆</w:t>
            </w:r>
          </w:p>
        </w:tc>
        <w:tc>
          <w:tcPr>
            <w:tcW w:type="dxa" w:w="3100"/>
            <w:shd w:fill="FFFFFF" w:color="FFFFFF" w:val="clear"/>
            <w:tcMar>
              <w:top w:type="dxa" w:w="100"/>
              <w:left w:type="dxa" w:w="100"/>
              <w:bottom w:type="dxa" w:w="100"/>
              <w:right w:type="dxa" w:w="100"/>
            </w:tcMar>
            <w:vAlign w:val="center"/>
          </w:tcPr>
          <w:p>
            <w:pPr>
              <w:spacing w:after="0" w:line="240"/>
              <w:jc w:val="center"/>
            </w:pPr>
            <w:r>
              <w:rPr>
                <w:rFonts w:ascii="Calibri" w:cs="Calibri" w:eastAsia="Calibri" w:hAnsi="Calibri"/>
                <w:b/>
                <w:bCs/>
                <w:color w:val="262626"/>
                <w:sz w:val="19"/>
                <w:szCs w:val="19"/>
              </w:rPr>
              <w:t xml:space="preserve">★★★★☆</w:t>
            </w:r>
          </w:p>
        </w:tc>
      </w:tr>
      <w:tr>
        <w:tc>
          <w:tcPr>
            <w:tcW w:type="dxa" w:w="4200"/>
            <w:shd w:fill="F2F2F2" w:color="F2F2F2"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Governance &amp; Control</w:t>
            </w:r>
          </w:p>
        </w:tc>
        <w:tc>
          <w:tcPr>
            <w:tcW w:type="dxa" w:w="3100"/>
            <w:shd w:fill="F2F2F2" w:color="F2F2F2" w:val="clear"/>
            <w:tcMar>
              <w:top w:type="dxa" w:w="100"/>
              <w:left w:type="dxa" w:w="100"/>
              <w:bottom w:type="dxa" w:w="100"/>
              <w:right w:type="dxa" w:w="100"/>
            </w:tcMar>
            <w:vAlign w:val="center"/>
          </w:tcPr>
          <w:p>
            <w:pPr>
              <w:spacing w:after="0" w:line="240"/>
              <w:jc w:val="center"/>
            </w:pPr>
            <w:r>
              <w:rPr>
                <w:rFonts w:ascii="Calibri" w:cs="Calibri" w:eastAsia="Calibri" w:hAnsi="Calibri"/>
                <w:b/>
                <w:bCs/>
                <w:color w:val="262626"/>
                <w:sz w:val="19"/>
                <w:szCs w:val="19"/>
              </w:rPr>
              <w:t xml:space="preserve">★★★★★</w:t>
            </w:r>
          </w:p>
        </w:tc>
        <w:tc>
          <w:tcPr>
            <w:tcW w:type="dxa" w:w="3100"/>
            <w:shd w:fill="F2F2F2" w:color="F2F2F2" w:val="clear"/>
            <w:tcMar>
              <w:top w:type="dxa" w:w="100"/>
              <w:left w:type="dxa" w:w="100"/>
              <w:bottom w:type="dxa" w:w="100"/>
              <w:right w:type="dxa" w:w="100"/>
            </w:tcMar>
            <w:vAlign w:val="center"/>
          </w:tcPr>
          <w:p>
            <w:pPr>
              <w:spacing w:after="0" w:line="240"/>
              <w:jc w:val="center"/>
            </w:pPr>
            <w:r>
              <w:rPr>
                <w:rFonts w:ascii="Calibri" w:cs="Calibri" w:eastAsia="Calibri" w:hAnsi="Calibri"/>
                <w:b/>
                <w:bCs/>
                <w:color w:val="262626"/>
                <w:sz w:val="19"/>
                <w:szCs w:val="19"/>
              </w:rPr>
              <w:t xml:space="preserve">★★★☆☆</w:t>
            </w:r>
          </w:p>
        </w:tc>
      </w:tr>
      <w:tr>
        <w:tc>
          <w:tcPr>
            <w:tcW w:type="dxa" w:w="4200"/>
            <w:shd w:fill="FFFFFF" w:color="FFFFFF" w:val="clear"/>
            <w:tcMar>
              <w:top w:type="dxa" w:w="100"/>
              <w:left w:type="dxa" w:w="140"/>
              <w:bottom w:type="dxa" w:w="100"/>
              <w:right w:type="dxa" w:w="140"/>
            </w:tcMar>
            <w:vAlign w:val="center"/>
          </w:tcPr>
          <w:p>
            <w:pPr>
              <w:spacing w:after="0" w:line="240"/>
              <w:jc w:val="left"/>
            </w:pPr>
            <w:r>
              <w:rPr>
                <w:rFonts w:ascii="Calibri" w:cs="Calibri" w:eastAsia="Calibri" w:hAnsi="Calibri"/>
                <w:b/>
                <w:bCs/>
                <w:color w:val="1F3864"/>
                <w:sz w:val="18"/>
                <w:szCs w:val="18"/>
              </w:rPr>
              <w:t xml:space="preserve">Accessibility to Non-Devs</w:t>
            </w:r>
          </w:p>
        </w:tc>
        <w:tc>
          <w:tcPr>
            <w:tcW w:type="dxa" w:w="3100"/>
            <w:shd w:fill="FFFFFF" w:color="FFFFFF" w:val="clear"/>
            <w:tcMar>
              <w:top w:type="dxa" w:w="100"/>
              <w:left w:type="dxa" w:w="100"/>
              <w:bottom w:type="dxa" w:w="100"/>
              <w:right w:type="dxa" w:w="100"/>
            </w:tcMar>
            <w:vAlign w:val="center"/>
          </w:tcPr>
          <w:p>
            <w:pPr>
              <w:spacing w:after="0" w:line="240"/>
              <w:jc w:val="center"/>
            </w:pPr>
            <w:r>
              <w:rPr>
                <w:rFonts w:ascii="Calibri" w:cs="Calibri" w:eastAsia="Calibri" w:hAnsi="Calibri"/>
                <w:b/>
                <w:bCs/>
                <w:color w:val="262626"/>
                <w:sz w:val="19"/>
                <w:szCs w:val="19"/>
              </w:rPr>
              <w:t xml:space="preserve">★☆☆☆☆</w:t>
            </w:r>
          </w:p>
        </w:tc>
        <w:tc>
          <w:tcPr>
            <w:tcW w:type="dxa" w:w="3100"/>
            <w:shd w:fill="FFFFFF" w:color="FFFFFF" w:val="clear"/>
            <w:tcMar>
              <w:top w:type="dxa" w:w="100"/>
              <w:left w:type="dxa" w:w="100"/>
              <w:bottom w:type="dxa" w:w="100"/>
              <w:right w:type="dxa" w:w="100"/>
            </w:tcMar>
            <w:vAlign w:val="center"/>
          </w:tcPr>
          <w:p>
            <w:pPr>
              <w:spacing w:after="0" w:line="240"/>
              <w:jc w:val="center"/>
            </w:pPr>
            <w:r>
              <w:rPr>
                <w:rFonts w:ascii="Calibri" w:cs="Calibri" w:eastAsia="Calibri" w:hAnsi="Calibri"/>
                <w:b/>
                <w:bCs/>
                <w:color w:val="262626"/>
                <w:sz w:val="19"/>
                <w:szCs w:val="19"/>
              </w:rPr>
              <w:t xml:space="preserve">★★★★★</w:t>
            </w:r>
          </w:p>
        </w:tc>
      </w:tr>
    </w:tbl>
    <w:p>
      <w:pPr>
        <w:spacing w:after="100" w:before="260"/>
      </w:pPr>
    </w:p>
    <w:p>
      <w:pPr>
        <w:spacing w:after="100" w:before="200"/>
      </w:pPr>
      <w:r>
        <w:rPr>
          <w:rFonts w:ascii="Calibri" w:cs="Calibri" w:eastAsia="Calibri" w:hAnsi="Calibri"/>
          <w:b/>
          <w:bCs/>
          <w:color w:val="0F7A6E"/>
          <w:sz w:val="24"/>
          <w:szCs w:val="24"/>
        </w:rPr>
        <w:t xml:space="preserve">Bottom Line</w:t>
      </w:r>
    </w:p>
    <w:p>
      <w:pPr>
        <w:spacing w:after="160" w:line="276"/>
      </w:pPr>
      <w:r>
        <w:rPr>
          <w:rFonts w:ascii="Calibri" w:cs="Calibri" w:eastAsia="Calibri" w:hAnsi="Calibri"/>
          <w:i w:val="false"/>
          <w:iCs w:val="false"/>
          <w:color w:val="262626"/>
          <w:sz w:val="21"/>
          <w:szCs w:val="21"/>
        </w:rPr>
        <w:t xml:space="preserve">Neither approach is universally superior — they trade off speed and accessibility against control and ceiling. Traditional development remains the right call for systems that are core to competitive advantage, demand extreme performance, or must be fully owned end-to-end. Low-code platforms are the right call when speed, cost predictability, and empowering non-engineers to ship matter more than unlimited customization.</w:t>
      </w:r>
    </w:p>
    <w:p>
      <w:pPr>
        <w:spacing w:after="260" w:line="276"/>
      </w:pPr>
      <w:r>
        <w:rPr>
          <w:rFonts w:ascii="Calibri" w:cs="Calibri" w:eastAsia="Calibri" w:hAnsi="Calibri"/>
          <w:i w:val="false"/>
          <w:iCs w:val="false"/>
          <w:color w:val="262626"/>
          <w:sz w:val="21"/>
          <w:szCs w:val="21"/>
        </w:rPr>
        <w:t xml:space="preserve">For most organizations, the pragmatic answer is a portfolio strategy: reserve engineering talent for the systems that differentiate the business, and let low-code absorb the high volume of internal, process-driven applications that would otherwise sit in a backlog. Revisit the decision per-project, not once — the right tool depends on what that specific application needs to become.</w:t>
      </w:r>
    </w:p>
    <w:p>
      <w:pPr>
        <w:pBdr>
          <w:top w:val="single" w:color="BFBFBF" w:sz="4" w:space="8"/>
        </w:pBdr>
        <w:spacing w:before="200"/>
      </w:pPr>
    </w:p>
    <w:p>
      <w:pPr>
        <w:spacing w:before="120"/>
      </w:pPr>
      <w:r>
        <w:rPr>
          <w:rFonts w:ascii="Calibri" w:cs="Calibri" w:eastAsia="Calibri" w:hAnsi="Calibri"/>
          <w:i/>
          <w:iCs/>
          <w:color w:val="595959"/>
          <w:sz w:val="18"/>
          <w:szCs w:val="18"/>
        </w:rPr>
        <w:t xml:space="preserve">End of Report</w:t>
      </w:r>
    </w:p>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spacing w:before="100"/>
    </w:pPr>
    <w:r>
      <w:rPr>
        <w:rFonts w:ascii="Calibri" w:cs="Calibri" w:eastAsia="Calibri" w:hAnsi="Calibri"/>
        <w:color w:val="595959"/>
        <w:sz w:val="15"/>
        <w:szCs w:val="15"/>
      </w:rPr>
      <w:t xml:space="preserve">Traditional vs Low-Code Platforms</w:t>
    </w:r>
    <w:r>
      <w:rPr>
        <w:rFonts w:ascii="Calibri" w:cs="Calibri" w:eastAsia="Calibri" w:hAnsi="Calibri"/>
      </w:rPr>
      <w:t xml:space="preserve">	</w:t>
    </w: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595959"/>
        <w:spacing w:val="20"/>
        <w:sz w:val="15"/>
        <w:szCs w:val="15"/>
      </w:rPr>
      <w:t xml:space="preserve">COMPARATIVE ANALYSIS</w:t>
    </w:r>
    <w:r>
      <w:rPr>
        <w:rFonts w:ascii="Calibri" w:cs="Calibri" w:eastAsia="Calibri" w:hAnsi="Calibri"/>
      </w:rPr>
      <w:t xml:space="preserve">	</w:t>
    </w:r>
    <w:r>
      <w:rPr>
        <w:rFonts w:ascii="Calibri" w:cs="Calibri" w:eastAsia="Calibri" w:hAnsi="Calibri"/>
        <w:color w:val="595959"/>
        <w:sz w:val="15"/>
        <w:szCs w:val="15"/>
      </w:rPr>
      <w:t xml:space="preserve">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2026-07-28T04:26:40.559Z</dcterms:created>
  <dcterms:modified xsi:type="dcterms:W3CDTF">2026-07-28T04:26:40.572Z</dcterms:modified>
</cp:coreProperties>
</file>

<file path=docProps/custom.xml><?xml version="1.0" encoding="utf-8"?>
<Properties xmlns="http://schemas.openxmlformats.org/officeDocument/2006/custom-properties" xmlns:vt="http://schemas.openxmlformats.org/officeDocument/2006/docPropsVTypes"/>
</file>