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905" w:dyaOrig="4770">
          <v:rect xmlns:o="urn:schemas-microsoft-com:office:office" xmlns:v="urn:schemas-microsoft-com:vml" id="rectole0000000000" style="width:395.250000pt;height:238.5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upon what architecture you are planning to use there are various different architectures used for providing a strong base for your software. These architectures include: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815" w:dyaOrig="3300">
          <v:rect xmlns:o="urn:schemas-microsoft-com:office:office" xmlns:v="urn:schemas-microsoft-com:vml" id="rectole0000000001" style="width:390.750000pt;height:165.0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503" w:dyaOrig="6459">
          <v:rect xmlns:o="urn:schemas-microsoft-com:office:office" xmlns:v="urn:schemas-microsoft-com:vml" id="rectole0000000002" style="width:425.150000pt;height:322.9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159" w:dyaOrig="3259">
          <v:rect xmlns:o="urn:schemas-microsoft-com:office:office" xmlns:v="urn:schemas-microsoft-com:vml" id="rectole0000000003" style="width:407.950000pt;height:162.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260" w:dyaOrig="3725">
          <v:rect xmlns:o="urn:schemas-microsoft-com:office:office" xmlns:v="urn:schemas-microsoft-com:vml" id="rectole0000000004" style="width:413.000000pt;height:186.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