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2942"/>
          <w:sz w:val="40"/>
        </w:rPr>
        <w:t>COMMERCIAL CLIENT PROPOSAL</w:t>
      </w:r>
    </w:p>
    <w:p>
      <w:pPr>
        <w:spacing w:before="0" w:after="240"/>
      </w:pPr>
      <w:r>
        <w:rPr>
          <w:rFonts w:ascii="Calibri" w:hAnsi="Calibri"/>
          <w:color w:val="64748B"/>
          <w:sz w:val="22"/>
        </w:rPr>
        <w:t>Custom Management Platform for Venture Visionary Visa &amp; Business Consultancy (Qatar)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3312"/>
            <w:shd w:fill="F8FAFC"/>
            <w:tcMar>
              <w:top w:w="100" w:type="dxa"/>
              <w:bottom w:w="100" w:type="dxa"/>
              <w:left w:w="120" w:type="dxa"/>
              <w:right w:w="120" w:type="dxa"/>
            </w:tcMar>
          </w:tcPr>
          <w:p>
            <w:pPr>
              <w:spacing w:before="0" w:after="0"/>
            </w:pPr>
            <w:r>
              <w:rPr>
                <w:rFonts w:ascii="Calibri" w:hAnsi="Calibri"/>
                <w:b/>
                <w:color w:val="0F2942"/>
                <w:sz w:val="18"/>
              </w:rPr>
              <w:t>Client Name:</w:t>
            </w:r>
            <w:r>
              <w:rPr>
                <w:rFonts w:ascii="Calibri" w:hAnsi="Calibri"/>
                <w:color w:val="1E293B"/>
                <w:sz w:val="18"/>
              </w:rPr>
              <w:t xml:space="preserve"> Venture Visionary Consultancy</w:t>
            </w:r>
          </w:p>
        </w:tc>
        <w:tc>
          <w:tcPr>
            <w:tcW w:type="dxa" w:w="3744"/>
            <w:shd w:fill="F8FAFC"/>
            <w:tcMar>
              <w:top w:w="100" w:type="dxa"/>
              <w:bottom w:w="100" w:type="dxa"/>
              <w:left w:w="120" w:type="dxa"/>
              <w:right w:w="120" w:type="dxa"/>
            </w:tcMar>
          </w:tcPr>
          <w:p>
            <w:pPr>
              <w:spacing w:before="0" w:after="0"/>
            </w:pPr>
            <w:r>
              <w:rPr>
                <w:rFonts w:ascii="Calibri" w:hAnsi="Calibri"/>
                <w:b/>
                <w:color w:val="0F2942"/>
                <w:sz w:val="18"/>
              </w:rPr>
              <w:t>Prepared For:</w:t>
            </w:r>
            <w:r>
              <w:rPr>
                <w:rFonts w:ascii="Calibri" w:hAnsi="Calibri"/>
                <w:color w:val="1E293B"/>
                <w:sz w:val="18"/>
              </w:rPr>
              <w:t xml:space="preserve"> Executive Management, Qatar</w:t>
            </w:r>
          </w:p>
        </w:tc>
        <w:tc>
          <w:tcPr>
            <w:tcW w:type="dxa" w:w="3024"/>
            <w:shd w:fill="F8FAFC"/>
            <w:tcMar>
              <w:top w:w="100" w:type="dxa"/>
              <w:bottom w:w="100" w:type="dxa"/>
              <w:left w:w="120" w:type="dxa"/>
              <w:right w:w="120" w:type="dxa"/>
            </w:tcMar>
          </w:tcPr>
          <w:p>
            <w:pPr>
              <w:spacing w:before="0" w:after="0"/>
            </w:pPr>
            <w:r>
              <w:rPr>
                <w:rFonts w:ascii="Calibri" w:hAnsi="Calibri"/>
                <w:b/>
                <w:color w:val="0F2942"/>
                <w:sz w:val="18"/>
              </w:rPr>
              <w:t>Date:</w:t>
            </w:r>
            <w:r>
              <w:rPr>
                <w:rFonts w:ascii="Calibri" w:hAnsi="Calibri"/>
                <w:color w:val="1E293B"/>
                <w:sz w:val="18"/>
              </w:rPr>
              <w:t xml:space="preserve"> October 2026</w:t>
            </w:r>
          </w:p>
        </w:tc>
      </w:tr>
      <w:tr>
        <w:tc>
          <w:tcPr>
            <w:tcW w:type="dxa" w:w="3312"/>
            <w:shd w:fill="F8FAFC"/>
            <w:tcMar>
              <w:top w:w="100" w:type="dxa"/>
              <w:bottom w:w="100" w:type="dxa"/>
              <w:left w:w="120" w:type="dxa"/>
              <w:right w:w="120" w:type="dxa"/>
            </w:tcMar>
          </w:tcPr>
          <w:p>
            <w:pPr>
              <w:spacing w:before="0" w:after="0"/>
            </w:pPr>
            <w:r>
              <w:rPr>
                <w:rFonts w:ascii="Calibri" w:hAnsi="Calibri"/>
                <w:b/>
                <w:color w:val="0F2942"/>
                <w:sz w:val="18"/>
              </w:rPr>
              <w:t>Project:</w:t>
            </w:r>
            <w:r>
              <w:rPr>
                <w:rFonts w:ascii="Calibri" w:hAnsi="Calibri"/>
                <w:color w:val="1E293B"/>
                <w:sz w:val="18"/>
              </w:rPr>
              <w:t xml:space="preserve"> Centralized Visa CRM &amp; Portals</w:t>
            </w:r>
          </w:p>
        </w:tc>
        <w:tc>
          <w:tcPr>
            <w:tcW w:type="dxa" w:w="3744"/>
            <w:shd w:fill="F8FAFC"/>
            <w:tcMar>
              <w:top w:w="100" w:type="dxa"/>
              <w:bottom w:w="100" w:type="dxa"/>
              <w:left w:w="120" w:type="dxa"/>
              <w:right w:w="120" w:type="dxa"/>
            </w:tcMar>
          </w:tcPr>
          <w:p>
            <w:pPr>
              <w:spacing w:before="0" w:after="0"/>
            </w:pPr>
            <w:r>
              <w:rPr>
                <w:rFonts w:ascii="Calibri" w:hAnsi="Calibri"/>
                <w:b/>
                <w:color w:val="0F2942"/>
                <w:sz w:val="18"/>
              </w:rPr>
              <w:t>Pricing Structure:</w:t>
            </w:r>
            <w:r>
              <w:rPr>
                <w:rFonts w:ascii="Calibri" w:hAnsi="Calibri"/>
                <w:color w:val="1E293B"/>
                <w:sz w:val="18"/>
              </w:rPr>
              <w:t xml:space="preserve"> 3 Commercial Options (TCO Analyzed)</w:t>
            </w:r>
          </w:p>
        </w:tc>
        <w:tc>
          <w:tcPr>
            <w:tcW w:type="dxa" w:w="3024"/>
            <w:shd w:fill="F8FAFC"/>
            <w:tcMar>
              <w:top w:w="100" w:type="dxa"/>
              <w:bottom w:w="100" w:type="dxa"/>
              <w:left w:w="120" w:type="dxa"/>
              <w:right w:w="120" w:type="dxa"/>
            </w:tcMar>
          </w:tcPr>
          <w:p>
            <w:pPr>
              <w:spacing w:before="0" w:after="0"/>
            </w:pPr>
            <w:r>
              <w:rPr>
                <w:rFonts w:ascii="Calibri" w:hAnsi="Calibri"/>
                <w:b/>
                <w:color w:val="0F2942"/>
                <w:sz w:val="18"/>
              </w:rPr>
              <w:t>Currency:</w:t>
            </w:r>
            <w:r>
              <w:rPr>
                <w:rFonts w:ascii="Calibri" w:hAnsi="Calibri"/>
                <w:color w:val="1E293B"/>
                <w:sz w:val="18"/>
              </w:rPr>
              <w:t xml:space="preserve"> BDT (Bangladeshi Taka)</w:t>
            </w:r>
          </w:p>
        </w:tc>
      </w:tr>
    </w:tbl>
    <w:p>
      <w:pPr>
        <w:keepNext/>
        <w:spacing w:before="280" w:after="80"/>
      </w:pPr>
      <w:r>
        <w:rPr>
          <w:rFonts w:ascii="Calibri" w:hAnsi="Calibri"/>
          <w:b/>
          <w:color w:val="0F2942"/>
          <w:sz w:val="26"/>
        </w:rPr>
        <w:t>1. EXECUTIVE SUMMARY &amp; BUSINESS VALUE</w:t>
      </w:r>
    </w:p>
    <w:p>
      <w:pPr>
        <w:spacing w:before="0" w:after="80" w:line="276" w:lineRule="auto"/>
      </w:pPr>
      <w:r>
        <w:rPr>
          <w:rFonts w:ascii="Calibri" w:hAnsi="Calibri"/>
          <w:i w:val="0"/>
          <w:color w:val="1E293B"/>
          <w:sz w:val="20"/>
        </w:rPr>
        <w:t>This commercial proposal presents the complete plan to build and deploy a dedicated management system for Venture Visionary Visa &amp; Business Consultancy in Qatar. The system replaces fragmented spreadsheets, manual WhatsApp tracking, and scattered emails with a single unified operational hub tailored specifically to your visa consulting and business setup workflows.</w:t>
      </w:r>
    </w:p>
    <w:p>
      <w:pPr>
        <w:spacing w:before="0" w:after="80" w:line="276" w:lineRule="auto"/>
      </w:pPr>
      <w:r>
        <w:rPr>
          <w:rFonts w:ascii="Calibri" w:hAnsi="Calibri"/>
          <w:b/>
          <w:color w:val="1E293B"/>
          <w:sz w:val="20"/>
        </w:rPr>
        <w:t xml:space="preserve">Direct Business Impact: </w:t>
      </w:r>
      <w:r>
        <w:rPr>
          <w:rFonts w:ascii="Calibri" w:hAnsi="Calibri"/>
          <w:i w:val="0"/>
          <w:color w:val="1E293B"/>
          <w:sz w:val="20"/>
        </w:rPr>
        <w:t>Key Business Problems Solved by the Platform:</w:t>
      </w:r>
    </w:p>
    <w:p>
      <w:pPr>
        <w:pStyle w:val="ListBullet"/>
        <w:spacing w:before="0" w:after="60" w:line="276" w:lineRule="auto"/>
      </w:pPr>
      <w:r>
        <w:rPr>
          <w:rFonts w:ascii="Calibri" w:hAnsi="Calibri"/>
          <w:b/>
          <w:color w:val="1E293B"/>
          <w:sz w:val="20"/>
        </w:rPr>
        <w:t xml:space="preserve">Stop Losing Inbound Leads: </w:t>
      </w:r>
      <w:r>
        <w:rPr>
          <w:rFonts w:ascii="Calibri" w:hAnsi="Calibri"/>
          <w:color w:val="1E293B"/>
          <w:sz w:val="20"/>
        </w:rPr>
        <w:t>All customer inquiries from WhatsApp, Facebook Ads, Instagram, your website, and office visits flow automatically into one central team inbox with instant staff assignment.</w:t>
      </w:r>
    </w:p>
    <w:p>
      <w:pPr>
        <w:pStyle w:val="ListBullet"/>
        <w:spacing w:before="0" w:after="60" w:line="276" w:lineRule="auto"/>
      </w:pPr>
      <w:r>
        <w:rPr>
          <w:rFonts w:ascii="Calibri" w:hAnsi="Calibri"/>
          <w:b/>
          <w:color w:val="1E293B"/>
          <w:sz w:val="20"/>
        </w:rPr>
        <w:t xml:space="preserve">Eliminate Manual Document Mistakes: </w:t>
      </w:r>
      <w:r>
        <w:rPr>
          <w:rFonts w:ascii="Calibri" w:hAnsi="Calibri"/>
          <w:color w:val="1E293B"/>
          <w:sz w:val="20"/>
        </w:rPr>
        <w:t>Instant dynamic checklists for 193 destination countries and Qatar resident categories ensure your staff never submit incomplete files or expired passports/QIDs.</w:t>
      </w:r>
    </w:p>
    <w:p>
      <w:pPr>
        <w:pStyle w:val="ListBullet"/>
        <w:spacing w:before="0" w:after="60" w:line="276" w:lineRule="auto"/>
      </w:pPr>
      <w:r>
        <w:rPr>
          <w:rFonts w:ascii="Calibri" w:hAnsi="Calibri"/>
          <w:b/>
          <w:color w:val="1E293B"/>
          <w:sz w:val="20"/>
        </w:rPr>
        <w:t xml:space="preserve">Stop Repetitive Client Phone Inquiries: </w:t>
      </w:r>
      <w:r>
        <w:rPr>
          <w:rFonts w:ascii="Calibri" w:hAnsi="Calibri"/>
          <w:color w:val="1E293B"/>
          <w:sz w:val="20"/>
        </w:rPr>
        <w:t>Clients receive their own 24/7 online tracking portal where they can check their application status, upload requested documents, and download approved visas directly from their phone.</w:t>
      </w:r>
    </w:p>
    <w:p>
      <w:pPr>
        <w:pStyle w:val="ListBullet"/>
        <w:spacing w:before="0" w:after="60" w:line="276" w:lineRule="auto"/>
      </w:pPr>
      <w:r>
        <w:rPr>
          <w:rFonts w:ascii="Calibri" w:hAnsi="Calibri"/>
          <w:b/>
          <w:color w:val="1E293B"/>
          <w:sz w:val="20"/>
        </w:rPr>
        <w:t xml:space="preserve">Streamline B2B Sub-Agents &amp; Travel Partners: </w:t>
      </w:r>
      <w:r>
        <w:rPr>
          <w:rFonts w:ascii="Calibri" w:hAnsi="Calibri"/>
          <w:color w:val="1E293B"/>
          <w:sz w:val="20"/>
        </w:rPr>
        <w:t>Partner agencies get a secure portal to submit client files, view negotiated wholesale net rates, and track prepaid wallet balances or credit limits.</w:t>
      </w:r>
    </w:p>
    <w:p>
      <w:pPr>
        <w:pStyle w:val="ListBullet"/>
        <w:spacing w:before="0" w:after="60" w:line="276" w:lineRule="auto"/>
      </w:pPr>
      <w:r>
        <w:rPr>
          <w:rFonts w:ascii="Calibri" w:hAnsi="Calibri"/>
          <w:b/>
          <w:color w:val="1E293B"/>
          <w:sz w:val="20"/>
        </w:rPr>
        <w:t xml:space="preserve">Track Real Profits Per Case: </w:t>
      </w:r>
      <w:r>
        <w:rPr>
          <w:rFonts w:ascii="Calibri" w:hAnsi="Calibri"/>
          <w:color w:val="1E293B"/>
          <w:sz w:val="20"/>
        </w:rPr>
        <w:t>Quickly generate professional itemized invoices showing embassy fees, biometric fees, and your consultancy fee, with real-time profit margin tracking for management.</w:t>
      </w:r>
    </w:p>
    <w:p>
      <w:pPr>
        <w:keepNext/>
        <w:spacing w:before="280" w:after="80"/>
      </w:pPr>
      <w:r>
        <w:rPr>
          <w:rFonts w:ascii="Calibri" w:hAnsi="Calibri"/>
          <w:b/>
          <w:color w:val="0F2942"/>
          <w:sz w:val="26"/>
        </w:rPr>
        <w:t>2. CORE SYSTEM DELIVERABLES (WHAT WE BUILD FOR YOU)</w:t>
      </w:r>
    </w:p>
    <w:p>
      <w:pPr>
        <w:spacing w:before="0" w:after="80" w:line="276" w:lineRule="auto"/>
      </w:pPr>
      <w:r>
        <w:rPr>
          <w:rFonts w:ascii="Calibri" w:hAnsi="Calibri"/>
          <w:i w:val="0"/>
          <w:color w:val="1E293B"/>
          <w:sz w:val="20"/>
        </w:rPr>
        <w:t>The custom platform provides 5 primary functional hubs designed to run your day-to-day operations seamlessly:</w:t>
      </w:r>
    </w:p>
    <w:p>
      <w:pPr>
        <w:pStyle w:val="ListBullet"/>
        <w:spacing w:before="0" w:after="60" w:line="276" w:lineRule="auto"/>
      </w:pPr>
      <w:r>
        <w:rPr>
          <w:rFonts w:ascii="Calibri" w:hAnsi="Calibri"/>
          <w:b/>
          <w:color w:val="1E293B"/>
          <w:sz w:val="20"/>
        </w:rPr>
        <w:t xml:space="preserve">1. Central Staff Operations &amp; CRM Hub: </w:t>
      </w:r>
      <w:r>
        <w:rPr>
          <w:rFonts w:ascii="Calibri" w:hAnsi="Calibri"/>
          <w:color w:val="1E293B"/>
          <w:sz w:val="20"/>
        </w:rPr>
        <w:t>Centralized lead intake, automated lead assignment to sales officers (Round Robin), client 360 database, 193-country visa master requirements, document quality control (QC) verification, and step-by-step visa case lifecycle management.</w:t>
      </w:r>
    </w:p>
    <w:p>
      <w:pPr>
        <w:pStyle w:val="ListBullet"/>
        <w:spacing w:before="0" w:after="60" w:line="276" w:lineRule="auto"/>
      </w:pPr>
      <w:r>
        <w:rPr>
          <w:rFonts w:ascii="Calibri" w:hAnsi="Calibri"/>
          <w:b/>
          <w:color w:val="1E293B"/>
          <w:sz w:val="20"/>
        </w:rPr>
        <w:t xml:space="preserve">2. Client Self-Service Tracking Portal: </w:t>
      </w:r>
      <w:r>
        <w:rPr>
          <w:rFonts w:ascii="Calibri" w:hAnsi="Calibri"/>
          <w:color w:val="1E293B"/>
          <w:sz w:val="20"/>
        </w:rPr>
        <w:t>A secure, mobile-friendly portal where your applicants log in via their phone number to view their live application progress, upload missing documents, and download completed forms and receipts. Internal staff notes remain 100% private.</w:t>
      </w:r>
    </w:p>
    <w:p>
      <w:pPr>
        <w:pStyle w:val="ListBullet"/>
        <w:spacing w:before="0" w:after="60" w:line="276" w:lineRule="auto"/>
      </w:pPr>
      <w:r>
        <w:rPr>
          <w:rFonts w:ascii="Calibri" w:hAnsi="Calibri"/>
          <w:b/>
          <w:color w:val="1E293B"/>
          <w:sz w:val="20"/>
        </w:rPr>
        <w:t xml:space="preserve">3. B2B Travel Partner &amp; Affiliate Portal: </w:t>
      </w:r>
      <w:r>
        <w:rPr>
          <w:rFonts w:ascii="Calibri" w:hAnsi="Calibri"/>
          <w:color w:val="1E293B"/>
          <w:sz w:val="20"/>
        </w:rPr>
        <w:t>A dedicated login for external travel agencies and corporate partners to submit visa cases, view negotiated net prices, track submitted files, and manage their assigned credit limit.</w:t>
      </w:r>
    </w:p>
    <w:p>
      <w:pPr>
        <w:pStyle w:val="ListBullet"/>
        <w:spacing w:before="0" w:after="60" w:line="276" w:lineRule="auto"/>
      </w:pPr>
      <w:r>
        <w:rPr>
          <w:rFonts w:ascii="Calibri" w:hAnsi="Calibri"/>
          <w:b/>
          <w:color w:val="1E293B"/>
          <w:sz w:val="20"/>
        </w:rPr>
        <w:t xml:space="preserve">4. Quotation, Invoicing &amp; Financial Ledger: </w:t>
      </w:r>
      <w:r>
        <w:rPr>
          <w:rFonts w:ascii="Calibri" w:hAnsi="Calibri"/>
          <w:color w:val="1E293B"/>
          <w:sz w:val="20"/>
        </w:rPr>
        <w:t>Instant generation of professional branded PDF quotations and invoices in multiple currencies. Automatically splits government embassy fees from consultancy fees and tracks profit margins per case.</w:t>
      </w:r>
    </w:p>
    <w:p>
      <w:pPr>
        <w:pStyle w:val="ListBullet"/>
        <w:spacing w:before="0" w:after="60" w:line="276" w:lineRule="auto"/>
      </w:pPr>
      <w:r>
        <w:rPr>
          <w:rFonts w:ascii="Calibri" w:hAnsi="Calibri"/>
          <w:b/>
          <w:color w:val="1E293B"/>
          <w:sz w:val="20"/>
        </w:rPr>
        <w:t xml:space="preserve">5. Executive Management Dashboard: </w:t>
      </w:r>
      <w:r>
        <w:rPr>
          <w:rFonts w:ascii="Calibri" w:hAnsi="Calibri"/>
          <w:color w:val="1E293B"/>
          <w:sz w:val="20"/>
        </w:rPr>
        <w:t>A real-time overview for business owners and managers showing daily active leads, ongoing visa files, monthly revenue, pending staff tasks, and downloadable performance reports.</w:t>
      </w:r>
    </w:p>
    <w:p>
      <w:pPr>
        <w:keepNext/>
        <w:spacing w:before="280" w:after="80"/>
      </w:pPr>
      <w:r>
        <w:rPr>
          <w:rFonts w:ascii="Calibri" w:hAnsi="Calibri"/>
          <w:b/>
          <w:color w:val="0F2942"/>
          <w:sz w:val="26"/>
        </w:rPr>
        <w:t>3. COMMERCIAL OPTIONS &amp; TOTAL FIRST-YEAR COST ANALYSIS</w:t>
      </w:r>
    </w:p>
    <w:p>
      <w:pPr>
        <w:spacing w:before="0" w:after="80" w:line="276" w:lineRule="auto"/>
      </w:pPr>
      <w:r>
        <w:rPr>
          <w:rFonts w:ascii="Calibri" w:hAnsi="Calibri"/>
          <w:i w:val="0"/>
          <w:color w:val="1E293B"/>
          <w:sz w:val="20"/>
        </w:rPr>
        <w:t>To provide full commercial transparency, we present three straightforward options. Notably, when our agency bundles and manages the infrastructure (Option B), your total first-year cost is significantly lower than procuring retail vendor accounts on your own (Option 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c>
          <w:tcPr>
            <w:tcW w:type="dxa" w:w="3168"/>
            <w:shd w:fill="0F2942"/>
            <w:tcMar>
              <w:top w:w="100" w:type="dxa"/>
              <w:bottom w:w="100" w:type="dxa"/>
              <w:left w:w="90" w:type="dxa"/>
              <w:right w:w="90" w:type="dxa"/>
            </w:tcMar>
          </w:tcPr>
          <w:p>
            <w:pPr>
              <w:spacing w:before="0" w:after="0"/>
            </w:pPr>
            <w:r>
              <w:rPr>
                <w:rFonts w:ascii="Calibri" w:hAnsi="Calibri"/>
                <w:b/>
                <w:color w:val="FFFFFF"/>
                <w:sz w:val="18"/>
              </w:rPr>
              <w:t>Option</w:t>
            </w:r>
          </w:p>
        </w:tc>
        <w:tc>
          <w:tcPr>
            <w:tcW w:type="dxa" w:w="2160"/>
            <w:shd w:fill="0F2942"/>
            <w:tcMar>
              <w:top w:w="100" w:type="dxa"/>
              <w:bottom w:w="100" w:type="dxa"/>
              <w:left w:w="90" w:type="dxa"/>
              <w:right w:w="90" w:type="dxa"/>
            </w:tcMar>
          </w:tcPr>
          <w:p>
            <w:pPr>
              <w:spacing w:before="0" w:after="0"/>
            </w:pPr>
            <w:r>
              <w:rPr>
                <w:rFonts w:ascii="Calibri" w:hAnsi="Calibri"/>
                <w:b/>
                <w:color w:val="FFFFFF"/>
                <w:sz w:val="18"/>
              </w:rPr>
              <w:t>Paid to Development Team</w:t>
            </w:r>
          </w:p>
        </w:tc>
        <w:tc>
          <w:tcPr>
            <w:tcW w:type="dxa" w:w="2304"/>
            <w:shd w:fill="0F2942"/>
            <w:tcMar>
              <w:top w:w="100" w:type="dxa"/>
              <w:bottom w:w="100" w:type="dxa"/>
              <w:left w:w="90" w:type="dxa"/>
              <w:right w:w="90" w:type="dxa"/>
            </w:tcMar>
          </w:tcPr>
          <w:p>
            <w:pPr>
              <w:spacing w:before="0" w:after="0"/>
            </w:pPr>
            <w:r>
              <w:rPr>
                <w:rFonts w:ascii="Calibri" w:hAnsi="Calibri"/>
                <w:b/>
                <w:color w:val="FFFFFF"/>
                <w:sz w:val="18"/>
              </w:rPr>
              <w:t>Third-Party Tools / APIs</w:t>
            </w:r>
          </w:p>
        </w:tc>
        <w:tc>
          <w:tcPr>
            <w:tcW w:type="dxa" w:w="2448"/>
            <w:shd w:fill="0F2942"/>
            <w:tcMar>
              <w:top w:w="100" w:type="dxa"/>
              <w:bottom w:w="100" w:type="dxa"/>
              <w:left w:w="90" w:type="dxa"/>
              <w:right w:w="90" w:type="dxa"/>
            </w:tcMar>
          </w:tcPr>
          <w:p>
            <w:pPr>
              <w:spacing w:before="0" w:after="0"/>
            </w:pPr>
            <w:r>
              <w:rPr>
                <w:rFonts w:ascii="Calibri" w:hAnsi="Calibri"/>
                <w:b/>
                <w:color w:val="FFFFFF"/>
                <w:sz w:val="18"/>
              </w:rPr>
              <w:t>Total First-Year Cost to Venture Visionary</w:t>
            </w:r>
          </w:p>
        </w:tc>
      </w:tr>
      <w:tr>
        <w:tc>
          <w:tcPr>
            <w:tcW w:type="dxa" w:w="3168"/>
            <w:shd w:fill="FFFFFF"/>
            <w:tcMar>
              <w:top w:w="90" w:type="dxa"/>
              <w:bottom w:w="90" w:type="dxa"/>
              <w:left w:w="90" w:type="dxa"/>
              <w:right w:w="90" w:type="dxa"/>
            </w:tcMar>
          </w:tcPr>
          <w:p>
            <w:pPr>
              <w:spacing w:before="0" w:after="0"/>
            </w:pPr>
            <w:r>
              <w:rPr>
                <w:rFonts w:ascii="Calibri" w:hAnsi="Calibri"/>
                <w:b/>
                <w:color w:val="1E293B"/>
                <w:sz w:val="17"/>
              </w:rPr>
              <w:t>Option A: Pure Development</w:t>
            </w:r>
          </w:p>
        </w:tc>
        <w:tc>
          <w:tcPr>
            <w:tcW w:type="dxa" w:w="2160"/>
            <w:shd w:fill="FFFFFF"/>
            <w:tcMar>
              <w:top w:w="90" w:type="dxa"/>
              <w:bottom w:w="90" w:type="dxa"/>
              <w:left w:w="90" w:type="dxa"/>
              <w:right w:w="90" w:type="dxa"/>
            </w:tcMar>
          </w:tcPr>
          <w:p>
            <w:pPr>
              <w:spacing w:before="0" w:after="0"/>
            </w:pPr>
            <w:r>
              <w:rPr>
                <w:rFonts w:ascii="Calibri" w:hAnsi="Calibri"/>
                <w:color w:val="1E293B"/>
                <w:sz w:val="17"/>
              </w:rPr>
              <w:t>BDT 1,80,000</w:t>
            </w:r>
          </w:p>
        </w:tc>
        <w:tc>
          <w:tcPr>
            <w:tcW w:type="dxa" w:w="2304"/>
            <w:shd w:fill="FFFFFF"/>
            <w:tcMar>
              <w:top w:w="90" w:type="dxa"/>
              <w:bottom w:w="90" w:type="dxa"/>
              <w:left w:w="90" w:type="dxa"/>
              <w:right w:w="90" w:type="dxa"/>
            </w:tcMar>
          </w:tcPr>
          <w:p>
            <w:pPr>
              <w:spacing w:before="0" w:after="0"/>
            </w:pPr>
            <w:r>
              <w:rPr>
                <w:rFonts w:ascii="Calibri" w:hAnsi="Calibri"/>
                <w:color w:val="1E293B"/>
                <w:sz w:val="17"/>
              </w:rPr>
              <w:t>Client provides &amp; pays own servers/APIs</w:t>
            </w:r>
          </w:p>
        </w:tc>
        <w:tc>
          <w:tcPr>
            <w:tcW w:type="dxa" w:w="2448"/>
            <w:shd w:fill="FFFFFF"/>
            <w:tcMar>
              <w:top w:w="90" w:type="dxa"/>
              <w:bottom w:w="90" w:type="dxa"/>
              <w:left w:w="90" w:type="dxa"/>
              <w:right w:w="90" w:type="dxa"/>
            </w:tcMar>
          </w:tcPr>
          <w:p>
            <w:pPr>
              <w:spacing w:before="0" w:after="0"/>
            </w:pPr>
            <w:r>
              <w:rPr>
                <w:rFonts w:ascii="Calibri" w:hAnsi="Calibri"/>
                <w:color w:val="1E293B"/>
                <w:sz w:val="17"/>
              </w:rPr>
              <w:t>BDT 1,80,000</w:t>
              <w:br/>
              <w:t>plus own running costs</w:t>
            </w:r>
          </w:p>
        </w:tc>
      </w:tr>
      <w:tr>
        <w:tc>
          <w:tcPr>
            <w:tcW w:type="dxa" w:w="3168"/>
            <w:shd w:fill="ECFDF5"/>
            <w:tcMar>
              <w:top w:w="90" w:type="dxa"/>
              <w:bottom w:w="90" w:type="dxa"/>
              <w:left w:w="90" w:type="dxa"/>
              <w:right w:w="90" w:type="dxa"/>
            </w:tcMar>
          </w:tcPr>
          <w:p>
            <w:pPr>
              <w:spacing w:before="0" w:after="0"/>
            </w:pPr>
            <w:r>
              <w:rPr>
                <w:rFonts w:ascii="Calibri" w:hAnsi="Calibri"/>
                <w:b/>
                <w:color w:val="1E293B"/>
                <w:sz w:val="17"/>
              </w:rPr>
              <w:t>Option B: Turnkey (We Handle Services &amp; API)</w:t>
              <w:br/>
              <w:t>[RECOMMENDED]</w:t>
            </w:r>
          </w:p>
        </w:tc>
        <w:tc>
          <w:tcPr>
            <w:tcW w:type="dxa" w:w="2160"/>
            <w:shd w:fill="ECFDF5"/>
            <w:tcMar>
              <w:top w:w="90" w:type="dxa"/>
              <w:bottom w:w="90" w:type="dxa"/>
              <w:left w:w="90" w:type="dxa"/>
              <w:right w:w="90" w:type="dxa"/>
            </w:tcMar>
          </w:tcPr>
          <w:p>
            <w:pPr>
              <w:spacing w:before="0" w:after="0"/>
            </w:pPr>
            <w:r>
              <w:rPr>
                <w:rFonts w:ascii="Calibri" w:hAnsi="Calibri"/>
                <w:b/>
                <w:color w:val="1E293B"/>
                <w:sz w:val="17"/>
              </w:rPr>
              <w:t>BDT 3,11,000</w:t>
            </w:r>
          </w:p>
        </w:tc>
        <w:tc>
          <w:tcPr>
            <w:tcW w:type="dxa" w:w="2304"/>
            <w:shd w:fill="ECFDF5"/>
            <w:tcMar>
              <w:top w:w="90" w:type="dxa"/>
              <w:bottom w:w="90" w:type="dxa"/>
              <w:left w:w="90" w:type="dxa"/>
              <w:right w:w="90" w:type="dxa"/>
            </w:tcMar>
          </w:tcPr>
          <w:p>
            <w:pPr>
              <w:spacing w:before="0" w:after="0"/>
            </w:pPr>
            <w:r>
              <w:rPr>
                <w:rFonts w:ascii="Calibri" w:hAnsi="Calibri"/>
                <w:b/>
                <w:color w:val="1E293B"/>
                <w:sz w:val="17"/>
              </w:rPr>
              <w:t>INCLUDED</w:t>
              <w:br/>
              <w:t>(Borne &amp; managed by us for Full 1st Year)</w:t>
            </w:r>
          </w:p>
        </w:tc>
        <w:tc>
          <w:tcPr>
            <w:tcW w:type="dxa" w:w="2448"/>
            <w:shd w:fill="ECFDF5"/>
            <w:tcMar>
              <w:top w:w="90" w:type="dxa"/>
              <w:bottom w:w="90" w:type="dxa"/>
              <w:left w:w="90" w:type="dxa"/>
              <w:right w:w="90" w:type="dxa"/>
            </w:tcMar>
          </w:tcPr>
          <w:p>
            <w:pPr>
              <w:spacing w:before="0" w:after="0"/>
            </w:pPr>
            <w:r>
              <w:rPr>
                <w:rFonts w:ascii="Calibri" w:hAnsi="Calibri"/>
                <w:b/>
                <w:color w:val="107A3C"/>
                <w:sz w:val="17"/>
              </w:rPr>
              <w:t>BDT 3,11,000</w:t>
              <w:br/>
              <w:t>(Fixed, All-Inclusive First Year)</w:t>
              <w:br/>
              <w:t>★ Saves ~BDT 42,000+ vs Option C</w:t>
            </w:r>
          </w:p>
        </w:tc>
      </w:tr>
      <w:tr>
        <w:tc>
          <w:tcPr>
            <w:tcW w:type="dxa" w:w="3168"/>
            <w:shd w:fill="FFFFFF"/>
            <w:tcMar>
              <w:top w:w="90" w:type="dxa"/>
              <w:bottom w:w="90" w:type="dxa"/>
              <w:left w:w="90" w:type="dxa"/>
              <w:right w:w="90" w:type="dxa"/>
            </w:tcMar>
          </w:tcPr>
          <w:p>
            <w:pPr>
              <w:spacing w:before="0" w:after="0"/>
            </w:pPr>
            <w:r>
              <w:rPr>
                <w:rFonts w:ascii="Calibri" w:hAnsi="Calibri"/>
                <w:b/>
                <w:color w:val="1E293B"/>
                <w:sz w:val="17"/>
              </w:rPr>
              <w:t>Option C: Client Pays Providers Directly</w:t>
            </w:r>
          </w:p>
        </w:tc>
        <w:tc>
          <w:tcPr>
            <w:tcW w:type="dxa" w:w="2160"/>
            <w:shd w:fill="FFFFFF"/>
            <w:tcMar>
              <w:top w:w="90" w:type="dxa"/>
              <w:bottom w:w="90" w:type="dxa"/>
              <w:left w:w="90" w:type="dxa"/>
              <w:right w:w="90" w:type="dxa"/>
            </w:tcMar>
          </w:tcPr>
          <w:p>
            <w:pPr>
              <w:spacing w:before="0" w:after="0"/>
            </w:pPr>
            <w:r>
              <w:rPr>
                <w:rFonts w:ascii="Calibri" w:hAnsi="Calibri"/>
                <w:color w:val="1E293B"/>
                <w:sz w:val="17"/>
              </w:rPr>
              <w:t>BDT 1,80,000</w:t>
            </w:r>
          </w:p>
        </w:tc>
        <w:tc>
          <w:tcPr>
            <w:tcW w:type="dxa" w:w="2304"/>
            <w:shd w:fill="FFFFFF"/>
            <w:tcMar>
              <w:top w:w="90" w:type="dxa"/>
              <w:bottom w:w="90" w:type="dxa"/>
              <w:left w:w="90" w:type="dxa"/>
              <w:right w:w="90" w:type="dxa"/>
            </w:tcMar>
          </w:tcPr>
          <w:p>
            <w:pPr>
              <w:spacing w:before="0" w:after="0"/>
            </w:pPr>
            <w:r>
              <w:rPr>
                <w:rFonts w:ascii="Calibri" w:hAnsi="Calibri"/>
                <w:color w:val="1E293B"/>
                <w:sz w:val="17"/>
              </w:rPr>
              <w:t>About BDT 1,73,000</w:t>
              <w:br/>
              <w:t>(Paid directly to vendors at retail rates)</w:t>
            </w:r>
          </w:p>
        </w:tc>
        <w:tc>
          <w:tcPr>
            <w:tcW w:type="dxa" w:w="2448"/>
            <w:shd w:fill="FFFFFF"/>
            <w:tcMar>
              <w:top w:w="90" w:type="dxa"/>
              <w:bottom w:w="90" w:type="dxa"/>
              <w:left w:w="90" w:type="dxa"/>
              <w:right w:w="90" w:type="dxa"/>
            </w:tcMar>
          </w:tcPr>
          <w:p>
            <w:pPr>
              <w:spacing w:before="0" w:after="0"/>
            </w:pPr>
            <w:r>
              <w:rPr>
                <w:rFonts w:ascii="Calibri" w:hAnsi="Calibri"/>
                <w:color w:val="1E293B"/>
                <w:sz w:val="17"/>
              </w:rPr>
              <w:t>About BDT 3,53,000</w:t>
              <w:br/>
              <w:t>(BDT 1,80,000 + ~BDT 1,73,000 to providers)</w:t>
            </w:r>
          </w:p>
        </w:tc>
      </w:tr>
    </w:tbl>
    <w:p>
      <w:pPr>
        <w:spacing w:after="160"/>
      </w:pPr>
    </w:p>
    <w:p>
      <w:pPr>
        <w:keepNext/>
        <w:spacing w:before="200" w:after="60"/>
      </w:pPr>
      <w:r>
        <w:rPr>
          <w:rFonts w:ascii="Calibri" w:hAnsi="Calibri"/>
          <w:b/>
          <w:color w:val="1E3A8A"/>
          <w:sz w:val="22"/>
        </w:rPr>
        <w:t>OPTION A: Pure Development (Codebase &amp; Architecture Only)</w:t>
      </w:r>
    </w:p>
    <w:p>
      <w:pPr>
        <w:spacing w:before="0" w:after="80" w:line="276" w:lineRule="auto"/>
      </w:pPr>
      <w:r>
        <w:rPr>
          <w:rFonts w:ascii="Calibri" w:hAnsi="Calibri"/>
          <w:b/>
          <w:color w:val="1E293B"/>
          <w:sz w:val="20"/>
        </w:rPr>
        <w:t xml:space="preserve">Concise Brief: </w:t>
      </w:r>
      <w:r>
        <w:rPr>
          <w:rFonts w:ascii="Calibri" w:hAnsi="Calibri"/>
          <w:i w:val="0"/>
          <w:color w:val="1E293B"/>
          <w:sz w:val="20"/>
        </w:rPr>
        <w:t>Option A covers 100% of the custom software engineering, database schemas, business logic, and portal design. The completed platform is delivered as a thoroughly tested, production-ready codebase package with deployment documentation. Cloud servers, domain setup, hosting accounts, and third-party API procurements are excluded from our scope and handled independently by your team.</w:t>
      </w:r>
    </w:p>
    <w:p>
      <w:pPr>
        <w:pStyle w:val="ListBullet"/>
        <w:spacing w:before="0" w:after="60" w:line="276" w:lineRule="auto"/>
      </w:pPr>
      <w:r>
        <w:rPr>
          <w:rFonts w:ascii="Calibri" w:hAnsi="Calibri"/>
          <w:b/>
          <w:color w:val="1E293B"/>
          <w:sz w:val="20"/>
        </w:rPr>
        <w:t xml:space="preserve">Paid to You: </w:t>
      </w:r>
      <w:r>
        <w:rPr>
          <w:rFonts w:ascii="Calibri" w:hAnsi="Calibri"/>
          <w:color w:val="1E293B"/>
          <w:sz w:val="20"/>
        </w:rPr>
        <w:t>BDT 1,80,000 fixed one-time development fee.</w:t>
      </w:r>
    </w:p>
    <w:p>
      <w:pPr>
        <w:pStyle w:val="ListBullet"/>
        <w:spacing w:before="0" w:after="60" w:line="276" w:lineRule="auto"/>
      </w:pPr>
      <w:r>
        <w:rPr>
          <w:rFonts w:ascii="Calibri" w:hAnsi="Calibri"/>
          <w:b/>
          <w:color w:val="1E293B"/>
          <w:sz w:val="20"/>
        </w:rPr>
        <w:t xml:space="preserve">Total First-Year Cost: </w:t>
      </w:r>
      <w:r>
        <w:rPr>
          <w:rFonts w:ascii="Calibri" w:hAnsi="Calibri"/>
          <w:color w:val="1E293B"/>
          <w:sz w:val="20"/>
        </w:rPr>
        <w:t>BDT 1,80,000 plus your own internal running costs.</w:t>
      </w:r>
    </w:p>
    <w:p>
      <w:pPr>
        <w:pStyle w:val="ListBullet"/>
        <w:spacing w:before="0" w:after="60" w:line="276" w:lineRule="auto"/>
      </w:pPr>
      <w:r>
        <w:rPr>
          <w:rFonts w:ascii="Calibri" w:hAnsi="Calibri"/>
          <w:b/>
          <w:color w:val="1E293B"/>
          <w:sz w:val="20"/>
        </w:rPr>
        <w:t xml:space="preserve">Key Benefits: </w:t>
      </w:r>
      <w:r>
        <w:rPr>
          <w:rFonts w:ascii="Calibri" w:hAnsi="Calibri"/>
          <w:color w:val="1E293B"/>
          <w:sz w:val="20"/>
        </w:rPr>
        <w:t>Lowest upfront outlay; zero vendor bundling; client receives complete source code ownership to deploy on any server of their choice.</w:t>
      </w:r>
    </w:p>
    <w:p>
      <w:pPr>
        <w:spacing w:after="80"/>
      </w:pPr>
    </w:p>
    <w:p>
      <w:pPr>
        <w:keepNext/>
        <w:spacing w:before="200" w:after="60"/>
      </w:pPr>
      <w:r>
        <w:rPr>
          <w:rFonts w:ascii="Calibri" w:hAnsi="Calibri"/>
          <w:b/>
          <w:color w:val="1E3A8A"/>
          <w:sz w:val="22"/>
        </w:rPr>
        <w:t>OPTION B: Turnkey, You Handle Services &amp; API (All-Inclusive &amp; Lowest Total Cost) — RECOMMENDED</w:t>
      </w:r>
    </w:p>
    <w:p>
      <w:pPr>
        <w:spacing w:before="0" w:after="80" w:line="276" w:lineRule="auto"/>
      </w:pPr>
      <w:r>
        <w:rPr>
          <w:rFonts w:ascii="Calibri" w:hAnsi="Calibri"/>
          <w:b/>
          <w:color w:val="1E293B"/>
          <w:sz w:val="20"/>
        </w:rPr>
        <w:t xml:space="preserve">Concise Brief: </w:t>
      </w:r>
      <w:r>
        <w:rPr>
          <w:rFonts w:ascii="Calibri" w:hAnsi="Calibri"/>
          <w:i w:val="0"/>
          <w:color w:val="1E293B"/>
          <w:sz w:val="20"/>
        </w:rPr>
        <w:t>Option B is the complete, worry-free turnkey solution. We handle 100% of custom software development PLUS we procure, configure, and manage high-speed dedicated cloud hosting, automated database backups, SSL security certificates, Meta WhatsApp Business API conversation credits, and transactional SMS verification for the ENTIRE first year.</w:t>
      </w:r>
    </w:p>
    <w:p>
      <w:pPr>
        <w:pStyle w:val="ListBullet"/>
        <w:spacing w:before="0" w:after="60" w:line="276" w:lineRule="auto"/>
      </w:pPr>
      <w:r>
        <w:rPr>
          <w:rFonts w:ascii="Calibri" w:hAnsi="Calibri"/>
          <w:b/>
          <w:color w:val="1E293B"/>
          <w:sz w:val="20"/>
        </w:rPr>
        <w:t xml:space="preserve">Paid to You: </w:t>
      </w:r>
      <w:r>
        <w:rPr>
          <w:rFonts w:ascii="Calibri" w:hAnsi="Calibri"/>
          <w:color w:val="1E293B"/>
          <w:sz w:val="20"/>
        </w:rPr>
        <w:t>BDT 3,11,000 all-inclusive package price.</w:t>
      </w:r>
    </w:p>
    <w:p>
      <w:pPr>
        <w:pStyle w:val="ListBullet"/>
        <w:spacing w:before="0" w:after="60" w:line="276" w:lineRule="auto"/>
      </w:pPr>
      <w:r>
        <w:rPr>
          <w:rFonts w:ascii="Calibri" w:hAnsi="Calibri"/>
          <w:b/>
          <w:color w:val="1E293B"/>
          <w:sz w:val="20"/>
        </w:rPr>
        <w:t xml:space="preserve">Total First-Year Cost: </w:t>
      </w:r>
      <w:r>
        <w:rPr>
          <w:rFonts w:ascii="Calibri" w:hAnsi="Calibri"/>
          <w:color w:val="1E293B"/>
          <w:sz w:val="20"/>
        </w:rPr>
        <w:t>BDT 3,11,000 fixed for the entire first year (no extra vendor bills).</w:t>
      </w:r>
    </w:p>
    <w:p>
      <w:pPr>
        <w:pStyle w:val="ListBullet"/>
        <w:spacing w:before="0" w:after="60" w:line="276" w:lineRule="auto"/>
      </w:pPr>
      <w:r>
        <w:rPr>
          <w:rFonts w:ascii="Calibri" w:hAnsi="Calibri"/>
          <w:b/>
          <w:color w:val="1E293B"/>
          <w:sz w:val="20"/>
        </w:rPr>
        <w:t xml:space="preserve">Why Option B Costs LESS Than Option C: </w:t>
      </w:r>
      <w:r>
        <w:rPr>
          <w:rFonts w:ascii="Calibri" w:hAnsi="Calibri"/>
          <w:color w:val="1E293B"/>
          <w:sz w:val="20"/>
        </w:rPr>
        <w:t>Because we leverage our agency bulk infrastructure, shared high-speed server clusters, and developer tier API discounts, we pass the savings directly to you. This saves Venture Visionary approximately BDT 42,000 in the first year compared to purchasing tools individually at retail rates (BDT 3,11,000 vs. BDT 3,53,000).</w:t>
      </w:r>
    </w:p>
    <w:p>
      <w:pPr>
        <w:pStyle w:val="ListBullet"/>
        <w:spacing w:before="0" w:after="60" w:line="276" w:lineRule="auto"/>
      </w:pPr>
      <w:r>
        <w:rPr>
          <w:rFonts w:ascii="Calibri" w:hAnsi="Calibri"/>
          <w:b/>
          <w:color w:val="1E293B"/>
          <w:sz w:val="20"/>
        </w:rPr>
        <w:t xml:space="preserve">Key Benefits: </w:t>
      </w:r>
      <w:r>
        <w:rPr>
          <w:rFonts w:ascii="Calibri" w:hAnsi="Calibri"/>
          <w:color w:val="1E293B"/>
          <w:sz w:val="20"/>
        </w:rPr>
        <w:t>Maximum financial savings; zero technical burden; no multiple credit card subscriptions; guaranteed 99.9% server uptime and message delivery under a single point of responsibility.</w:t>
      </w:r>
    </w:p>
    <w:p>
      <w:pPr>
        <w:spacing w:after="80"/>
      </w:pPr>
    </w:p>
    <w:p>
      <w:pPr>
        <w:keepNext/>
        <w:spacing w:before="200" w:after="60"/>
      </w:pPr>
      <w:r>
        <w:rPr>
          <w:rFonts w:ascii="Calibri" w:hAnsi="Calibri"/>
          <w:b/>
          <w:color w:val="1E3A8A"/>
          <w:sz w:val="22"/>
        </w:rPr>
        <w:t>OPTION C: Client Pays Providers Directly (Co-Managed / Retail Billing)</w:t>
      </w:r>
    </w:p>
    <w:p>
      <w:pPr>
        <w:spacing w:before="0" w:after="80" w:line="276" w:lineRule="auto"/>
      </w:pPr>
      <w:r>
        <w:rPr>
          <w:rFonts w:ascii="Calibri" w:hAnsi="Calibri"/>
          <w:b/>
          <w:color w:val="1E293B"/>
          <w:sz w:val="20"/>
        </w:rPr>
        <w:t xml:space="preserve">Concise Brief: </w:t>
      </w:r>
      <w:r>
        <w:rPr>
          <w:rFonts w:ascii="Calibri" w:hAnsi="Calibri"/>
          <w:i w:val="0"/>
          <w:color w:val="1E293B"/>
          <w:sz w:val="20"/>
        </w:rPr>
        <w:t>In Option C, we build 100% of the custom software platform, deploy it directly onto your own cloud server, and integrate your official WhatsApp API keys. Your company creates the accounts and pays cloud and messaging providers directly with your company card at retail rates.</w:t>
      </w:r>
    </w:p>
    <w:p>
      <w:pPr>
        <w:pStyle w:val="ListBullet"/>
        <w:spacing w:before="0" w:after="60" w:line="276" w:lineRule="auto"/>
      </w:pPr>
      <w:r>
        <w:rPr>
          <w:rFonts w:ascii="Calibri" w:hAnsi="Calibri"/>
          <w:b/>
          <w:color w:val="1E293B"/>
          <w:sz w:val="20"/>
        </w:rPr>
        <w:t xml:space="preserve">Paid to You: </w:t>
      </w:r>
      <w:r>
        <w:rPr>
          <w:rFonts w:ascii="Calibri" w:hAnsi="Calibri"/>
          <w:color w:val="1E293B"/>
          <w:sz w:val="20"/>
        </w:rPr>
        <w:t>BDT 1,80,000 custom development fee.</w:t>
      </w:r>
    </w:p>
    <w:p>
      <w:pPr>
        <w:pStyle w:val="ListBullet"/>
        <w:spacing w:before="0" w:after="60" w:line="276" w:lineRule="auto"/>
      </w:pPr>
      <w:r>
        <w:rPr>
          <w:rFonts w:ascii="Calibri" w:hAnsi="Calibri"/>
          <w:b/>
          <w:color w:val="1E293B"/>
          <w:sz w:val="20"/>
        </w:rPr>
        <w:t xml:space="preserve">Third-Party Vendor Costs: </w:t>
      </w:r>
      <w:r>
        <w:rPr>
          <w:rFonts w:ascii="Calibri" w:hAnsi="Calibri"/>
          <w:color w:val="1E293B"/>
          <w:sz w:val="20"/>
        </w:rPr>
        <w:t>About BDT 1,73,000 in Year 1 (Cloud VPS &amp; storage ~BDT 54,000/yr + Meta WhatsApp conversations ~BDT 85,000/yr + SMS verification, domain &amp; SSL ~BDT 34,000/yr).</w:t>
      </w:r>
    </w:p>
    <w:p>
      <w:pPr>
        <w:pStyle w:val="ListBullet"/>
        <w:spacing w:before="0" w:after="60" w:line="276" w:lineRule="auto"/>
      </w:pPr>
      <w:r>
        <w:rPr>
          <w:rFonts w:ascii="Calibri" w:hAnsi="Calibri"/>
          <w:b/>
          <w:color w:val="1E293B"/>
          <w:sz w:val="20"/>
        </w:rPr>
        <w:t xml:space="preserve">Total First-Year Cost: </w:t>
      </w:r>
      <w:r>
        <w:rPr>
          <w:rFonts w:ascii="Calibri" w:hAnsi="Calibri"/>
          <w:color w:val="1E293B"/>
          <w:sz w:val="20"/>
        </w:rPr>
        <w:t>About BDT 3,53,000 (BDT 1,80,000 to us + about BDT 1,73,000 to third-party providers).</w:t>
      </w:r>
    </w:p>
    <w:p>
      <w:pPr>
        <w:pStyle w:val="ListBullet"/>
        <w:spacing w:before="0" w:after="60" w:line="276" w:lineRule="auto"/>
      </w:pPr>
      <w:r>
        <w:rPr>
          <w:rFonts w:ascii="Calibri" w:hAnsi="Calibri"/>
          <w:b/>
          <w:color w:val="1E293B"/>
          <w:sz w:val="20"/>
        </w:rPr>
        <w:t xml:space="preserve">Key Benefits &amp; Trade-Offs: </w:t>
      </w:r>
      <w:r>
        <w:rPr>
          <w:rFonts w:ascii="Calibri" w:hAnsi="Calibri"/>
          <w:color w:val="1E293B"/>
          <w:sz w:val="20"/>
        </w:rPr>
        <w:t>Direct account ownership with vendors from day one, but results in a higher total first-year expense (~BDT 42,000 higher than Option B) and requires your team to manage multiple international monthly credit card invoices.</w:t>
      </w:r>
    </w:p>
    <w:p>
      <w:pPr>
        <w:spacing w:after="160"/>
      </w:pPr>
    </w:p>
    <w:p>
      <w:pPr>
        <w:keepNext/>
        <w:spacing w:before="280" w:after="80"/>
      </w:pPr>
      <w:r>
        <w:rPr>
          <w:rFonts w:ascii="Calibri" w:hAnsi="Calibri"/>
          <w:b/>
          <w:color w:val="0F2942"/>
          <w:sz w:val="26"/>
        </w:rPr>
        <w:t>4. DELIVERY TIMELINE &amp; IMPLEMENTATION PHASES</w:t>
      </w:r>
    </w:p>
    <w:p>
      <w:pPr>
        <w:spacing w:before="0" w:after="80" w:line="276" w:lineRule="auto"/>
      </w:pPr>
      <w:r>
        <w:rPr>
          <w:rFonts w:ascii="Calibri" w:hAnsi="Calibri"/>
          <w:i w:val="0"/>
          <w:color w:val="1E293B"/>
          <w:sz w:val="20"/>
        </w:rPr>
        <w:t>The project is structured into 3 clear, manageable stages so your team can test each module as it is delivered:</w:t>
      </w:r>
    </w:p>
    <w:p>
      <w:pPr>
        <w:pStyle w:val="ListBullet"/>
        <w:spacing w:before="0" w:after="60" w:line="276" w:lineRule="auto"/>
      </w:pPr>
      <w:r>
        <w:rPr>
          <w:rFonts w:ascii="Calibri" w:hAnsi="Calibri"/>
          <w:b/>
          <w:color w:val="1E293B"/>
          <w:sz w:val="20"/>
        </w:rPr>
        <w:t xml:space="preserve">Stage 1: Core Operations &amp; Lead Hub (Weeks 1 – 6): </w:t>
      </w:r>
      <w:r>
        <w:rPr>
          <w:rFonts w:ascii="Calibri" w:hAnsi="Calibri"/>
          <w:color w:val="1E293B"/>
          <w:sz w:val="20"/>
        </w:rPr>
        <w:t>Deploy the main Staff CRM, connect website and social media leads, set up WhatsApp messaging, build the 193-country visa master database, and configure document checklists.</w:t>
      </w:r>
    </w:p>
    <w:p>
      <w:pPr>
        <w:pStyle w:val="ListBullet"/>
        <w:spacing w:before="0" w:after="60" w:line="276" w:lineRule="auto"/>
      </w:pPr>
      <w:r>
        <w:rPr>
          <w:rFonts w:ascii="Calibri" w:hAnsi="Calibri"/>
          <w:b/>
          <w:color w:val="1E293B"/>
          <w:sz w:val="20"/>
        </w:rPr>
        <w:t xml:space="preserve">Stage 2: Client Portal &amp; Quotation Invoicing (Weeks 7 – 11): </w:t>
      </w:r>
      <w:r>
        <w:rPr>
          <w:rFonts w:ascii="Calibri" w:hAnsi="Calibri"/>
          <w:color w:val="1E293B"/>
          <w:sz w:val="20"/>
        </w:rPr>
        <w:t>Launch client self-service tracking and document uploads, build the quotation and invoicing engine with automatic profit margin calculations.</w:t>
      </w:r>
    </w:p>
    <w:p>
      <w:pPr>
        <w:pStyle w:val="ListBullet"/>
        <w:spacing w:before="0" w:after="60" w:line="276" w:lineRule="auto"/>
      </w:pPr>
      <w:r>
        <w:rPr>
          <w:rFonts w:ascii="Calibri" w:hAnsi="Calibri"/>
          <w:b/>
          <w:color w:val="1E293B"/>
          <w:sz w:val="20"/>
        </w:rPr>
        <w:t xml:space="preserve">Stage 3: B2B Partner Portal &amp; Go-Live (Weeks 12 – 15): </w:t>
      </w:r>
      <w:r>
        <w:rPr>
          <w:rFonts w:ascii="Calibri" w:hAnsi="Calibri"/>
          <w:color w:val="1E293B"/>
          <w:sz w:val="20"/>
        </w:rPr>
        <w:t>Deliver the B2B Travel Partner portal with wholesale net rates, conduct staff training sessions, provide video documentation, and perform final production rollout.</w:t>
      </w:r>
    </w:p>
    <w:p>
      <w:pPr>
        <w:keepNext/>
        <w:spacing w:before="280" w:after="80"/>
      </w:pPr>
      <w:r>
        <w:rPr>
          <w:rFonts w:ascii="Calibri" w:hAnsi="Calibri"/>
          <w:b/>
          <w:color w:val="0F2942"/>
          <w:sz w:val="26"/>
        </w:rPr>
        <w:t>5. PAYMENT SCHEDULE (LINKED TO DELIVERABLES)</w:t>
      </w:r>
    </w:p>
    <w:p>
      <w:pPr>
        <w:spacing w:before="0" w:after="80" w:line="276" w:lineRule="auto"/>
      </w:pPr>
      <w:r>
        <w:rPr>
          <w:rFonts w:ascii="Calibri" w:hAnsi="Calibri"/>
          <w:i w:val="0"/>
          <w:color w:val="1E293B"/>
          <w:sz w:val="20"/>
        </w:rPr>
        <w:t>Payments are tied directly to verified milestone deliverables to ensure complete financial safety: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c>
          <w:tcPr>
            <w:tcW w:type="dxa" w:w="2592"/>
            <w:shd w:fill="0F2942"/>
            <w:tcMar>
              <w:top w:w="100" w:type="dxa"/>
              <w:bottom w:w="100" w:type="dxa"/>
              <w:left w:w="90" w:type="dxa"/>
              <w:right w:w="90" w:type="dxa"/>
            </w:tcMar>
          </w:tcPr>
          <w:p>
            <w:pPr>
              <w:spacing w:before="0" w:after="0"/>
            </w:pPr>
            <w:r>
              <w:rPr>
                <w:rFonts w:ascii="Calibri" w:hAnsi="Calibri"/>
                <w:b/>
                <w:color w:val="FFFFFF"/>
                <w:sz w:val="18"/>
              </w:rPr>
              <w:t>Milestone</w:t>
            </w:r>
          </w:p>
        </w:tc>
        <w:tc>
          <w:tcPr>
            <w:tcW w:type="dxa" w:w="3744"/>
            <w:shd w:fill="0F2942"/>
            <w:tcMar>
              <w:top w:w="100" w:type="dxa"/>
              <w:bottom w:w="100" w:type="dxa"/>
              <w:left w:w="90" w:type="dxa"/>
              <w:right w:w="90" w:type="dxa"/>
            </w:tcMar>
          </w:tcPr>
          <w:p>
            <w:pPr>
              <w:spacing w:before="0" w:after="0"/>
            </w:pPr>
            <w:r>
              <w:rPr>
                <w:rFonts w:ascii="Calibri" w:hAnsi="Calibri"/>
                <w:b/>
                <w:color w:val="FFFFFF"/>
                <w:sz w:val="18"/>
              </w:rPr>
              <w:t>Deliverable Condition</w:t>
            </w:r>
          </w:p>
        </w:tc>
        <w:tc>
          <w:tcPr>
            <w:tcW w:type="dxa" w:w="1872"/>
            <w:shd w:fill="0F2942"/>
            <w:tcMar>
              <w:top w:w="100" w:type="dxa"/>
              <w:bottom w:w="100" w:type="dxa"/>
              <w:left w:w="90" w:type="dxa"/>
              <w:right w:w="90" w:type="dxa"/>
            </w:tcMar>
          </w:tcPr>
          <w:p>
            <w:pPr>
              <w:spacing w:before="0" w:after="0"/>
            </w:pPr>
            <w:r>
              <w:rPr>
                <w:rFonts w:ascii="Calibri" w:hAnsi="Calibri"/>
                <w:b/>
                <w:color w:val="FFFFFF"/>
                <w:sz w:val="18"/>
              </w:rPr>
              <w:t>Option A &amp; C (Dev Fee)</w:t>
            </w:r>
          </w:p>
        </w:tc>
        <w:tc>
          <w:tcPr>
            <w:tcW w:type="dxa" w:w="1872"/>
            <w:shd w:fill="0F2942"/>
            <w:tcMar>
              <w:top w:w="100" w:type="dxa"/>
              <w:bottom w:w="100" w:type="dxa"/>
              <w:left w:w="90" w:type="dxa"/>
              <w:right w:w="90" w:type="dxa"/>
            </w:tcMar>
          </w:tcPr>
          <w:p>
            <w:pPr>
              <w:spacing w:before="0" w:after="0"/>
            </w:pPr>
            <w:r>
              <w:rPr>
                <w:rFonts w:ascii="Calibri" w:hAnsi="Calibri"/>
                <w:b/>
                <w:color w:val="FFFFFF"/>
                <w:sz w:val="18"/>
              </w:rPr>
              <w:t>Option B (Turnkey All-Inclusive)</w:t>
            </w:r>
          </w:p>
        </w:tc>
      </w:tr>
      <w:tr>
        <w:tc>
          <w:tcPr>
            <w:tcW w:type="dxa" w:w="2592"/>
            <w:shd w:fill="FFFFFF"/>
            <w:tcMar>
              <w:top w:w="90" w:type="dxa"/>
              <w:bottom w:w="90" w:type="dxa"/>
              <w:left w:w="90" w:type="dxa"/>
              <w:right w:w="90" w:type="dxa"/>
            </w:tcMar>
          </w:tcPr>
          <w:p>
            <w:pPr>
              <w:spacing w:before="0" w:after="0"/>
            </w:pPr>
            <w:r>
              <w:rPr>
                <w:rFonts w:ascii="Calibri" w:hAnsi="Calibri"/>
                <w:b/>
                <w:color w:val="1E293B"/>
                <w:sz w:val="17"/>
              </w:rPr>
              <w:t>Milestone 1: Project Kickoff (25%)</w:t>
            </w:r>
          </w:p>
        </w:tc>
        <w:tc>
          <w:tcPr>
            <w:tcW w:type="dxa" w:w="3744"/>
            <w:shd w:fill="FFFFFF"/>
            <w:tcMar>
              <w:top w:w="90" w:type="dxa"/>
              <w:bottom w:w="90" w:type="dxa"/>
              <w:left w:w="90" w:type="dxa"/>
              <w:right w:w="90" w:type="dxa"/>
            </w:tcMar>
          </w:tcPr>
          <w:p>
            <w:pPr>
              <w:spacing w:before="0" w:after="0"/>
            </w:pPr>
            <w:r>
              <w:rPr>
                <w:rFonts w:ascii="Calibri" w:hAnsi="Calibri"/>
                <w:color w:val="1E293B"/>
                <w:sz w:val="17"/>
              </w:rPr>
              <w:t>Agreement signing, architecture blueprint setup, and visual layout approval.</w:t>
            </w:r>
          </w:p>
        </w:tc>
        <w:tc>
          <w:tcPr>
            <w:tcW w:type="dxa" w:w="1872"/>
            <w:shd w:fill="FFFFFF"/>
            <w:tcMar>
              <w:top w:w="90" w:type="dxa"/>
              <w:bottom w:w="90" w:type="dxa"/>
              <w:left w:w="90" w:type="dxa"/>
              <w:right w:w="90" w:type="dxa"/>
            </w:tcMar>
          </w:tcPr>
          <w:p>
            <w:pPr>
              <w:spacing w:before="0" w:after="0"/>
            </w:pPr>
            <w:r>
              <w:rPr>
                <w:rFonts w:ascii="Calibri" w:hAnsi="Calibri"/>
                <w:b/>
                <w:color w:val="1E293B"/>
                <w:sz w:val="17"/>
              </w:rPr>
              <w:t>BDT 45,000</w:t>
            </w:r>
          </w:p>
        </w:tc>
        <w:tc>
          <w:tcPr>
            <w:tcW w:type="dxa" w:w="1872"/>
            <w:shd w:fill="FFFFFF"/>
            <w:tcMar>
              <w:top w:w="90" w:type="dxa"/>
              <w:bottom w:w="90" w:type="dxa"/>
              <w:left w:w="90" w:type="dxa"/>
              <w:right w:w="90" w:type="dxa"/>
            </w:tcMar>
          </w:tcPr>
          <w:p>
            <w:pPr>
              <w:spacing w:before="0" w:after="0"/>
            </w:pPr>
            <w:r>
              <w:rPr>
                <w:rFonts w:ascii="Calibri" w:hAnsi="Calibri"/>
                <w:b/>
                <w:color w:val="1E293B"/>
                <w:sz w:val="17"/>
              </w:rPr>
              <w:t>BDT 77,750</w:t>
            </w:r>
          </w:p>
        </w:tc>
      </w:tr>
      <w:tr>
        <w:tc>
          <w:tcPr>
            <w:tcW w:type="dxa" w:w="2592"/>
            <w:shd w:fill="F8FAFC"/>
            <w:tcMar>
              <w:top w:w="90" w:type="dxa"/>
              <w:bottom w:w="90" w:type="dxa"/>
              <w:left w:w="90" w:type="dxa"/>
              <w:right w:w="90" w:type="dxa"/>
            </w:tcMar>
          </w:tcPr>
          <w:p>
            <w:pPr>
              <w:spacing w:before="0" w:after="0"/>
            </w:pPr>
            <w:r>
              <w:rPr>
                <w:rFonts w:ascii="Calibri" w:hAnsi="Calibri"/>
                <w:b/>
                <w:color w:val="1E293B"/>
                <w:sz w:val="17"/>
              </w:rPr>
              <w:t>Milestone 2: Core CRM Demo (35%)</w:t>
            </w:r>
          </w:p>
        </w:tc>
        <w:tc>
          <w:tcPr>
            <w:tcW w:type="dxa" w:w="3744"/>
            <w:shd w:fill="F8FAFC"/>
            <w:tcMar>
              <w:top w:w="90" w:type="dxa"/>
              <w:bottom w:w="90" w:type="dxa"/>
              <w:left w:w="90" w:type="dxa"/>
              <w:right w:w="90" w:type="dxa"/>
            </w:tcMar>
          </w:tcPr>
          <w:p>
            <w:pPr>
              <w:spacing w:before="0" w:after="0"/>
            </w:pPr>
            <w:r>
              <w:rPr>
                <w:rFonts w:ascii="Calibri" w:hAnsi="Calibri"/>
                <w:color w:val="1E293B"/>
                <w:sz w:val="17"/>
              </w:rPr>
              <w:t>Delivery of Staff CRM, Lead Engine, 193-Country Visa Directory, and Document QC.</w:t>
            </w:r>
          </w:p>
        </w:tc>
        <w:tc>
          <w:tcPr>
            <w:tcW w:type="dxa" w:w="1872"/>
            <w:shd w:fill="F8FAFC"/>
            <w:tcMar>
              <w:top w:w="90" w:type="dxa"/>
              <w:bottom w:w="90" w:type="dxa"/>
              <w:left w:w="90" w:type="dxa"/>
              <w:right w:w="90" w:type="dxa"/>
            </w:tcMar>
          </w:tcPr>
          <w:p>
            <w:pPr>
              <w:spacing w:before="0" w:after="0"/>
            </w:pPr>
            <w:r>
              <w:rPr>
                <w:rFonts w:ascii="Calibri" w:hAnsi="Calibri"/>
                <w:b/>
                <w:color w:val="1E293B"/>
                <w:sz w:val="17"/>
              </w:rPr>
              <w:t>BDT 63,000</w:t>
            </w:r>
          </w:p>
        </w:tc>
        <w:tc>
          <w:tcPr>
            <w:tcW w:type="dxa" w:w="1872"/>
            <w:shd w:fill="F8FAFC"/>
            <w:tcMar>
              <w:top w:w="90" w:type="dxa"/>
              <w:bottom w:w="90" w:type="dxa"/>
              <w:left w:w="90" w:type="dxa"/>
              <w:right w:w="90" w:type="dxa"/>
            </w:tcMar>
          </w:tcPr>
          <w:p>
            <w:pPr>
              <w:spacing w:before="0" w:after="0"/>
            </w:pPr>
            <w:r>
              <w:rPr>
                <w:rFonts w:ascii="Calibri" w:hAnsi="Calibri"/>
                <w:b/>
                <w:color w:val="1E293B"/>
                <w:sz w:val="17"/>
              </w:rPr>
              <w:t>BDT 1,08,850</w:t>
            </w:r>
          </w:p>
        </w:tc>
      </w:tr>
      <w:tr>
        <w:tc>
          <w:tcPr>
            <w:tcW w:type="dxa" w:w="2592"/>
            <w:shd w:fill="FFFFFF"/>
            <w:tcMar>
              <w:top w:w="90" w:type="dxa"/>
              <w:bottom w:w="90" w:type="dxa"/>
              <w:left w:w="90" w:type="dxa"/>
              <w:right w:w="90" w:type="dxa"/>
            </w:tcMar>
          </w:tcPr>
          <w:p>
            <w:pPr>
              <w:spacing w:before="0" w:after="0"/>
            </w:pPr>
            <w:r>
              <w:rPr>
                <w:rFonts w:ascii="Calibri" w:hAnsi="Calibri"/>
                <w:b/>
                <w:color w:val="1E293B"/>
                <w:sz w:val="17"/>
              </w:rPr>
              <w:t>Milestone 3: Portals &amp; Billing (25%)</w:t>
            </w:r>
          </w:p>
        </w:tc>
        <w:tc>
          <w:tcPr>
            <w:tcW w:type="dxa" w:w="3744"/>
            <w:shd w:fill="FFFFFF"/>
            <w:tcMar>
              <w:top w:w="90" w:type="dxa"/>
              <w:bottom w:w="90" w:type="dxa"/>
              <w:left w:w="90" w:type="dxa"/>
              <w:right w:w="90" w:type="dxa"/>
            </w:tcMar>
          </w:tcPr>
          <w:p>
            <w:pPr>
              <w:spacing w:before="0" w:after="0"/>
            </w:pPr>
            <w:r>
              <w:rPr>
                <w:rFonts w:ascii="Calibri" w:hAnsi="Calibri"/>
                <w:color w:val="1E293B"/>
                <w:sz w:val="17"/>
              </w:rPr>
              <w:t>Delivery of Client Tracking Portal, Invoicing engine, and B2B Partner Portal.</w:t>
            </w:r>
          </w:p>
        </w:tc>
        <w:tc>
          <w:tcPr>
            <w:tcW w:type="dxa" w:w="1872"/>
            <w:shd w:fill="FFFFFF"/>
            <w:tcMar>
              <w:top w:w="90" w:type="dxa"/>
              <w:bottom w:w="90" w:type="dxa"/>
              <w:left w:w="90" w:type="dxa"/>
              <w:right w:w="90" w:type="dxa"/>
            </w:tcMar>
          </w:tcPr>
          <w:p>
            <w:pPr>
              <w:spacing w:before="0" w:after="0"/>
            </w:pPr>
            <w:r>
              <w:rPr>
                <w:rFonts w:ascii="Calibri" w:hAnsi="Calibri"/>
                <w:b/>
                <w:color w:val="1E293B"/>
                <w:sz w:val="17"/>
              </w:rPr>
              <w:t>BDT 45,000</w:t>
            </w:r>
          </w:p>
        </w:tc>
        <w:tc>
          <w:tcPr>
            <w:tcW w:type="dxa" w:w="1872"/>
            <w:shd w:fill="FFFFFF"/>
            <w:tcMar>
              <w:top w:w="90" w:type="dxa"/>
              <w:bottom w:w="90" w:type="dxa"/>
              <w:left w:w="90" w:type="dxa"/>
              <w:right w:w="90" w:type="dxa"/>
            </w:tcMar>
          </w:tcPr>
          <w:p>
            <w:pPr>
              <w:spacing w:before="0" w:after="0"/>
            </w:pPr>
            <w:r>
              <w:rPr>
                <w:rFonts w:ascii="Calibri" w:hAnsi="Calibri"/>
                <w:b/>
                <w:color w:val="1E293B"/>
                <w:sz w:val="17"/>
              </w:rPr>
              <w:t>BDT 77,750</w:t>
            </w:r>
          </w:p>
        </w:tc>
      </w:tr>
      <w:tr>
        <w:tc>
          <w:tcPr>
            <w:tcW w:type="dxa" w:w="2592"/>
            <w:shd w:fill="F8FAFC"/>
            <w:tcMar>
              <w:top w:w="90" w:type="dxa"/>
              <w:bottom w:w="90" w:type="dxa"/>
              <w:left w:w="90" w:type="dxa"/>
              <w:right w:w="90" w:type="dxa"/>
            </w:tcMar>
          </w:tcPr>
          <w:p>
            <w:pPr>
              <w:spacing w:before="0" w:after="0"/>
            </w:pPr>
            <w:r>
              <w:rPr>
                <w:rFonts w:ascii="Calibri" w:hAnsi="Calibri"/>
                <w:b/>
                <w:color w:val="1E293B"/>
                <w:sz w:val="17"/>
              </w:rPr>
              <w:t>Milestone 4: Handover &amp; Launch (15%)</w:t>
            </w:r>
          </w:p>
        </w:tc>
        <w:tc>
          <w:tcPr>
            <w:tcW w:type="dxa" w:w="3744"/>
            <w:shd w:fill="F8FAFC"/>
            <w:tcMar>
              <w:top w:w="90" w:type="dxa"/>
              <w:bottom w:w="90" w:type="dxa"/>
              <w:left w:w="90" w:type="dxa"/>
              <w:right w:w="90" w:type="dxa"/>
            </w:tcMar>
          </w:tcPr>
          <w:p>
            <w:pPr>
              <w:spacing w:before="0" w:after="0"/>
            </w:pPr>
            <w:r>
              <w:rPr>
                <w:rFonts w:ascii="Calibri" w:hAnsi="Calibri"/>
                <w:color w:val="1E293B"/>
                <w:sz w:val="17"/>
              </w:rPr>
              <w:t>Final testing, staff training, handover of administrative access, and live launch.</w:t>
            </w:r>
          </w:p>
        </w:tc>
        <w:tc>
          <w:tcPr>
            <w:tcW w:type="dxa" w:w="1872"/>
            <w:shd w:fill="F8FAFC"/>
            <w:tcMar>
              <w:top w:w="90" w:type="dxa"/>
              <w:bottom w:w="90" w:type="dxa"/>
              <w:left w:w="90" w:type="dxa"/>
              <w:right w:w="90" w:type="dxa"/>
            </w:tcMar>
          </w:tcPr>
          <w:p>
            <w:pPr>
              <w:spacing w:before="0" w:after="0"/>
            </w:pPr>
            <w:r>
              <w:rPr>
                <w:rFonts w:ascii="Calibri" w:hAnsi="Calibri"/>
                <w:b/>
                <w:color w:val="1E293B"/>
                <w:sz w:val="17"/>
              </w:rPr>
              <w:t>BDT 27,000</w:t>
            </w:r>
          </w:p>
        </w:tc>
        <w:tc>
          <w:tcPr>
            <w:tcW w:type="dxa" w:w="1872"/>
            <w:shd w:fill="F8FAFC"/>
            <w:tcMar>
              <w:top w:w="90" w:type="dxa"/>
              <w:bottom w:w="90" w:type="dxa"/>
              <w:left w:w="90" w:type="dxa"/>
              <w:right w:w="90" w:type="dxa"/>
            </w:tcMar>
          </w:tcPr>
          <w:p>
            <w:pPr>
              <w:spacing w:before="0" w:after="0"/>
            </w:pPr>
            <w:r>
              <w:rPr>
                <w:rFonts w:ascii="Calibri" w:hAnsi="Calibri"/>
                <w:b/>
                <w:color w:val="1E293B"/>
                <w:sz w:val="17"/>
              </w:rPr>
              <w:t>BDT 46,650</w:t>
            </w:r>
          </w:p>
        </w:tc>
      </w:tr>
    </w:tbl>
    <w:p>
      <w:pPr>
        <w:keepNext/>
        <w:spacing w:before="280" w:after="80"/>
      </w:pPr>
      <w:r>
        <w:rPr>
          <w:rFonts w:ascii="Calibri" w:hAnsi="Calibri"/>
          <w:b/>
          <w:color w:val="0F2942"/>
          <w:sz w:val="26"/>
        </w:rPr>
        <w:t>6. WARRANTY &amp; SUPPORT COMMITMENT</w:t>
      </w:r>
    </w:p>
    <w:p>
      <w:pPr>
        <w:spacing w:before="0" w:after="80" w:line="276" w:lineRule="auto"/>
      </w:pPr>
      <w:r>
        <w:rPr>
          <w:rFonts w:ascii="Calibri" w:hAnsi="Calibri"/>
          <w:i w:val="0"/>
          <w:color w:val="1E293B"/>
          <w:sz w:val="20"/>
        </w:rPr>
        <w:t>To ensure a smooth transition and reliable everyday operation:</w:t>
      </w:r>
    </w:p>
    <w:p>
      <w:pPr>
        <w:pStyle w:val="ListBullet"/>
        <w:spacing w:before="0" w:after="60" w:line="276" w:lineRule="auto"/>
      </w:pPr>
      <w:r>
        <w:rPr>
          <w:rFonts w:ascii="Calibri" w:hAnsi="Calibri"/>
          <w:b/>
          <w:color w:val="1E293B"/>
          <w:sz w:val="20"/>
        </w:rPr>
        <w:t xml:space="preserve">60 Days Complimentary Technical Warranty: </w:t>
      </w:r>
      <w:r>
        <w:rPr>
          <w:rFonts w:ascii="Calibri" w:hAnsi="Calibri"/>
          <w:color w:val="1E293B"/>
          <w:sz w:val="20"/>
        </w:rPr>
        <w:t>Immediate bug-fixing and technical adjustments following live deployment at no additional cost.</w:t>
      </w:r>
    </w:p>
    <w:p>
      <w:pPr>
        <w:pStyle w:val="ListBullet"/>
        <w:spacing w:before="0" w:after="60" w:line="276" w:lineRule="auto"/>
      </w:pPr>
      <w:r>
        <w:rPr>
          <w:rFonts w:ascii="Calibri" w:hAnsi="Calibri"/>
          <w:b/>
          <w:color w:val="1E293B"/>
          <w:sz w:val="20"/>
        </w:rPr>
        <w:t xml:space="preserve">Staff Training &amp; Video Guides: </w:t>
      </w:r>
      <w:r>
        <w:rPr>
          <w:rFonts w:ascii="Calibri" w:hAnsi="Calibri"/>
          <w:color w:val="1E293B"/>
          <w:sz w:val="20"/>
        </w:rPr>
        <w:t>Live interactive training sessions for your management and operations staff, plus recorded walkthroughs for new hires.</w:t>
      </w:r>
    </w:p>
    <w:p>
      <w:pPr>
        <w:pStyle w:val="ListBullet"/>
        <w:spacing w:before="0" w:after="60" w:line="276" w:lineRule="auto"/>
      </w:pPr>
      <w:r>
        <w:rPr>
          <w:rFonts w:ascii="Calibri" w:hAnsi="Calibri"/>
          <w:b/>
          <w:color w:val="1E293B"/>
          <w:sz w:val="20"/>
        </w:rPr>
        <w:t xml:space="preserve">100% System Ownership: </w:t>
      </w:r>
      <w:r>
        <w:rPr>
          <w:rFonts w:ascii="Calibri" w:hAnsi="Calibri"/>
          <w:color w:val="1E293B"/>
          <w:sz w:val="20"/>
        </w:rPr>
        <w:t>Upon project completion and final payment, your company holds complete ownership of your database, client records, and software system with no vendor lock-in.</w:t>
      </w:r>
    </w:p>
    <w:p>
      <w:pPr>
        <w:keepNext/>
        <w:spacing w:before="280" w:after="80"/>
      </w:pPr>
      <w:r>
        <w:rPr>
          <w:rFonts w:ascii="Calibri" w:hAnsi="Calibri"/>
          <w:b/>
          <w:color w:val="0F2942"/>
          <w:sz w:val="26"/>
        </w:rPr>
        <w:t>7. AGREEMENT &amp; SIGN-OFF</w:t>
      </w:r>
    </w:p>
    <w:p>
      <w:pPr>
        <w:spacing w:before="0" w:after="80" w:line="276" w:lineRule="auto"/>
      </w:pPr>
      <w:r>
        <w:rPr>
          <w:rFonts w:ascii="Calibri" w:hAnsi="Calibri"/>
          <w:i w:val="0"/>
          <w:color w:val="1E293B"/>
          <w:sz w:val="20"/>
        </w:rPr>
        <w:t>Please select your preferred commercial option and sign below to initiate project onboarding:</w:t>
      </w:r>
    </w:p>
    <w:p>
      <w:pPr>
        <w:spacing w:before="80" w:after="200"/>
      </w:pPr>
      <w:r>
        <w:rPr>
          <w:rFonts w:ascii="Calibri" w:hAnsi="Calibri"/>
          <w:b/>
          <w:color w:val="1E3A8A"/>
          <w:sz w:val="19"/>
        </w:rPr>
        <w:t>[   ] Option A: Pure Development (Paid to us: BDT 1,80,000)</w:t>
        <w:br/>
        <w:t>[   ] Option B: Turnkey, You Handle Services &amp; API (Paid to us: BDT 3,11,000) — RECOMMENDED (Lowest TCO)</w:t>
        <w:br/>
        <w:t>[   ] Option C: Client Pays Providers Directly (Paid to us: BDT 1,80,000 + ~BDT 1,73,000 to providers = ~BDT 3,53,000 Total)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5040"/>
        <w:gridCol w:w="5040"/>
      </w:tblGrid>
      <w:tr>
        <w:tc>
          <w:tcPr>
            <w:tcW w:type="dxa" w:w="5040"/>
            <w:shd w:fill="F8FAFC"/>
            <w:tcMar>
              <w:top w:w="120" w:type="dxa"/>
              <w:bottom w:w="120" w:type="dxa"/>
              <w:left w:w="150" w:type="dxa"/>
              <w:right w:w="150" w:type="dxa"/>
            </w:tcMar>
          </w:tcPr>
          <w:p>
            <w:pPr>
              <w:spacing w:before="0" w:after="0"/>
            </w:pPr>
            <w:r>
              <w:rPr>
                <w:rFonts w:ascii="Calibri" w:hAnsi="Calibri"/>
                <w:b/>
                <w:color w:val="0F2942"/>
                <w:sz w:val="19"/>
              </w:rPr>
              <w:t>Prepared By (Development Team):</w:t>
            </w:r>
          </w:p>
        </w:tc>
        <w:tc>
          <w:tcPr>
            <w:tcW w:type="dxa" w:w="5040"/>
            <w:shd w:fill="F8FAFC"/>
            <w:tcMar>
              <w:top w:w="120" w:type="dxa"/>
              <w:bottom w:w="120" w:type="dxa"/>
              <w:left w:w="150" w:type="dxa"/>
              <w:right w:w="150" w:type="dxa"/>
            </w:tcMar>
          </w:tcPr>
          <w:p>
            <w:pPr>
              <w:spacing w:before="0" w:after="0"/>
            </w:pPr>
            <w:r>
              <w:rPr>
                <w:rFonts w:ascii="Calibri" w:hAnsi="Calibri"/>
                <w:b/>
                <w:color w:val="0F2942"/>
                <w:sz w:val="19"/>
              </w:rPr>
              <w:t>Accepted &amp; Approved By (Client):</w:t>
            </w:r>
          </w:p>
        </w:tc>
      </w:tr>
      <w:tr>
        <w:tc>
          <w:tcPr>
            <w:tcW w:type="dxa" w:w="5040"/>
            <w:shd w:fill="F8FAFC"/>
            <w:tcMar>
              <w:top w:w="120" w:type="dxa"/>
              <w:bottom w:w="120" w:type="dxa"/>
              <w:left w:w="150" w:type="dxa"/>
              <w:right w:w="150" w:type="dxa"/>
            </w:tcMar>
          </w:tcPr>
          <w:p>
            <w:pPr>
              <w:spacing w:before="0" w:after="0"/>
            </w:pPr>
            <w:r>
              <w:rPr>
                <w:rFonts w:ascii="Calibri" w:hAnsi="Calibri"/>
                <w:color w:val="1E293B"/>
                <w:sz w:val="19"/>
              </w:rPr>
              <w:t>Software Solutions &amp; Development Lead</w:t>
              <w:br/>
              <w:t>Venture Visionary CRM Project Team</w:t>
            </w:r>
          </w:p>
        </w:tc>
        <w:tc>
          <w:tcPr>
            <w:tcW w:type="dxa" w:w="5040"/>
            <w:shd w:fill="F8FAFC"/>
            <w:tcMar>
              <w:top w:w="120" w:type="dxa"/>
              <w:bottom w:w="120" w:type="dxa"/>
              <w:left w:w="150" w:type="dxa"/>
              <w:right w:w="150" w:type="dxa"/>
            </w:tcMar>
          </w:tcPr>
          <w:p>
            <w:pPr>
              <w:spacing w:before="0" w:after="0"/>
            </w:pPr>
            <w:r>
              <w:rPr>
                <w:rFonts w:ascii="Calibri" w:hAnsi="Calibri"/>
                <w:color w:val="1E293B"/>
                <w:sz w:val="19"/>
              </w:rPr>
              <w:t>Executive Management / Authorized Signatory</w:t>
              <w:br/>
              <w:t>Venture Visionary Visa &amp; Business Consultancy, Qatar</w:t>
            </w:r>
          </w:p>
        </w:tc>
      </w:tr>
      <w:tr>
        <w:tc>
          <w:tcPr>
            <w:tcW w:type="dxa" w:w="5040"/>
            <w:shd w:fill="F8FAFC"/>
            <w:tcMar>
              <w:top w:w="120" w:type="dxa"/>
              <w:bottom w:w="120" w:type="dxa"/>
              <w:left w:w="150" w:type="dxa"/>
              <w:right w:w="150" w:type="dxa"/>
            </w:tcMar>
          </w:tcPr>
          <w:p>
            <w:pPr>
              <w:spacing w:before="0" w:after="0"/>
            </w:pPr>
            <w:r>
              <w:rPr>
                <w:rFonts w:ascii="Calibri" w:hAnsi="Calibri"/>
                <w:color w:val="1E293B"/>
                <w:sz w:val="19"/>
              </w:rPr>
              <w:t>Signature: ___________________________</w:t>
              <w:br/>
              <w:br/>
              <w:t>Date: _______________________________</w:t>
            </w:r>
          </w:p>
        </w:tc>
        <w:tc>
          <w:tcPr>
            <w:tcW w:type="dxa" w:w="5040"/>
            <w:shd w:fill="F8FAFC"/>
            <w:tcMar>
              <w:top w:w="120" w:type="dxa"/>
              <w:bottom w:w="120" w:type="dxa"/>
              <w:left w:w="150" w:type="dxa"/>
              <w:right w:w="150" w:type="dxa"/>
            </w:tcMar>
          </w:tcPr>
          <w:p>
            <w:pPr>
              <w:spacing w:before="0" w:after="0"/>
            </w:pPr>
            <w:r>
              <w:rPr>
                <w:rFonts w:ascii="Calibri" w:hAnsi="Calibri"/>
                <w:color w:val="1E293B"/>
                <w:sz w:val="19"/>
              </w:rPr>
              <w:t>Signature: ___________________________</w:t>
              <w:br/>
              <w:br/>
              <w:t>Date: _______________________________</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