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Dynamic User Modeling and Contextual Recommendation</w:t>
        <w:br/>
        <w:t>with LLM Agents</w:t>
      </w:r>
    </w:p>
    <w:p>
      <w:pPr>
        <w:pStyle w:val="Subtitle"/>
        <w:jc w:val="center"/>
      </w:pPr>
      <w:r>
        <w:rPr>
          <w:color w:val="000000"/>
        </w:rPr>
        <w:t>Building Consistent, Auditable, and Deeply Nigerian-Aware Behavioral Agents for Review Simulation and Personalization</w:t>
      </w:r>
    </w:p>
    <w:p>
      <w:pPr>
        <w:jc w:val="center"/>
      </w:pPr>
      <w:r>
        <w:rPr>
          <w:color w:val="000000"/>
        </w:rPr>
        <w:drawing>
          <wp:inline xmlns:a="http://schemas.openxmlformats.org/drawingml/2006/main" xmlns:pic="http://schemas.openxmlformats.org/drawingml/2006/picture">
            <wp:extent cx="5440680" cy="2584323"/>
            <wp:docPr id="1" name="Picture 1"/>
            <wp:cNvGraphicFramePr>
              <a:graphicFrameLocks noChangeAspect="1"/>
            </wp:cNvGraphicFramePr>
            <a:graphic>
              <a:graphicData uri="http://schemas.openxmlformats.org/drawingml/2006/picture">
                <pic:pic>
                  <pic:nvPicPr>
                    <pic:cNvPr id="0" name="cover_visual.png"/>
                    <pic:cNvPicPr/>
                  </pic:nvPicPr>
                  <pic:blipFill>
                    <a:blip r:embed="rId11"/>
                    <a:stretch>
                      <a:fillRect/>
                    </a:stretch>
                  </pic:blipFill>
                  <pic:spPr>
                    <a:xfrm>
                      <a:off x="0" y="0"/>
                      <a:ext cx="5440680" cy="2584323"/>
                    </a:xfrm>
                    <a:prstGeom prst="rect"/>
                  </pic:spPr>
                </pic:pic>
              </a:graphicData>
            </a:graphic>
          </wp:inline>
        </w:drawing>
      </w:r>
    </w:p>
    <w:p>
      <w:pPr>
        <w:spacing w:after="30"/>
        <w:jc w:val="center"/>
      </w:pPr>
      <w:r>
        <w:rPr>
          <w:b/>
          <w:color w:val="000000"/>
          <w:sz w:val="24"/>
        </w:rPr>
        <w:t>Team Ace</w:t>
      </w:r>
    </w:p>
    <w:p>
      <w:pPr>
        <w:spacing w:after="30"/>
        <w:jc w:val="center"/>
      </w:pPr>
      <w:r>
        <w:rPr>
          <w:b w:val="0"/>
          <w:color w:val="000000"/>
          <w:sz w:val="18"/>
        </w:rPr>
        <w:t>Teslim Sadiq | Yasir Oyebo | Abiodun Mark</w:t>
      </w:r>
    </w:p>
    <w:p>
      <w:pPr>
        <w:spacing w:after="30"/>
        <w:jc w:val="center"/>
      </w:pPr>
      <w:r>
        <w:rPr>
          <w:b w:val="0"/>
          <w:color w:val="000000"/>
          <w:sz w:val="18"/>
        </w:rPr>
        <w:t>Contact: sadiqadetola08@gmail.com</w:t>
      </w:r>
    </w:p>
    <w:p>
      <w:pPr>
        <w:spacing w:after="30"/>
        <w:jc w:val="center"/>
      </w:pPr>
      <w:r>
        <w:rPr>
          <w:b w:val="0"/>
          <w:color w:val="000000"/>
          <w:sz w:val="18"/>
        </w:rPr>
        <w:t>Data &amp; AI Summit Hackathon 3.0</w:t>
      </w:r>
    </w:p>
    <w:p>
      <w:pPr>
        <w:spacing w:after="30"/>
        <w:jc w:val="center"/>
      </w:pPr>
      <w:r>
        <w:rPr>
          <w:b w:val="0"/>
          <w:color w:val="000000"/>
          <w:sz w:val="18"/>
        </w:rPr>
        <w:t>DSN x BCT LLM Agent Challenge</w:t>
      </w:r>
    </w:p>
    <w:p>
      <w:pPr>
        <w:spacing w:after="30"/>
        <w:jc w:val="center"/>
      </w:pPr>
      <w:r>
        <w:rPr>
          <w:b w:val="0"/>
          <w:color w:val="000000"/>
          <w:sz w:val="18"/>
        </w:rPr>
        <w:t>May 2026</w:t>
      </w:r>
    </w:p>
    <w:p>
      <w:r>
        <w:rPr>
          <w:color w:val="000000"/>
        </w:rPr>
        <w:br w:type="page"/>
      </w:r>
    </w:p>
    <w:p>
      <w:pPr>
        <w:pStyle w:val="Heading1"/>
      </w:pPr>
      <w:r>
        <w:rPr>
          <w:color w:val="000000"/>
        </w:rPr>
        <w:t>Executive Summary</w:t>
      </w:r>
    </w:p>
    <w:p>
      <w:r>
        <w:rPr>
          <w:color w:val="000000"/>
        </w:rPr>
        <w:t>In a world of static user profiles, Team Ace introduces dynamic behavioral personas: living representations of users that evolve with every interaction, context, and cultural signal. The submitted system is one unified agent studio that handles both challenge tasks through the same behavioral memory core.</w:t>
      </w:r>
    </w:p>
    <w:tbl>
      <w:tblPr>
        <w:tblStyle w:val="TableGrid"/>
        <w:tblW w:type="auto" w:w="0"/>
        <w:jc w:val="left"/>
        <w:tblLook w:firstColumn="1" w:firstRow="1" w:lastColumn="0" w:lastRow="0" w:noHBand="0" w:noVBand="1" w:val="04A0"/>
      </w:tblPr>
      <w:tblGrid>
        <w:gridCol w:w="3408"/>
        <w:gridCol w:w="3408"/>
        <w:gridCol w:w="3408"/>
      </w:tblGrid>
      <w:tr>
        <w:trPr>
          <w:tblHeader w:val="true"/>
          <w:cantSplit/>
        </w:trPr>
        <w:tc>
          <w:tcPr>
            <w:tcW w:type="dxa" w:w="2376"/>
            <w:shd w:fill="E6E6E6"/>
            <w:tcMar>
              <w:top w:w="60" w:type="dxa"/>
              <w:start w:w="95" w:type="dxa"/>
              <w:bottom w:w="60" w:type="dxa"/>
              <w:end w:w="95" w:type="dxa"/>
            </w:tcMar>
            <w:vAlign w:val="center"/>
          </w:tcPr>
          <w:p>
            <w:r>
              <w:rPr>
                <w:b/>
                <w:color w:val="000000"/>
              </w:rPr>
              <w:t>Task</w:t>
            </w:r>
          </w:p>
        </w:tc>
        <w:tc>
          <w:tcPr>
            <w:tcW w:type="dxa" w:w="4752"/>
            <w:shd w:fill="E6E6E6"/>
            <w:tcMar>
              <w:top w:w="60" w:type="dxa"/>
              <w:start w:w="95" w:type="dxa"/>
              <w:bottom w:w="60" w:type="dxa"/>
              <w:end w:w="95" w:type="dxa"/>
            </w:tcMar>
            <w:vAlign w:val="center"/>
          </w:tcPr>
          <w:p>
            <w:r>
              <w:rPr>
                <w:b/>
                <w:color w:val="000000"/>
              </w:rPr>
              <w:t>What the Agent Does</w:t>
            </w:r>
          </w:p>
        </w:tc>
        <w:tc>
          <w:tcPr>
            <w:tcW w:type="dxa" w:w="2880"/>
            <w:shd w:fill="E6E6E6"/>
            <w:tcMar>
              <w:top w:w="60" w:type="dxa"/>
              <w:start w:w="95" w:type="dxa"/>
              <w:bottom w:w="60" w:type="dxa"/>
              <w:end w:w="95" w:type="dxa"/>
            </w:tcMar>
            <w:vAlign w:val="center"/>
          </w:tcPr>
          <w:p>
            <w:r>
              <w:rPr>
                <w:b/>
                <w:color w:val="000000"/>
              </w:rPr>
              <w:t>Output</w:t>
            </w:r>
          </w:p>
        </w:tc>
      </w:tr>
      <w:tr>
        <w:trPr>
          <w:cantSplit/>
        </w:trPr>
        <w:tc>
          <w:tcPr>
            <w:tcW w:type="dxa" w:w="2376"/>
            <w:tcMar>
              <w:top w:w="60" w:type="dxa"/>
              <w:start w:w="95" w:type="dxa"/>
              <w:bottom w:w="60" w:type="dxa"/>
              <w:end w:w="95" w:type="dxa"/>
            </w:tcMar>
            <w:vAlign w:val="center"/>
          </w:tcPr>
          <w:p>
            <w:r>
              <w:rPr>
                <w:color w:val="000000"/>
              </w:rPr>
              <w:t>Task A: User Modeling</w:t>
            </w:r>
          </w:p>
        </w:tc>
        <w:tc>
          <w:tcPr>
            <w:tcW w:type="dxa" w:w="4752"/>
            <w:tcMar>
              <w:top w:w="60" w:type="dxa"/>
              <w:start w:w="95" w:type="dxa"/>
              <w:bottom w:w="60" w:type="dxa"/>
              <w:end w:w="95" w:type="dxa"/>
            </w:tcMar>
            <w:vAlign w:val="center"/>
          </w:tcPr>
          <w:p>
            <w:r>
              <w:rPr>
                <w:color w:val="000000"/>
              </w:rPr>
              <w:t>Predicts realistic star ratings and generates grounded, tone-aware reviews for unseen items.</w:t>
            </w:r>
          </w:p>
        </w:tc>
        <w:tc>
          <w:tcPr>
            <w:tcW w:type="dxa" w:w="2880"/>
            <w:tcMar>
              <w:top w:w="60" w:type="dxa"/>
              <w:start w:w="95" w:type="dxa"/>
              <w:bottom w:w="60" w:type="dxa"/>
              <w:end w:w="95" w:type="dxa"/>
            </w:tcMar>
            <w:vAlign w:val="center"/>
          </w:tcPr>
          <w:p>
            <w:r>
              <w:rPr>
                <w:color w:val="000000"/>
              </w:rPr>
              <w:t>Rating, review, confidence, reasoning, evidence</w:t>
            </w:r>
          </w:p>
        </w:tc>
      </w:tr>
      <w:tr>
        <w:trPr>
          <w:cantSplit/>
        </w:trPr>
        <w:tc>
          <w:tcPr>
            <w:tcW w:type="dxa" w:w="2376"/>
            <w:tcMar>
              <w:top w:w="60" w:type="dxa"/>
              <w:start w:w="95" w:type="dxa"/>
              <w:bottom w:w="60" w:type="dxa"/>
              <w:end w:w="95" w:type="dxa"/>
            </w:tcMar>
            <w:vAlign w:val="center"/>
          </w:tcPr>
          <w:p>
            <w:r>
              <w:rPr>
                <w:color w:val="000000"/>
              </w:rPr>
              <w:t>Task B: Recommendation</w:t>
            </w:r>
          </w:p>
        </w:tc>
        <w:tc>
          <w:tcPr>
            <w:tcW w:type="dxa" w:w="4752"/>
            <w:tcMar>
              <w:top w:w="60" w:type="dxa"/>
              <w:start w:w="95" w:type="dxa"/>
              <w:bottom w:w="60" w:type="dxa"/>
              <w:end w:w="95" w:type="dxa"/>
            </w:tcMar>
            <w:vAlign w:val="center"/>
          </w:tcPr>
          <w:p>
            <w:r>
              <w:rPr>
                <w:color w:val="000000"/>
              </w:rPr>
              <w:t>Produces contextual, cross-domain rankings that work for cold-start and history-rich users.</w:t>
            </w:r>
          </w:p>
        </w:tc>
        <w:tc>
          <w:tcPr>
            <w:tcW w:type="dxa" w:w="2880"/>
            <w:tcMar>
              <w:top w:w="60" w:type="dxa"/>
              <w:start w:w="95" w:type="dxa"/>
              <w:bottom w:w="60" w:type="dxa"/>
              <w:end w:w="95" w:type="dxa"/>
            </w:tcMar>
            <w:vAlign w:val="center"/>
          </w:tcPr>
          <w:p>
            <w:r>
              <w:rPr>
                <w:color w:val="000000"/>
              </w:rPr>
              <w:t>Top recommendations, reasons, matched preferences</w:t>
            </w:r>
          </w:p>
        </w:tc>
      </w:tr>
    </w:tbl>
    <w:p>
      <w:pPr>
        <w:pStyle w:val="Heading2"/>
      </w:pPr>
      <w:r>
        <w:rPr>
          <w:color w:val="000000"/>
        </w:rPr>
        <w:t>What Makes Team Ace Different</w:t>
      </w:r>
    </w:p>
    <w:p>
      <w:pPr>
        <w:pStyle w:val="ListBullet"/>
        <w:spacing w:after="50"/>
      </w:pPr>
      <w:r>
        <w:rPr>
          <w:color w:val="000000"/>
        </w:rPr>
        <w:t>Local transparent scoring makes decisions auditable before any LLM text is generated.</w:t>
      </w:r>
    </w:p>
    <w:p>
      <w:pPr>
        <w:pStyle w:val="ListBullet"/>
        <w:spacing w:after="50"/>
      </w:pPr>
      <w:r>
        <w:rPr>
          <w:color w:val="000000"/>
        </w:rPr>
        <w:t>Groq is used as a controlled language layer for fluency, not as an opaque decision maker.</w:t>
      </w:r>
    </w:p>
    <w:p>
      <w:pPr>
        <w:pStyle w:val="ListBullet"/>
        <w:spacing w:after="50"/>
      </w:pPr>
      <w:r>
        <w:rPr>
          <w:color w:val="000000"/>
        </w:rPr>
        <w:t>Nigerian context is treated as product-relevant behavior: budget pressure, family use, local routines, weather, language, and taste.</w:t>
      </w:r>
    </w:p>
    <w:p>
      <w:pPr>
        <w:pStyle w:val="ListBullet"/>
        <w:spacing w:after="50"/>
      </w:pPr>
      <w:r>
        <w:rPr>
          <w:color w:val="000000"/>
        </w:rPr>
        <w:t>The app is production-minded: FastAPI, web UI, Docker/Render deployment, tests, real subset metrics, and no-key fallbacks.</w:t>
      </w:r>
    </w:p>
    <w:tbl>
      <w:tblPr>
        <w:tblStyle w:val="TableGrid"/>
        <w:tblW w:type="auto" w:w="0"/>
        <w:jc w:val="left"/>
        <w:tblLook w:firstColumn="1" w:firstRow="1" w:lastColumn="0" w:lastRow="0" w:noHBand="0" w:noVBand="1" w:val="04A0"/>
      </w:tblPr>
      <w:tblGrid>
        <w:gridCol w:w="2556"/>
        <w:gridCol w:w="2556"/>
        <w:gridCol w:w="2556"/>
        <w:gridCol w:w="2556"/>
      </w:tblGrid>
      <w:tr>
        <w:trPr>
          <w:tblHeader w:val="true"/>
          <w:cantSplit/>
        </w:trPr>
        <w:tc>
          <w:tcPr>
            <w:tcW w:type="dxa" w:w="2088"/>
            <w:shd w:fill="E6E6E6"/>
            <w:tcMar>
              <w:top w:w="60" w:type="dxa"/>
              <w:start w:w="95" w:type="dxa"/>
              <w:bottom w:w="60" w:type="dxa"/>
              <w:end w:w="95" w:type="dxa"/>
            </w:tcMar>
            <w:vAlign w:val="center"/>
          </w:tcPr>
          <w:p>
            <w:r>
              <w:rPr>
                <w:b/>
                <w:color w:val="000000"/>
              </w:rPr>
              <w:t>Key Result</w:t>
            </w:r>
          </w:p>
        </w:tc>
        <w:tc>
          <w:tcPr>
            <w:tcW w:type="dxa" w:w="1728"/>
            <w:shd w:fill="E6E6E6"/>
            <w:tcMar>
              <w:top w:w="60" w:type="dxa"/>
              <w:start w:w="95" w:type="dxa"/>
              <w:bottom w:w="60" w:type="dxa"/>
              <w:end w:w="95" w:type="dxa"/>
            </w:tcMar>
            <w:vAlign w:val="center"/>
          </w:tcPr>
          <w:p>
            <w:r>
              <w:rPr>
                <w:b/>
                <w:color w:val="000000"/>
              </w:rPr>
              <w:t>Team Ace</w:t>
            </w:r>
          </w:p>
        </w:tc>
        <w:tc>
          <w:tcPr>
            <w:tcW w:type="dxa" w:w="1728"/>
            <w:shd w:fill="E6E6E6"/>
            <w:tcMar>
              <w:top w:w="60" w:type="dxa"/>
              <w:start w:w="95" w:type="dxa"/>
              <w:bottom w:w="60" w:type="dxa"/>
              <w:end w:w="95" w:type="dxa"/>
            </w:tcMar>
            <w:vAlign w:val="center"/>
          </w:tcPr>
          <w:p>
            <w:r>
              <w:rPr>
                <w:b/>
                <w:color w:val="000000"/>
              </w:rPr>
              <w:t>Baseline</w:t>
            </w:r>
          </w:p>
        </w:tc>
        <w:tc>
          <w:tcPr>
            <w:tcW w:type="dxa" w:w="4176"/>
            <w:shd w:fill="E6E6E6"/>
            <w:tcMar>
              <w:top w:w="60" w:type="dxa"/>
              <w:start w:w="95" w:type="dxa"/>
              <w:bottom w:w="60" w:type="dxa"/>
              <w:end w:w="95" w:type="dxa"/>
            </w:tcMar>
            <w:vAlign w:val="center"/>
          </w:tcPr>
          <w:p>
            <w:r>
              <w:rPr>
                <w:b/>
                <w:color w:val="000000"/>
              </w:rPr>
              <w:t>Why It Matters</w:t>
            </w:r>
          </w:p>
        </w:tc>
      </w:tr>
      <w:tr>
        <w:trPr>
          <w:cantSplit/>
        </w:trPr>
        <w:tc>
          <w:tcPr>
            <w:tcW w:type="dxa" w:w="2088"/>
            <w:tcMar>
              <w:top w:w="60" w:type="dxa"/>
              <w:start w:w="95" w:type="dxa"/>
              <w:bottom w:w="60" w:type="dxa"/>
              <w:end w:w="95" w:type="dxa"/>
            </w:tcMar>
            <w:vAlign w:val="center"/>
          </w:tcPr>
          <w:p>
            <w:r>
              <w:rPr>
                <w:color w:val="000000"/>
              </w:rPr>
              <w:t>Task A RMSE</w:t>
            </w:r>
          </w:p>
        </w:tc>
        <w:tc>
          <w:tcPr>
            <w:tcW w:type="dxa" w:w="1728"/>
            <w:tcMar>
              <w:top w:w="60" w:type="dxa"/>
              <w:start w:w="95" w:type="dxa"/>
              <w:bottom w:w="60" w:type="dxa"/>
              <w:end w:w="95" w:type="dxa"/>
            </w:tcMar>
            <w:vAlign w:val="center"/>
          </w:tcPr>
          <w:p>
            <w:r>
              <w:rPr>
                <w:color w:val="000000"/>
              </w:rPr>
              <w:t>0.7357</w:t>
            </w:r>
          </w:p>
        </w:tc>
        <w:tc>
          <w:tcPr>
            <w:tcW w:type="dxa" w:w="1728"/>
            <w:tcMar>
              <w:top w:w="60" w:type="dxa"/>
              <w:start w:w="95" w:type="dxa"/>
              <w:bottom w:w="60" w:type="dxa"/>
              <w:end w:w="95" w:type="dxa"/>
            </w:tcMar>
            <w:vAlign w:val="center"/>
          </w:tcPr>
          <w:p>
            <w:r>
              <w:rPr>
                <w:color w:val="000000"/>
              </w:rPr>
              <w:t>1.3133</w:t>
            </w:r>
          </w:p>
        </w:tc>
        <w:tc>
          <w:tcPr>
            <w:tcW w:type="dxa" w:w="4176"/>
            <w:tcMar>
              <w:top w:w="60" w:type="dxa"/>
              <w:start w:w="95" w:type="dxa"/>
              <w:bottom w:w="60" w:type="dxa"/>
              <w:end w:w="95" w:type="dxa"/>
            </w:tcMar>
            <w:vAlign w:val="center"/>
          </w:tcPr>
          <w:p>
            <w:r>
              <w:rPr>
                <w:color w:val="000000"/>
              </w:rPr>
              <w:t>Lower error from user-aware rating behavior</w:t>
            </w:r>
          </w:p>
        </w:tc>
      </w:tr>
      <w:tr>
        <w:trPr>
          <w:cantSplit/>
        </w:trPr>
        <w:tc>
          <w:tcPr>
            <w:tcW w:type="dxa" w:w="2088"/>
            <w:tcMar>
              <w:top w:w="60" w:type="dxa"/>
              <w:start w:w="95" w:type="dxa"/>
              <w:bottom w:w="60" w:type="dxa"/>
              <w:end w:w="95" w:type="dxa"/>
            </w:tcMar>
            <w:vAlign w:val="center"/>
          </w:tcPr>
          <w:p>
            <w:r>
              <w:rPr>
                <w:color w:val="000000"/>
              </w:rPr>
              <w:t>Task B NDCG@10</w:t>
            </w:r>
          </w:p>
        </w:tc>
        <w:tc>
          <w:tcPr>
            <w:tcW w:type="dxa" w:w="1728"/>
            <w:tcMar>
              <w:top w:w="60" w:type="dxa"/>
              <w:start w:w="95" w:type="dxa"/>
              <w:bottom w:w="60" w:type="dxa"/>
              <w:end w:w="95" w:type="dxa"/>
            </w:tcMar>
            <w:vAlign w:val="center"/>
          </w:tcPr>
          <w:p>
            <w:r>
              <w:rPr>
                <w:color w:val="000000"/>
              </w:rPr>
              <w:t>0.0481</w:t>
            </w:r>
          </w:p>
        </w:tc>
        <w:tc>
          <w:tcPr>
            <w:tcW w:type="dxa" w:w="1728"/>
            <w:tcMar>
              <w:top w:w="60" w:type="dxa"/>
              <w:start w:w="95" w:type="dxa"/>
              <w:bottom w:w="60" w:type="dxa"/>
              <w:end w:w="95" w:type="dxa"/>
            </w:tcMar>
            <w:vAlign w:val="center"/>
          </w:tcPr>
          <w:p>
            <w:r>
              <w:rPr>
                <w:color w:val="000000"/>
              </w:rPr>
              <w:t>0.0194</w:t>
            </w:r>
          </w:p>
        </w:tc>
        <w:tc>
          <w:tcPr>
            <w:tcW w:type="dxa" w:w="4176"/>
            <w:tcMar>
              <w:top w:w="60" w:type="dxa"/>
              <w:start w:w="95" w:type="dxa"/>
              <w:bottom w:w="60" w:type="dxa"/>
              <w:end w:w="95" w:type="dxa"/>
            </w:tcMar>
            <w:vAlign w:val="center"/>
          </w:tcPr>
          <w:p>
            <w:r>
              <w:rPr>
                <w:color w:val="000000"/>
              </w:rPr>
              <w:t>About 2.5x the popularity baseline</w:t>
            </w:r>
          </w:p>
        </w:tc>
      </w:tr>
      <w:tr>
        <w:trPr>
          <w:cantSplit/>
        </w:trPr>
        <w:tc>
          <w:tcPr>
            <w:tcW w:type="dxa" w:w="2088"/>
            <w:tcMar>
              <w:top w:w="60" w:type="dxa"/>
              <w:start w:w="95" w:type="dxa"/>
              <w:bottom w:w="60" w:type="dxa"/>
              <w:end w:w="95" w:type="dxa"/>
            </w:tcMar>
            <w:vAlign w:val="center"/>
          </w:tcPr>
          <w:p>
            <w:r>
              <w:rPr>
                <w:color w:val="000000"/>
              </w:rPr>
              <w:t>Reproducibility</w:t>
            </w:r>
          </w:p>
        </w:tc>
        <w:tc>
          <w:tcPr>
            <w:tcW w:type="dxa" w:w="1728"/>
            <w:tcMar>
              <w:top w:w="60" w:type="dxa"/>
              <w:start w:w="95" w:type="dxa"/>
              <w:bottom w:w="60" w:type="dxa"/>
              <w:end w:w="95" w:type="dxa"/>
            </w:tcMar>
            <w:vAlign w:val="center"/>
          </w:tcPr>
          <w:p>
            <w:r>
              <w:rPr>
                <w:color w:val="000000"/>
              </w:rPr>
              <w:t>Container, tests, fallback</w:t>
            </w:r>
          </w:p>
        </w:tc>
        <w:tc>
          <w:tcPr>
            <w:tcW w:type="dxa" w:w="1728"/>
            <w:tcMar>
              <w:top w:w="60" w:type="dxa"/>
              <w:start w:w="95" w:type="dxa"/>
              <w:bottom w:w="60" w:type="dxa"/>
              <w:end w:w="95" w:type="dxa"/>
            </w:tcMar>
            <w:vAlign w:val="center"/>
          </w:tcPr>
          <w:p>
            <w:r>
              <w:rPr>
                <w:color w:val="000000"/>
              </w:rPr>
              <w:t>Manual-only demos</w:t>
            </w:r>
          </w:p>
        </w:tc>
        <w:tc>
          <w:tcPr>
            <w:tcW w:type="dxa" w:w="4176"/>
            <w:tcMar>
              <w:top w:w="60" w:type="dxa"/>
              <w:start w:w="95" w:type="dxa"/>
              <w:bottom w:w="60" w:type="dxa"/>
              <w:end w:w="95" w:type="dxa"/>
            </w:tcMar>
            <w:vAlign w:val="center"/>
          </w:tcPr>
          <w:p>
            <w:r>
              <w:rPr>
                <w:color w:val="000000"/>
              </w:rPr>
              <w:t>Judges can run and inspect the system</w:t>
            </w:r>
          </w:p>
        </w:tc>
      </w:tr>
    </w:tbl>
    <w:p>
      <w:pPr>
        <w:pStyle w:val="Heading1"/>
      </w:pPr>
      <w:r>
        <w:rPr>
          <w:color w:val="000000"/>
        </w:rPr>
        <w:t>1. Why Static Profiles Fail Nigerian Consumers</w:t>
      </w:r>
    </w:p>
    <w:p>
      <w:r>
        <w:rPr>
          <w:color w:val="000000"/>
        </w:rPr>
        <w:t>Real consumer behavior is dynamic, contextual, and culturally rich. A Lagos student may value affordability, transport convenience, multiplayer entertainment, and quick meals in the same week. An Abuja professional may care more about dependable weekday routines, heat-friendly skincare, and polished media choices. A Port Harcourt family shopper may optimize for guests, children, home use, and value packs. A static profile misses those shifts.</w:t>
      </w:r>
    </w:p>
    <w:p>
      <w:r>
        <w:rPr>
          <w:color w:val="000000"/>
        </w:rPr>
        <w:t>Traditional recommenders are strong at repeated patterns but weak at explanation, cold-start, and cross-domain context. Pure LLM systems can sound fluent but often hide the decision logic. Our opportunity is to combine both: measurable behavioral intelligence first, controlled language generation second.</w:t>
      </w:r>
    </w:p>
    <w:p>
      <w:pPr>
        <w:spacing w:before="120" w:after="160"/>
        <w:jc w:val="center"/>
      </w:pPr>
      <w:r>
        <w:rPr>
          <w:b/>
          <w:i/>
          <w:color w:val="000000"/>
          <w:sz w:val="28"/>
        </w:rPr>
        <w:t>"Users are not fixed vectors; they are changing stories."</w:t>
      </w:r>
    </w:p>
    <w:p>
      <w:pPr>
        <w:pStyle w:val="Heading1"/>
      </w:pPr>
      <w:r>
        <w:rPr>
          <w:color w:val="000000"/>
        </w:rPr>
        <w:t>2. Our Philosophy: Transparent Intelligence Meets Cultural Depth</w:t>
      </w:r>
    </w:p>
    <w:p>
      <w:r>
        <w:rPr>
          <w:color w:val="000000"/>
        </w:rPr>
        <w:t>Team Ace takes a hybrid agentic approach that stands apart from pure LLM sprawl and black-box recommenders. The same persona object powers both tasks, but the architecture separates memory, retrieval, scoring, generation, and evaluation.</w:t>
      </w:r>
    </w:p>
    <w:tbl>
      <w:tblPr>
        <w:tblStyle w:val="TableGrid"/>
        <w:tblW w:type="auto" w:w="0"/>
        <w:jc w:val="left"/>
        <w:tblLook w:firstColumn="1" w:firstRow="1" w:lastColumn="0" w:lastRow="0" w:noHBand="0" w:noVBand="1" w:val="04A0"/>
      </w:tblPr>
      <w:tblGrid>
        <w:gridCol w:w="2556"/>
        <w:gridCol w:w="2556"/>
        <w:gridCol w:w="2556"/>
        <w:gridCol w:w="2556"/>
      </w:tblGrid>
      <w:tr>
        <w:trPr>
          <w:tblHeader w:val="true"/>
          <w:cantSplit/>
        </w:trPr>
        <w:tc>
          <w:tcPr>
            <w:tcW w:type="dxa" w:w="1728"/>
            <w:shd w:fill="E6E6E6"/>
            <w:tcMar>
              <w:top w:w="60" w:type="dxa"/>
              <w:start w:w="95" w:type="dxa"/>
              <w:bottom w:w="60" w:type="dxa"/>
              <w:end w:w="95" w:type="dxa"/>
            </w:tcMar>
            <w:vAlign w:val="center"/>
          </w:tcPr>
          <w:p>
            <w:r>
              <w:rPr>
                <w:b/>
                <w:color w:val="000000"/>
              </w:rPr>
              <w:t>Aspect</w:t>
            </w:r>
          </w:p>
        </w:tc>
        <w:tc>
          <w:tcPr>
            <w:tcW w:type="dxa" w:w="2448"/>
            <w:shd w:fill="E6E6E6"/>
            <w:tcMar>
              <w:top w:w="60" w:type="dxa"/>
              <w:start w:w="95" w:type="dxa"/>
              <w:bottom w:w="60" w:type="dxa"/>
              <w:end w:w="95" w:type="dxa"/>
            </w:tcMar>
            <w:vAlign w:val="center"/>
          </w:tcPr>
          <w:p>
            <w:r>
              <w:rPr>
                <w:b/>
                <w:color w:val="000000"/>
              </w:rPr>
              <w:t>Typical Solutions</w:t>
            </w:r>
          </w:p>
        </w:tc>
        <w:tc>
          <w:tcPr>
            <w:tcW w:type="dxa" w:w="3168"/>
            <w:shd w:fill="E6E6E6"/>
            <w:tcMar>
              <w:top w:w="60" w:type="dxa"/>
              <w:start w:w="95" w:type="dxa"/>
              <w:bottom w:w="60" w:type="dxa"/>
              <w:end w:w="95" w:type="dxa"/>
            </w:tcMar>
            <w:vAlign w:val="center"/>
          </w:tcPr>
          <w:p>
            <w:r>
              <w:rPr>
                <w:b/>
                <w:color w:val="000000"/>
              </w:rPr>
              <w:t>Team Ace Approach</w:t>
            </w:r>
          </w:p>
        </w:tc>
        <w:tc>
          <w:tcPr>
            <w:tcW w:type="dxa" w:w="2448"/>
            <w:shd w:fill="E6E6E6"/>
            <w:tcMar>
              <w:top w:w="60" w:type="dxa"/>
              <w:start w:w="95" w:type="dxa"/>
              <w:bottom w:w="60" w:type="dxa"/>
              <w:end w:w="95" w:type="dxa"/>
            </w:tcMar>
            <w:vAlign w:val="center"/>
          </w:tcPr>
          <w:p>
            <w:r>
              <w:rPr>
                <w:b/>
                <w:color w:val="000000"/>
              </w:rPr>
              <w:t>Advantage</w:t>
            </w:r>
          </w:p>
        </w:tc>
      </w:tr>
      <w:tr>
        <w:trPr>
          <w:cantSplit/>
        </w:trPr>
        <w:tc>
          <w:tcPr>
            <w:tcW w:type="dxa" w:w="1728"/>
            <w:tcMar>
              <w:top w:w="60" w:type="dxa"/>
              <w:start w:w="95" w:type="dxa"/>
              <w:bottom w:w="60" w:type="dxa"/>
              <w:end w:w="95" w:type="dxa"/>
            </w:tcMar>
            <w:vAlign w:val="center"/>
          </w:tcPr>
          <w:p>
            <w:r>
              <w:rPr>
                <w:color w:val="000000"/>
              </w:rPr>
              <w:t>Scoring</w:t>
            </w:r>
          </w:p>
        </w:tc>
        <w:tc>
          <w:tcPr>
            <w:tcW w:type="dxa" w:w="2448"/>
            <w:tcMar>
              <w:top w:w="60" w:type="dxa"/>
              <w:start w:w="95" w:type="dxa"/>
              <w:bottom w:w="60" w:type="dxa"/>
              <w:end w:w="95" w:type="dxa"/>
            </w:tcMar>
            <w:vAlign w:val="center"/>
          </w:tcPr>
          <w:p>
            <w:r>
              <w:rPr>
                <w:color w:val="000000"/>
              </w:rPr>
              <w:t>Opaque LLM calls</w:t>
            </w:r>
          </w:p>
        </w:tc>
        <w:tc>
          <w:tcPr>
            <w:tcW w:type="dxa" w:w="3168"/>
            <w:tcMar>
              <w:top w:w="60" w:type="dxa"/>
              <w:start w:w="95" w:type="dxa"/>
              <w:bottom w:w="60" w:type="dxa"/>
              <w:end w:w="95" w:type="dxa"/>
            </w:tcMar>
            <w:vAlign w:val="center"/>
          </w:tcPr>
          <w:p>
            <w:r>
              <w:rPr>
                <w:color w:val="000000"/>
              </w:rPr>
              <w:t>Local interpretable ensembles</w:t>
            </w:r>
          </w:p>
        </w:tc>
        <w:tc>
          <w:tcPr>
            <w:tcW w:type="dxa" w:w="2448"/>
            <w:tcMar>
              <w:top w:w="60" w:type="dxa"/>
              <w:start w:w="95" w:type="dxa"/>
              <w:bottom w:w="60" w:type="dxa"/>
              <w:end w:w="95" w:type="dxa"/>
            </w:tcMar>
            <w:vAlign w:val="center"/>
          </w:tcPr>
          <w:p>
            <w:r>
              <w:rPr>
                <w:color w:val="000000"/>
              </w:rPr>
              <w:t>Auditable and reproducible</w:t>
            </w:r>
          </w:p>
        </w:tc>
      </w:tr>
      <w:tr>
        <w:trPr>
          <w:cantSplit/>
        </w:trPr>
        <w:tc>
          <w:tcPr>
            <w:tcW w:type="dxa" w:w="1728"/>
            <w:tcMar>
              <w:top w:w="60" w:type="dxa"/>
              <w:start w:w="95" w:type="dxa"/>
              <w:bottom w:w="60" w:type="dxa"/>
              <w:end w:w="95" w:type="dxa"/>
            </w:tcMar>
            <w:vAlign w:val="center"/>
          </w:tcPr>
          <w:p>
            <w:r>
              <w:rPr>
                <w:color w:val="000000"/>
              </w:rPr>
              <w:t>Language</w:t>
            </w:r>
          </w:p>
        </w:tc>
        <w:tc>
          <w:tcPr>
            <w:tcW w:type="dxa" w:w="2448"/>
            <w:tcMar>
              <w:top w:w="60" w:type="dxa"/>
              <w:start w:w="95" w:type="dxa"/>
              <w:bottom w:w="60" w:type="dxa"/>
              <w:end w:w="95" w:type="dxa"/>
            </w:tcMar>
            <w:vAlign w:val="center"/>
          </w:tcPr>
          <w:p>
            <w:r>
              <w:rPr>
                <w:color w:val="000000"/>
              </w:rPr>
              <w:t>LLM does everything</w:t>
            </w:r>
          </w:p>
        </w:tc>
        <w:tc>
          <w:tcPr>
            <w:tcW w:type="dxa" w:w="3168"/>
            <w:tcMar>
              <w:top w:w="60" w:type="dxa"/>
              <w:start w:w="95" w:type="dxa"/>
              <w:bottom w:w="60" w:type="dxa"/>
              <w:end w:w="95" w:type="dxa"/>
            </w:tcMar>
            <w:vAlign w:val="center"/>
          </w:tcPr>
          <w:p>
            <w:r>
              <w:rPr>
                <w:color w:val="000000"/>
              </w:rPr>
              <w:t>Groq only after decisions</w:t>
            </w:r>
          </w:p>
        </w:tc>
        <w:tc>
          <w:tcPr>
            <w:tcW w:type="dxa" w:w="2448"/>
            <w:tcMar>
              <w:top w:w="60" w:type="dxa"/>
              <w:start w:w="95" w:type="dxa"/>
              <w:bottom w:w="60" w:type="dxa"/>
              <w:end w:w="95" w:type="dxa"/>
            </w:tcMar>
            <w:vAlign w:val="center"/>
          </w:tcPr>
          <w:p>
            <w:r>
              <w:rPr>
                <w:color w:val="000000"/>
              </w:rPr>
              <w:t>Controllable and consistent</w:t>
            </w:r>
          </w:p>
        </w:tc>
      </w:tr>
      <w:tr>
        <w:trPr>
          <w:cantSplit/>
        </w:trPr>
        <w:tc>
          <w:tcPr>
            <w:tcW w:type="dxa" w:w="1728"/>
            <w:tcMar>
              <w:top w:w="60" w:type="dxa"/>
              <w:start w:w="95" w:type="dxa"/>
              <w:bottom w:w="60" w:type="dxa"/>
              <w:end w:w="95" w:type="dxa"/>
            </w:tcMar>
            <w:vAlign w:val="center"/>
          </w:tcPr>
          <w:p>
            <w:r>
              <w:rPr>
                <w:color w:val="000000"/>
              </w:rPr>
              <w:t>User model</w:t>
            </w:r>
          </w:p>
        </w:tc>
        <w:tc>
          <w:tcPr>
            <w:tcW w:type="dxa" w:w="2448"/>
            <w:tcMar>
              <w:top w:w="60" w:type="dxa"/>
              <w:start w:w="95" w:type="dxa"/>
              <w:bottom w:w="60" w:type="dxa"/>
              <w:end w:w="95" w:type="dxa"/>
            </w:tcMar>
            <w:vAlign w:val="center"/>
          </w:tcPr>
          <w:p>
            <w:r>
              <w:rPr>
                <w:color w:val="000000"/>
              </w:rPr>
              <w:t>Static embeddings</w:t>
            </w:r>
          </w:p>
        </w:tc>
        <w:tc>
          <w:tcPr>
            <w:tcW w:type="dxa" w:w="3168"/>
            <w:tcMar>
              <w:top w:w="60" w:type="dxa"/>
              <w:start w:w="95" w:type="dxa"/>
              <w:bottom w:w="60" w:type="dxa"/>
              <w:end w:w="95" w:type="dxa"/>
            </w:tcMar>
            <w:vAlign w:val="center"/>
          </w:tcPr>
          <w:p>
            <w:r>
              <w:rPr>
                <w:color w:val="000000"/>
              </w:rPr>
              <w:t>Dynamic traces plus Nigerian signals</w:t>
            </w:r>
          </w:p>
        </w:tc>
        <w:tc>
          <w:tcPr>
            <w:tcW w:type="dxa" w:w="2448"/>
            <w:tcMar>
              <w:top w:w="60" w:type="dxa"/>
              <w:start w:w="95" w:type="dxa"/>
              <w:bottom w:w="60" w:type="dxa"/>
              <w:end w:w="95" w:type="dxa"/>
            </w:tcMar>
            <w:vAlign w:val="center"/>
          </w:tcPr>
          <w:p>
            <w:r>
              <w:rPr>
                <w:color w:val="000000"/>
              </w:rPr>
              <w:t>Culturally relevant</w:t>
            </w:r>
          </w:p>
        </w:tc>
      </w:tr>
      <w:tr>
        <w:trPr>
          <w:cantSplit/>
        </w:trPr>
        <w:tc>
          <w:tcPr>
            <w:tcW w:type="dxa" w:w="1728"/>
            <w:tcMar>
              <w:top w:w="60" w:type="dxa"/>
              <w:start w:w="95" w:type="dxa"/>
              <w:bottom w:w="60" w:type="dxa"/>
              <w:end w:w="95" w:type="dxa"/>
            </w:tcMar>
            <w:vAlign w:val="center"/>
          </w:tcPr>
          <w:p>
            <w:r>
              <w:rPr>
                <w:color w:val="000000"/>
              </w:rPr>
              <w:t>Architecture</w:t>
            </w:r>
          </w:p>
        </w:tc>
        <w:tc>
          <w:tcPr>
            <w:tcW w:type="dxa" w:w="2448"/>
            <w:tcMar>
              <w:top w:w="60" w:type="dxa"/>
              <w:start w:w="95" w:type="dxa"/>
              <w:bottom w:w="60" w:type="dxa"/>
              <w:end w:w="95" w:type="dxa"/>
            </w:tcMar>
            <w:vAlign w:val="center"/>
          </w:tcPr>
          <w:p>
            <w:r>
              <w:rPr>
                <w:color w:val="000000"/>
              </w:rPr>
              <w:t>Monolithic</w:t>
            </w:r>
          </w:p>
        </w:tc>
        <w:tc>
          <w:tcPr>
            <w:tcW w:type="dxa" w:w="3168"/>
            <w:tcMar>
              <w:top w:w="60" w:type="dxa"/>
              <w:start w:w="95" w:type="dxa"/>
              <w:bottom w:w="60" w:type="dxa"/>
              <w:end w:w="95" w:type="dxa"/>
            </w:tcMar>
            <w:vAlign w:val="center"/>
          </w:tcPr>
          <w:p>
            <w:r>
              <w:rPr>
                <w:color w:val="000000"/>
              </w:rPr>
              <w:t>Bounded agentic workflow</w:t>
            </w:r>
          </w:p>
        </w:tc>
        <w:tc>
          <w:tcPr>
            <w:tcW w:type="dxa" w:w="2448"/>
            <w:tcMar>
              <w:top w:w="60" w:type="dxa"/>
              <w:start w:w="95" w:type="dxa"/>
              <w:bottom w:w="60" w:type="dxa"/>
              <w:end w:w="95" w:type="dxa"/>
            </w:tcMar>
            <w:vAlign w:val="center"/>
          </w:tcPr>
          <w:p>
            <w:r>
              <w:rPr>
                <w:color w:val="000000"/>
              </w:rPr>
              <w:t>Reliable for judges</w:t>
            </w:r>
          </w:p>
        </w:tc>
      </w:tr>
    </w:tbl>
    <w:p>
      <w:r>
        <w:rPr>
          <w:color w:val="000000"/>
        </w:rPr>
        <w:t>The result is a system that is both measurable and human: numerical decisions are transparent, while the final review and recommendation explanations still feel natural.</w:t>
      </w:r>
    </w:p>
    <w:p>
      <w:r>
        <w:rPr>
          <w:color w:val="000000"/>
        </w:rPr>
        <w:br w:type="page"/>
      </w:r>
    </w:p>
    <w:p>
      <w:pPr>
        <w:pStyle w:val="Heading1"/>
      </w:pPr>
      <w:r>
        <w:rPr>
          <w:color w:val="000000"/>
        </w:rPr>
        <w:t>3. System Architecture</w:t>
      </w:r>
    </w:p>
    <w:p>
      <w:pPr>
        <w:jc w:val="center"/>
      </w:pPr>
      <w:r>
        <w:rPr>
          <w:color w:val="000000"/>
        </w:rPr>
        <w:drawing>
          <wp:inline xmlns:a="http://schemas.openxmlformats.org/drawingml/2006/main" xmlns:pic="http://schemas.openxmlformats.org/drawingml/2006/picture">
            <wp:extent cx="6080760" cy="288836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80760" cy="2888361"/>
                    </a:xfrm>
                    <a:prstGeom prst="rect"/>
                  </pic:spPr>
                </pic:pic>
              </a:graphicData>
            </a:graphic>
          </wp:inline>
        </w:drawing>
      </w:r>
    </w:p>
    <w:p>
      <w:pPr>
        <w:jc w:val="center"/>
      </w:pPr>
      <w:r>
        <w:rPr>
          <w:color w:val="000000"/>
          <w:sz w:val="18"/>
        </w:rPr>
        <w:t>Figure 1. The Agent Studio keeps behavioral scoring local and uses Groq only after structured validation.</w:t>
      </w:r>
    </w:p>
    <w:tbl>
      <w:tblPr>
        <w:tblStyle w:val="TableGrid"/>
        <w:tblW w:type="auto" w:w="0"/>
        <w:jc w:val="left"/>
        <w:tblLook w:firstColumn="1" w:firstRow="1" w:lastColumn="0" w:lastRow="0" w:noHBand="0" w:noVBand="1" w:val="04A0"/>
      </w:tblPr>
      <w:tblGrid>
        <w:gridCol w:w="3408"/>
        <w:gridCol w:w="3408"/>
        <w:gridCol w:w="3408"/>
      </w:tblGrid>
      <w:tr>
        <w:trPr>
          <w:tblHeader w:val="true"/>
          <w:cantSplit/>
        </w:trPr>
        <w:tc>
          <w:tcPr>
            <w:tcW w:type="dxa" w:w="1944"/>
            <w:shd w:fill="E6E6E6"/>
            <w:tcMar>
              <w:top w:w="60" w:type="dxa"/>
              <w:start w:w="95" w:type="dxa"/>
              <w:bottom w:w="60" w:type="dxa"/>
              <w:end w:w="95" w:type="dxa"/>
            </w:tcMar>
            <w:vAlign w:val="center"/>
          </w:tcPr>
          <w:p>
            <w:r>
              <w:rPr>
                <w:b/>
                <w:color w:val="000000"/>
              </w:rPr>
              <w:t>Layer</w:t>
            </w:r>
          </w:p>
        </w:tc>
        <w:tc>
          <w:tcPr>
            <w:tcW w:type="dxa" w:w="2592"/>
            <w:shd w:fill="E6E6E6"/>
            <w:tcMar>
              <w:top w:w="60" w:type="dxa"/>
              <w:start w:w="95" w:type="dxa"/>
              <w:bottom w:w="60" w:type="dxa"/>
              <w:end w:w="95" w:type="dxa"/>
            </w:tcMar>
            <w:vAlign w:val="center"/>
          </w:tcPr>
          <w:p>
            <w:r>
              <w:rPr>
                <w:b/>
                <w:color w:val="000000"/>
              </w:rPr>
              <w:t>Role</w:t>
            </w:r>
          </w:p>
        </w:tc>
        <w:tc>
          <w:tcPr>
            <w:tcW w:type="dxa" w:w="4824"/>
            <w:shd w:fill="E6E6E6"/>
            <w:tcMar>
              <w:top w:w="60" w:type="dxa"/>
              <w:start w:w="95" w:type="dxa"/>
              <w:bottom w:w="60" w:type="dxa"/>
              <w:end w:w="95" w:type="dxa"/>
            </w:tcMar>
            <w:vAlign w:val="center"/>
          </w:tcPr>
          <w:p>
            <w:r>
              <w:rPr>
                <w:b/>
                <w:color w:val="000000"/>
              </w:rPr>
              <w:t>Implementation</w:t>
            </w:r>
          </w:p>
        </w:tc>
      </w:tr>
      <w:tr>
        <w:trPr>
          <w:cantSplit/>
        </w:trPr>
        <w:tc>
          <w:tcPr>
            <w:tcW w:type="dxa" w:w="1944"/>
            <w:tcMar>
              <w:top w:w="60" w:type="dxa"/>
              <w:start w:w="95" w:type="dxa"/>
              <w:bottom w:w="60" w:type="dxa"/>
              <w:end w:w="95" w:type="dxa"/>
            </w:tcMar>
            <w:vAlign w:val="center"/>
          </w:tcPr>
          <w:p>
            <w:r>
              <w:rPr>
                <w:color w:val="000000"/>
              </w:rPr>
              <w:t>Persona Modeling</w:t>
            </w:r>
          </w:p>
        </w:tc>
        <w:tc>
          <w:tcPr>
            <w:tcW w:type="dxa" w:w="2592"/>
            <w:tcMar>
              <w:top w:w="60" w:type="dxa"/>
              <w:start w:w="95" w:type="dxa"/>
              <w:bottom w:w="60" w:type="dxa"/>
              <w:end w:w="95" w:type="dxa"/>
            </w:tcMar>
            <w:vAlign w:val="center"/>
          </w:tcPr>
          <w:p>
            <w:r>
              <w:rPr>
                <w:color w:val="000000"/>
              </w:rPr>
              <w:t>Compress history and context</w:t>
            </w:r>
          </w:p>
        </w:tc>
        <w:tc>
          <w:tcPr>
            <w:tcW w:type="dxa" w:w="4824"/>
            <w:tcMar>
              <w:top w:w="60" w:type="dxa"/>
              <w:start w:w="95" w:type="dxa"/>
              <w:bottom w:w="60" w:type="dxa"/>
              <w:end w:w="95" w:type="dxa"/>
            </w:tcMar>
            <w:vAlign w:val="center"/>
          </w:tcPr>
          <w:p>
            <w:r>
              <w:rPr>
                <w:color w:val="000000"/>
              </w:rPr>
              <w:t>Rating bias, category affinity, likes/dislikes, budget, tone, location</w:t>
            </w:r>
          </w:p>
        </w:tc>
      </w:tr>
      <w:tr>
        <w:trPr>
          <w:cantSplit/>
        </w:trPr>
        <w:tc>
          <w:tcPr>
            <w:tcW w:type="dxa" w:w="1944"/>
            <w:tcMar>
              <w:top w:w="60" w:type="dxa"/>
              <w:start w:w="95" w:type="dxa"/>
              <w:bottom w:w="60" w:type="dxa"/>
              <w:end w:w="95" w:type="dxa"/>
            </w:tcMar>
            <w:vAlign w:val="center"/>
          </w:tcPr>
          <w:p>
            <w:r>
              <w:rPr>
                <w:color w:val="000000"/>
              </w:rPr>
              <w:t>Retrieval Memory</w:t>
            </w:r>
          </w:p>
        </w:tc>
        <w:tc>
          <w:tcPr>
            <w:tcW w:type="dxa" w:w="2592"/>
            <w:tcMar>
              <w:top w:w="60" w:type="dxa"/>
              <w:start w:w="95" w:type="dxa"/>
              <w:bottom w:w="60" w:type="dxa"/>
              <w:end w:w="95" w:type="dxa"/>
            </w:tcMar>
            <w:vAlign w:val="center"/>
          </w:tcPr>
          <w:p>
            <w:r>
              <w:rPr>
                <w:color w:val="000000"/>
              </w:rPr>
              <w:t>Ground behavior</w:t>
            </w:r>
          </w:p>
        </w:tc>
        <w:tc>
          <w:tcPr>
            <w:tcW w:type="dxa" w:w="4824"/>
            <w:tcMar>
              <w:top w:w="60" w:type="dxa"/>
              <w:start w:w="95" w:type="dxa"/>
              <w:bottom w:w="60" w:type="dxa"/>
              <w:end w:w="95" w:type="dxa"/>
            </w:tcMar>
            <w:vAlign w:val="center"/>
          </w:tcPr>
          <w:p>
            <w:r>
              <w:rPr>
                <w:color w:val="000000"/>
              </w:rPr>
              <w:t>Similar reviews by category, keywords, and user signals</w:t>
            </w:r>
          </w:p>
        </w:tc>
      </w:tr>
      <w:tr>
        <w:trPr>
          <w:cantSplit/>
        </w:trPr>
        <w:tc>
          <w:tcPr>
            <w:tcW w:type="dxa" w:w="1944"/>
            <w:tcMar>
              <w:top w:w="60" w:type="dxa"/>
              <w:start w:w="95" w:type="dxa"/>
              <w:bottom w:w="60" w:type="dxa"/>
              <w:end w:w="95" w:type="dxa"/>
            </w:tcMar>
            <w:vAlign w:val="center"/>
          </w:tcPr>
          <w:p>
            <w:r>
              <w:rPr>
                <w:color w:val="000000"/>
              </w:rPr>
              <w:t>Behavior Engine</w:t>
            </w:r>
          </w:p>
        </w:tc>
        <w:tc>
          <w:tcPr>
            <w:tcW w:type="dxa" w:w="2592"/>
            <w:tcMar>
              <w:top w:w="60" w:type="dxa"/>
              <w:start w:w="95" w:type="dxa"/>
              <w:bottom w:w="60" w:type="dxa"/>
              <w:end w:w="95" w:type="dxa"/>
            </w:tcMar>
            <w:vAlign w:val="center"/>
          </w:tcPr>
          <w:p>
            <w:r>
              <w:rPr>
                <w:color w:val="000000"/>
              </w:rPr>
              <w:t>Make local decisions</w:t>
            </w:r>
          </w:p>
        </w:tc>
        <w:tc>
          <w:tcPr>
            <w:tcW w:type="dxa" w:w="4824"/>
            <w:tcMar>
              <w:top w:w="60" w:type="dxa"/>
              <w:start w:w="95" w:type="dxa"/>
              <w:bottom w:w="60" w:type="dxa"/>
              <w:end w:w="95" w:type="dxa"/>
            </w:tcMar>
            <w:vAlign w:val="center"/>
          </w:tcPr>
          <w:p>
            <w:r>
              <w:rPr>
                <w:color w:val="000000"/>
              </w:rPr>
              <w:t>Rating ensemble and recommendation ranker</w:t>
            </w:r>
          </w:p>
        </w:tc>
      </w:tr>
      <w:tr>
        <w:trPr>
          <w:cantSplit/>
        </w:trPr>
        <w:tc>
          <w:tcPr>
            <w:tcW w:type="dxa" w:w="1944"/>
            <w:tcMar>
              <w:top w:w="60" w:type="dxa"/>
              <w:start w:w="95" w:type="dxa"/>
              <w:bottom w:w="60" w:type="dxa"/>
              <w:end w:w="95" w:type="dxa"/>
            </w:tcMar>
            <w:vAlign w:val="center"/>
          </w:tcPr>
          <w:p>
            <w:r>
              <w:rPr>
                <w:color w:val="000000"/>
              </w:rPr>
              <w:t>Groq Layer</w:t>
            </w:r>
          </w:p>
        </w:tc>
        <w:tc>
          <w:tcPr>
            <w:tcW w:type="dxa" w:w="2592"/>
            <w:tcMar>
              <w:top w:w="60" w:type="dxa"/>
              <w:start w:w="95" w:type="dxa"/>
              <w:bottom w:w="60" w:type="dxa"/>
              <w:end w:w="95" w:type="dxa"/>
            </w:tcMar>
            <w:vAlign w:val="center"/>
          </w:tcPr>
          <w:p>
            <w:r>
              <w:rPr>
                <w:color w:val="000000"/>
              </w:rPr>
              <w:t>Improve language</w:t>
            </w:r>
          </w:p>
        </w:tc>
        <w:tc>
          <w:tcPr>
            <w:tcW w:type="dxa" w:w="4824"/>
            <w:tcMar>
              <w:top w:w="60" w:type="dxa"/>
              <w:start w:w="95" w:type="dxa"/>
              <w:bottom w:w="60" w:type="dxa"/>
              <w:end w:w="95" w:type="dxa"/>
            </w:tcMar>
            <w:vAlign w:val="center"/>
          </w:tcPr>
          <w:p>
            <w:r>
              <w:rPr>
                <w:color w:val="000000"/>
              </w:rPr>
              <w:t>Validated review/explanation generation with fallback</w:t>
            </w:r>
          </w:p>
        </w:tc>
      </w:tr>
      <w:tr>
        <w:trPr>
          <w:cantSplit/>
        </w:trPr>
        <w:tc>
          <w:tcPr>
            <w:tcW w:type="dxa" w:w="1944"/>
            <w:tcMar>
              <w:top w:w="60" w:type="dxa"/>
              <w:start w:w="95" w:type="dxa"/>
              <w:bottom w:w="60" w:type="dxa"/>
              <w:end w:w="95" w:type="dxa"/>
            </w:tcMar>
            <w:vAlign w:val="center"/>
          </w:tcPr>
          <w:p>
            <w:r>
              <w:rPr>
                <w:color w:val="000000"/>
              </w:rPr>
              <w:t>UI/API/Eval</w:t>
            </w:r>
          </w:p>
        </w:tc>
        <w:tc>
          <w:tcPr>
            <w:tcW w:type="dxa" w:w="2592"/>
            <w:tcMar>
              <w:top w:w="60" w:type="dxa"/>
              <w:start w:w="95" w:type="dxa"/>
              <w:bottom w:w="60" w:type="dxa"/>
              <w:end w:w="95" w:type="dxa"/>
            </w:tcMar>
            <w:vAlign w:val="center"/>
          </w:tcPr>
          <w:p>
            <w:r>
              <w:rPr>
                <w:color w:val="000000"/>
              </w:rPr>
              <w:t>Expose and measure</w:t>
            </w:r>
          </w:p>
        </w:tc>
        <w:tc>
          <w:tcPr>
            <w:tcW w:type="dxa" w:w="4824"/>
            <w:tcMar>
              <w:top w:w="60" w:type="dxa"/>
              <w:start w:w="95" w:type="dxa"/>
              <w:bottom w:w="60" w:type="dxa"/>
              <w:end w:w="95" w:type="dxa"/>
            </w:tcMar>
            <w:vAlign w:val="center"/>
          </w:tcPr>
          <w:p>
            <w:r>
              <w:rPr>
                <w:color w:val="000000"/>
              </w:rPr>
              <w:t>FastAPI endpoints, web UI, metrics scripts, Docker/Render</w:t>
            </w:r>
          </w:p>
        </w:tc>
      </w:tr>
    </w:tbl>
    <w:p>
      <w:pPr>
        <w:pStyle w:val="Heading2"/>
      </w:pPr>
      <w:r>
        <w:rPr>
          <w:color w:val="000000"/>
        </w:rPr>
        <w:t>Agentic Workflow</w:t>
      </w:r>
    </w:p>
    <w:p>
      <w:pPr>
        <w:pStyle w:val="ListNumber"/>
        <w:spacing w:after="50"/>
      </w:pPr>
      <w:r>
        <w:rPr>
          <w:color w:val="000000"/>
        </w:rPr>
        <w:t>Read the persona, stated context, and historical interactions, then summarize rating bias, category affinity, likes, dislikes, tone, and budget pressure.</w:t>
      </w:r>
    </w:p>
    <w:p>
      <w:pPr>
        <w:pStyle w:val="ListNumber"/>
        <w:spacing w:after="50"/>
      </w:pPr>
      <w:r>
        <w:rPr>
          <w:color w:val="000000"/>
        </w:rPr>
        <w:t>Retrieve the most relevant prior interactions for the current product or recommendation context.</w:t>
      </w:r>
    </w:p>
    <w:p>
      <w:pPr>
        <w:pStyle w:val="ListNumber"/>
        <w:spacing w:after="50"/>
      </w:pPr>
      <w:r>
        <w:rPr>
          <w:color w:val="000000"/>
        </w:rPr>
        <w:t>Score the behavioral decision locally: Task A predicts stars; Task B ranks candidates before any LLM text is requested.</w:t>
      </w:r>
    </w:p>
    <w:p>
      <w:pPr>
        <w:pStyle w:val="ListNumber"/>
        <w:spacing w:after="50"/>
      </w:pPr>
      <w:r>
        <w:rPr>
          <w:color w:val="000000"/>
        </w:rPr>
        <w:t>Ask Groq to verbalize only the validated result, with evidence and constraints included in the prompt.</w:t>
      </w:r>
    </w:p>
    <w:p>
      <w:pPr>
        <w:pStyle w:val="ListNumber"/>
        <w:spacing w:after="50"/>
      </w:pPr>
      <w:r>
        <w:rPr>
          <w:color w:val="000000"/>
        </w:rPr>
        <w:t>Validate the response shape and fall back to deterministic local text when the hosted model is unavailable.</w:t>
      </w:r>
    </w:p>
    <w:p>
      <w:r>
        <w:rPr>
          <w:color w:val="000000"/>
        </w:rPr>
        <w:br w:type="page"/>
      </w:r>
    </w:p>
    <w:p>
      <w:pPr>
        <w:pStyle w:val="Heading1"/>
      </w:pPr>
      <w:r>
        <w:rPr>
          <w:color w:val="000000"/>
        </w:rPr>
        <w:t>4. Dataset Strategy and Experiments</w:t>
      </w:r>
    </w:p>
    <w:p>
      <w:r>
        <w:rPr>
          <w:color w:val="000000"/>
        </w:rPr>
        <w:t>The competition plan uses Amazon Reviews 2023 because it provides review text, ratings, user histories, item identifiers, and product categories at real platform scale. The repository now ships two data tracks: curated cross-domain fixtures for instant demos and a checked-in real Amazon Reviews 2023 subset for measurable experiments.</w:t>
      </w:r>
    </w:p>
    <w:tbl>
      <w:tblPr>
        <w:tblStyle w:val="TableGrid"/>
        <w:tblW w:type="auto" w:w="0"/>
        <w:jc w:val="left"/>
        <w:tblLook w:firstColumn="1" w:firstRow="1" w:lastColumn="0" w:lastRow="0" w:noHBand="0" w:noVBand="1" w:val="04A0"/>
      </w:tblPr>
      <w:tblGrid>
        <w:gridCol w:w="3408"/>
        <w:gridCol w:w="3408"/>
        <w:gridCol w:w="3408"/>
      </w:tblGrid>
      <w:tr>
        <w:trPr>
          <w:tblHeader w:val="true"/>
          <w:cantSplit/>
        </w:trPr>
        <w:tc>
          <w:tcPr>
            <w:tcW w:type="dxa" w:w="2088"/>
            <w:shd w:fill="E6E6E6"/>
            <w:tcMar>
              <w:top w:w="60" w:type="dxa"/>
              <w:start w:w="95" w:type="dxa"/>
              <w:bottom w:w="60" w:type="dxa"/>
              <w:end w:w="95" w:type="dxa"/>
            </w:tcMar>
            <w:vAlign w:val="center"/>
          </w:tcPr>
          <w:p>
            <w:r>
              <w:rPr>
                <w:b/>
                <w:color w:val="000000"/>
              </w:rPr>
              <w:t>Real Amazon Subset</w:t>
            </w:r>
          </w:p>
        </w:tc>
        <w:tc>
          <w:tcPr>
            <w:tcW w:type="dxa" w:w="3024"/>
            <w:shd w:fill="E6E6E6"/>
            <w:tcMar>
              <w:top w:w="60" w:type="dxa"/>
              <w:start w:w="95" w:type="dxa"/>
              <w:bottom w:w="60" w:type="dxa"/>
              <w:end w:w="95" w:type="dxa"/>
            </w:tcMar>
            <w:vAlign w:val="center"/>
          </w:tcPr>
          <w:p>
            <w:r>
              <w:rPr>
                <w:b/>
                <w:color w:val="000000"/>
              </w:rPr>
              <w:t>Value</w:t>
            </w:r>
          </w:p>
        </w:tc>
        <w:tc>
          <w:tcPr>
            <w:tcW w:type="dxa" w:w="4320"/>
            <w:shd w:fill="E6E6E6"/>
            <w:tcMar>
              <w:top w:w="60" w:type="dxa"/>
              <w:start w:w="95" w:type="dxa"/>
              <w:bottom w:w="60" w:type="dxa"/>
              <w:end w:w="95" w:type="dxa"/>
            </w:tcMar>
            <w:vAlign w:val="center"/>
          </w:tcPr>
          <w:p>
            <w:r>
              <w:rPr>
                <w:b/>
                <w:color w:val="000000"/>
              </w:rPr>
              <w:t>Meaning</w:t>
            </w:r>
          </w:p>
        </w:tc>
      </w:tr>
      <w:tr>
        <w:trPr>
          <w:cantSplit/>
        </w:trPr>
        <w:tc>
          <w:tcPr>
            <w:tcW w:type="dxa" w:w="2088"/>
            <w:tcMar>
              <w:top w:w="60" w:type="dxa"/>
              <w:start w:w="95" w:type="dxa"/>
              <w:bottom w:w="60" w:type="dxa"/>
              <w:end w:w="95" w:type="dxa"/>
            </w:tcMar>
            <w:vAlign w:val="center"/>
          </w:tcPr>
          <w:p>
            <w:r>
              <w:rPr>
                <w:color w:val="000000"/>
              </w:rPr>
              <w:t>Source</w:t>
            </w:r>
          </w:p>
        </w:tc>
        <w:tc>
          <w:tcPr>
            <w:tcW w:type="dxa" w:w="3024"/>
            <w:tcMar>
              <w:top w:w="60" w:type="dxa"/>
              <w:start w:w="95" w:type="dxa"/>
              <w:bottom w:w="60" w:type="dxa"/>
              <w:end w:w="95" w:type="dxa"/>
            </w:tcMar>
            <w:vAlign w:val="center"/>
          </w:tcPr>
          <w:p>
            <w:r>
              <w:rPr>
                <w:color w:val="000000"/>
              </w:rPr>
              <w:t>Amazon Reviews 2023</w:t>
            </w:r>
          </w:p>
        </w:tc>
        <w:tc>
          <w:tcPr>
            <w:tcW w:type="dxa" w:w="4320"/>
            <w:tcMar>
              <w:top w:w="60" w:type="dxa"/>
              <w:start w:w="95" w:type="dxa"/>
              <w:bottom w:w="60" w:type="dxa"/>
              <w:end w:w="95" w:type="dxa"/>
            </w:tcMar>
            <w:vAlign w:val="center"/>
          </w:tcPr>
          <w:p>
            <w:r>
              <w:rPr>
                <w:color w:val="000000"/>
              </w:rPr>
              <w:t>Official McAuley Lab review files; metadata stream supported when available</w:t>
            </w:r>
          </w:p>
        </w:tc>
      </w:tr>
      <w:tr>
        <w:trPr>
          <w:cantSplit/>
        </w:trPr>
        <w:tc>
          <w:tcPr>
            <w:tcW w:type="dxa" w:w="2088"/>
            <w:tcMar>
              <w:top w:w="60" w:type="dxa"/>
              <w:start w:w="95" w:type="dxa"/>
              <w:bottom w:w="60" w:type="dxa"/>
              <w:end w:w="95" w:type="dxa"/>
            </w:tcMar>
            <w:vAlign w:val="center"/>
          </w:tcPr>
          <w:p>
            <w:r>
              <w:rPr>
                <w:color w:val="000000"/>
              </w:rPr>
              <w:t>Categories</w:t>
            </w:r>
          </w:p>
        </w:tc>
        <w:tc>
          <w:tcPr>
            <w:tcW w:type="dxa" w:w="3024"/>
            <w:tcMar>
              <w:top w:w="60" w:type="dxa"/>
              <w:start w:w="95" w:type="dxa"/>
              <w:bottom w:w="60" w:type="dxa"/>
              <w:end w:w="95" w:type="dxa"/>
            </w:tcMar>
            <w:vAlign w:val="center"/>
          </w:tcPr>
          <w:p>
            <w:r>
              <w:rPr>
                <w:color w:val="000000"/>
              </w:rPr>
              <w:t>All_Beauty, Grocery_and_Gourmet_Food, Movies_and_TV, Video_Games</w:t>
            </w:r>
          </w:p>
        </w:tc>
        <w:tc>
          <w:tcPr>
            <w:tcW w:type="dxa" w:w="4320"/>
            <w:tcMar>
              <w:top w:w="60" w:type="dxa"/>
              <w:start w:w="95" w:type="dxa"/>
              <w:bottom w:w="60" w:type="dxa"/>
              <w:end w:w="95" w:type="dxa"/>
            </w:tcMar>
            <w:vAlign w:val="center"/>
          </w:tcPr>
          <w:p>
            <w:r>
              <w:rPr>
                <w:color w:val="000000"/>
              </w:rPr>
              <w:t>The four challenge demo domains are represented</w:t>
            </w:r>
          </w:p>
        </w:tc>
      </w:tr>
      <w:tr>
        <w:trPr>
          <w:cantSplit/>
        </w:trPr>
        <w:tc>
          <w:tcPr>
            <w:tcW w:type="dxa" w:w="2088"/>
            <w:tcMar>
              <w:top w:w="60" w:type="dxa"/>
              <w:start w:w="95" w:type="dxa"/>
              <w:bottom w:w="60" w:type="dxa"/>
              <w:end w:w="95" w:type="dxa"/>
            </w:tcMar>
            <w:vAlign w:val="center"/>
          </w:tcPr>
          <w:p>
            <w:r>
              <w:rPr>
                <w:color w:val="000000"/>
              </w:rPr>
              <w:t>Products</w:t>
            </w:r>
          </w:p>
        </w:tc>
        <w:tc>
          <w:tcPr>
            <w:tcW w:type="dxa" w:w="3024"/>
            <w:tcMar>
              <w:top w:w="60" w:type="dxa"/>
              <w:start w:w="95" w:type="dxa"/>
              <w:bottom w:w="60" w:type="dxa"/>
              <w:end w:w="95" w:type="dxa"/>
            </w:tcMar>
            <w:vAlign w:val="center"/>
          </w:tcPr>
          <w:p>
            <w:r>
              <w:rPr>
                <w:color w:val="000000"/>
              </w:rPr>
              <w:t>252</w:t>
            </w:r>
          </w:p>
        </w:tc>
        <w:tc>
          <w:tcPr>
            <w:tcW w:type="dxa" w:w="4320"/>
            <w:tcMar>
              <w:top w:w="60" w:type="dxa"/>
              <w:start w:w="95" w:type="dxa"/>
              <w:bottom w:w="60" w:type="dxa"/>
              <w:end w:w="95" w:type="dxa"/>
            </w:tcMar>
            <w:vAlign w:val="center"/>
          </w:tcPr>
          <w:p>
            <w:r>
              <w:rPr>
                <w:color w:val="000000"/>
              </w:rPr>
              <w:t>Normalized candidate products in the checked-in subset</w:t>
            </w:r>
          </w:p>
        </w:tc>
      </w:tr>
      <w:tr>
        <w:trPr>
          <w:cantSplit/>
        </w:trPr>
        <w:tc>
          <w:tcPr>
            <w:tcW w:type="dxa" w:w="2088"/>
            <w:tcMar>
              <w:top w:w="60" w:type="dxa"/>
              <w:start w:w="95" w:type="dxa"/>
              <w:bottom w:w="60" w:type="dxa"/>
              <w:end w:w="95" w:type="dxa"/>
            </w:tcMar>
            <w:vAlign w:val="center"/>
          </w:tcPr>
          <w:p>
            <w:r>
              <w:rPr>
                <w:color w:val="000000"/>
              </w:rPr>
              <w:t>Reviews</w:t>
            </w:r>
          </w:p>
        </w:tc>
        <w:tc>
          <w:tcPr>
            <w:tcW w:type="dxa" w:w="3024"/>
            <w:tcMar>
              <w:top w:w="60" w:type="dxa"/>
              <w:start w:w="95" w:type="dxa"/>
              <w:bottom w:w="60" w:type="dxa"/>
              <w:end w:w="95" w:type="dxa"/>
            </w:tcMar>
            <w:vAlign w:val="center"/>
          </w:tcPr>
          <w:p>
            <w:r>
              <w:rPr>
                <w:color w:val="000000"/>
              </w:rPr>
              <w:t>265</w:t>
            </w:r>
          </w:p>
        </w:tc>
        <w:tc>
          <w:tcPr>
            <w:tcW w:type="dxa" w:w="4320"/>
            <w:tcMar>
              <w:top w:w="60" w:type="dxa"/>
              <w:start w:w="95" w:type="dxa"/>
              <w:bottom w:w="60" w:type="dxa"/>
              <w:end w:w="95" w:type="dxa"/>
            </w:tcMar>
            <w:vAlign w:val="center"/>
          </w:tcPr>
          <w:p>
            <w:r>
              <w:rPr>
                <w:color w:val="000000"/>
              </w:rPr>
              <w:t>Real review texts and star ratings after filtering</w:t>
            </w:r>
          </w:p>
        </w:tc>
      </w:tr>
      <w:tr>
        <w:trPr>
          <w:cantSplit/>
        </w:trPr>
        <w:tc>
          <w:tcPr>
            <w:tcW w:type="dxa" w:w="2088"/>
            <w:tcMar>
              <w:top w:w="60" w:type="dxa"/>
              <w:start w:w="95" w:type="dxa"/>
              <w:bottom w:w="60" w:type="dxa"/>
              <w:end w:w="95" w:type="dxa"/>
            </w:tcMar>
            <w:vAlign w:val="center"/>
          </w:tcPr>
          <w:p>
            <w:r>
              <w:rPr>
                <w:color w:val="000000"/>
              </w:rPr>
              <w:t>Users</w:t>
            </w:r>
          </w:p>
        </w:tc>
        <w:tc>
          <w:tcPr>
            <w:tcW w:type="dxa" w:w="3024"/>
            <w:tcMar>
              <w:top w:w="60" w:type="dxa"/>
              <w:start w:w="95" w:type="dxa"/>
              <w:bottom w:w="60" w:type="dxa"/>
              <w:end w:w="95" w:type="dxa"/>
            </w:tcMar>
            <w:vAlign w:val="center"/>
          </w:tcPr>
          <w:p>
            <w:r>
              <w:rPr>
                <w:color w:val="000000"/>
              </w:rPr>
              <w:t>70</w:t>
            </w:r>
          </w:p>
        </w:tc>
        <w:tc>
          <w:tcPr>
            <w:tcW w:type="dxa" w:w="4320"/>
            <w:tcMar>
              <w:top w:w="60" w:type="dxa"/>
              <w:start w:w="95" w:type="dxa"/>
              <w:bottom w:w="60" w:type="dxa"/>
              <w:end w:w="95" w:type="dxa"/>
            </w:tcMar>
            <w:vAlign w:val="center"/>
          </w:tcPr>
          <w:p>
            <w:r>
              <w:rPr>
                <w:color w:val="000000"/>
              </w:rPr>
              <w:t>Users contributing chronological behavior for train/test splits</w:t>
            </w:r>
          </w:p>
        </w:tc>
      </w:tr>
      <w:tr>
        <w:trPr>
          <w:cantSplit/>
        </w:trPr>
        <w:tc>
          <w:tcPr>
            <w:tcW w:type="dxa" w:w="2088"/>
            <w:tcMar>
              <w:top w:w="60" w:type="dxa"/>
              <w:start w:w="95" w:type="dxa"/>
              <w:bottom w:w="60" w:type="dxa"/>
              <w:end w:w="95" w:type="dxa"/>
            </w:tcMar>
            <w:vAlign w:val="center"/>
          </w:tcPr>
          <w:p>
            <w:r>
              <w:rPr>
                <w:color w:val="000000"/>
              </w:rPr>
              <w:t>Holdout</w:t>
            </w:r>
          </w:p>
        </w:tc>
        <w:tc>
          <w:tcPr>
            <w:tcW w:type="dxa" w:w="3024"/>
            <w:tcMar>
              <w:top w:w="60" w:type="dxa"/>
              <w:start w:w="95" w:type="dxa"/>
              <w:bottom w:w="60" w:type="dxa"/>
              <w:end w:w="95" w:type="dxa"/>
            </w:tcMar>
            <w:vAlign w:val="center"/>
          </w:tcPr>
          <w:p>
            <w:r>
              <w:rPr>
                <w:color w:val="000000"/>
              </w:rPr>
              <w:t>179 train / 86 test</w:t>
            </w:r>
          </w:p>
        </w:tc>
        <w:tc>
          <w:tcPr>
            <w:tcW w:type="dxa" w:w="4320"/>
            <w:tcMar>
              <w:top w:w="60" w:type="dxa"/>
              <w:start w:w="95" w:type="dxa"/>
              <w:bottom w:w="60" w:type="dxa"/>
              <w:end w:w="95" w:type="dxa"/>
            </w:tcMar>
            <w:vAlign w:val="center"/>
          </w:tcPr>
          <w:p>
            <w:r>
              <w:rPr>
                <w:color w:val="000000"/>
              </w:rPr>
              <w:t>Most recent interaction held out by user when possible</w:t>
            </w:r>
          </w:p>
        </w:tc>
      </w:tr>
    </w:tbl>
    <w:p>
      <w:r>
        <w:rPr>
          <w:color w:val="000000"/>
        </w:rPr>
        <w:t>Splitting holds out the most recent interaction for users with enough history. Cold-start behavior leans more heavily on explicit persona preferences, category priors, popularity, budget level, and context text.</w:t>
      </w:r>
    </w:p>
    <w:tbl>
      <w:tblPr>
        <w:tblStyle w:val="TableGrid"/>
        <w:tblW w:type="auto" w:w="0"/>
        <w:jc w:val="left"/>
        <w:tblLook w:firstColumn="1" w:firstRow="1" w:lastColumn="0" w:lastRow="0" w:noHBand="0" w:noVBand="1" w:val="04A0"/>
      </w:tblPr>
      <w:tblGrid>
        <w:gridCol w:w="3408"/>
        <w:gridCol w:w="3408"/>
        <w:gridCol w:w="3408"/>
      </w:tblGrid>
      <w:tr>
        <w:trPr>
          <w:tblHeader w:val="true"/>
          <w:cantSplit/>
        </w:trPr>
        <w:tc>
          <w:tcPr>
            <w:tcW w:type="dxa" w:w="2448"/>
            <w:shd w:fill="E6E6E6"/>
            <w:tcMar>
              <w:top w:w="60" w:type="dxa"/>
              <w:start w:w="95" w:type="dxa"/>
              <w:bottom w:w="60" w:type="dxa"/>
              <w:end w:w="95" w:type="dxa"/>
            </w:tcMar>
            <w:vAlign w:val="center"/>
          </w:tcPr>
          <w:p>
            <w:r>
              <w:rPr>
                <w:b/>
                <w:color w:val="000000"/>
              </w:rPr>
              <w:t>Experiment</w:t>
            </w:r>
          </w:p>
        </w:tc>
        <w:tc>
          <w:tcPr>
            <w:tcW w:type="dxa" w:w="3456"/>
            <w:shd w:fill="E6E6E6"/>
            <w:tcMar>
              <w:top w:w="60" w:type="dxa"/>
              <w:start w:w="95" w:type="dxa"/>
              <w:bottom w:w="60" w:type="dxa"/>
              <w:end w:w="95" w:type="dxa"/>
            </w:tcMar>
            <w:vAlign w:val="center"/>
          </w:tcPr>
          <w:p>
            <w:r>
              <w:rPr>
                <w:b/>
                <w:color w:val="000000"/>
              </w:rPr>
              <w:t>Purpose</w:t>
            </w:r>
          </w:p>
        </w:tc>
        <w:tc>
          <w:tcPr>
            <w:tcW w:type="dxa" w:w="3456"/>
            <w:shd w:fill="E6E6E6"/>
            <w:tcMar>
              <w:top w:w="60" w:type="dxa"/>
              <w:start w:w="95" w:type="dxa"/>
              <w:bottom w:w="60" w:type="dxa"/>
              <w:end w:w="95" w:type="dxa"/>
            </w:tcMar>
            <w:vAlign w:val="center"/>
          </w:tcPr>
          <w:p>
            <w:r>
              <w:rPr>
                <w:b/>
                <w:color w:val="000000"/>
              </w:rPr>
              <w:t>Expected Signal</w:t>
            </w:r>
          </w:p>
        </w:tc>
      </w:tr>
      <w:tr>
        <w:trPr>
          <w:cantSplit/>
        </w:trPr>
        <w:tc>
          <w:tcPr>
            <w:tcW w:type="dxa" w:w="2448"/>
            <w:tcMar>
              <w:top w:w="60" w:type="dxa"/>
              <w:start w:w="95" w:type="dxa"/>
              <w:bottom w:w="60" w:type="dxa"/>
              <w:end w:w="95" w:type="dxa"/>
            </w:tcMar>
            <w:vAlign w:val="center"/>
          </w:tcPr>
          <w:p>
            <w:r>
              <w:rPr>
                <w:color w:val="000000"/>
              </w:rPr>
              <w:t>Item-average baseline</w:t>
            </w:r>
          </w:p>
        </w:tc>
        <w:tc>
          <w:tcPr>
            <w:tcW w:type="dxa" w:w="3456"/>
            <w:tcMar>
              <w:top w:w="60" w:type="dxa"/>
              <w:start w:w="95" w:type="dxa"/>
              <w:bottom w:w="60" w:type="dxa"/>
              <w:end w:w="95" w:type="dxa"/>
            </w:tcMar>
            <w:vAlign w:val="center"/>
          </w:tcPr>
          <w:p>
            <w:r>
              <w:rPr>
                <w:color w:val="000000"/>
              </w:rPr>
              <w:t>Measure whether personalization improves rating prediction</w:t>
            </w:r>
          </w:p>
        </w:tc>
        <w:tc>
          <w:tcPr>
            <w:tcW w:type="dxa" w:w="3456"/>
            <w:tcMar>
              <w:top w:w="60" w:type="dxa"/>
              <w:start w:w="95" w:type="dxa"/>
              <w:bottom w:w="60" w:type="dxa"/>
              <w:end w:w="95" w:type="dxa"/>
            </w:tcMar>
            <w:vAlign w:val="center"/>
          </w:tcPr>
          <w:p>
            <w:r>
              <w:rPr>
                <w:color w:val="000000"/>
              </w:rPr>
              <w:t>Lower RMSE from persona and category features</w:t>
            </w:r>
          </w:p>
        </w:tc>
      </w:tr>
      <w:tr>
        <w:trPr>
          <w:cantSplit/>
        </w:trPr>
        <w:tc>
          <w:tcPr>
            <w:tcW w:type="dxa" w:w="2448"/>
            <w:tcMar>
              <w:top w:w="60" w:type="dxa"/>
              <w:start w:w="95" w:type="dxa"/>
              <w:bottom w:w="60" w:type="dxa"/>
              <w:end w:w="95" w:type="dxa"/>
            </w:tcMar>
            <w:vAlign w:val="center"/>
          </w:tcPr>
          <w:p>
            <w:r>
              <w:rPr>
                <w:color w:val="000000"/>
              </w:rPr>
              <w:t>Popularity-only ranking</w:t>
            </w:r>
          </w:p>
        </w:tc>
        <w:tc>
          <w:tcPr>
            <w:tcW w:type="dxa" w:w="3456"/>
            <w:tcMar>
              <w:top w:w="60" w:type="dxa"/>
              <w:start w:w="95" w:type="dxa"/>
              <w:bottom w:w="60" w:type="dxa"/>
              <w:end w:w="95" w:type="dxa"/>
            </w:tcMar>
            <w:vAlign w:val="center"/>
          </w:tcPr>
          <w:p>
            <w:r>
              <w:rPr>
                <w:color w:val="000000"/>
              </w:rPr>
              <w:t>Benchmark non-personalized recommendation quality</w:t>
            </w:r>
          </w:p>
        </w:tc>
        <w:tc>
          <w:tcPr>
            <w:tcW w:type="dxa" w:w="3456"/>
            <w:tcMar>
              <w:top w:w="60" w:type="dxa"/>
              <w:start w:w="95" w:type="dxa"/>
              <w:bottom w:w="60" w:type="dxa"/>
              <w:end w:w="95" w:type="dxa"/>
            </w:tcMar>
            <w:vAlign w:val="center"/>
          </w:tcPr>
          <w:p>
            <w:r>
              <w:rPr>
                <w:color w:val="000000"/>
              </w:rPr>
              <w:t>Higher NDCG@10 when persona/context features are enabled</w:t>
            </w:r>
          </w:p>
        </w:tc>
      </w:tr>
      <w:tr>
        <w:trPr>
          <w:cantSplit/>
        </w:trPr>
        <w:tc>
          <w:tcPr>
            <w:tcW w:type="dxa" w:w="2448"/>
            <w:tcMar>
              <w:top w:w="60" w:type="dxa"/>
              <w:start w:w="95" w:type="dxa"/>
              <w:bottom w:w="60" w:type="dxa"/>
              <w:end w:w="95" w:type="dxa"/>
            </w:tcMar>
            <w:vAlign w:val="center"/>
          </w:tcPr>
          <w:p>
            <w:r>
              <w:rPr>
                <w:color w:val="000000"/>
              </w:rPr>
              <w:t>No retrieval evidence</w:t>
            </w:r>
          </w:p>
        </w:tc>
        <w:tc>
          <w:tcPr>
            <w:tcW w:type="dxa" w:w="3456"/>
            <w:tcMar>
              <w:top w:w="60" w:type="dxa"/>
              <w:start w:w="95" w:type="dxa"/>
              <w:bottom w:w="60" w:type="dxa"/>
              <w:end w:w="95" w:type="dxa"/>
            </w:tcMar>
            <w:vAlign w:val="center"/>
          </w:tcPr>
          <w:p>
            <w:r>
              <w:rPr>
                <w:color w:val="000000"/>
              </w:rPr>
              <w:t>Test whether grounding improves review fidelity</w:t>
            </w:r>
          </w:p>
        </w:tc>
        <w:tc>
          <w:tcPr>
            <w:tcW w:type="dxa" w:w="3456"/>
            <w:tcMar>
              <w:top w:w="60" w:type="dxa"/>
              <w:start w:w="95" w:type="dxa"/>
              <w:bottom w:w="60" w:type="dxa"/>
              <w:end w:w="95" w:type="dxa"/>
            </w:tcMar>
            <w:vAlign w:val="center"/>
          </w:tcPr>
          <w:p>
            <w:r>
              <w:rPr>
                <w:color w:val="000000"/>
              </w:rPr>
              <w:t>Lower qualitative fidelity and weaker review specificity</w:t>
            </w:r>
          </w:p>
        </w:tc>
      </w:tr>
      <w:tr>
        <w:trPr>
          <w:cantSplit/>
        </w:trPr>
        <w:tc>
          <w:tcPr>
            <w:tcW w:type="dxa" w:w="2448"/>
            <w:tcMar>
              <w:top w:w="60" w:type="dxa"/>
              <w:start w:w="95" w:type="dxa"/>
              <w:bottom w:w="60" w:type="dxa"/>
              <w:end w:w="95" w:type="dxa"/>
            </w:tcMar>
            <w:vAlign w:val="center"/>
          </w:tcPr>
          <w:p>
            <w:r>
              <w:rPr>
                <w:color w:val="000000"/>
              </w:rPr>
              <w:t>No Groq generation</w:t>
            </w:r>
          </w:p>
        </w:tc>
        <w:tc>
          <w:tcPr>
            <w:tcW w:type="dxa" w:w="3456"/>
            <w:tcMar>
              <w:top w:w="60" w:type="dxa"/>
              <w:start w:w="95" w:type="dxa"/>
              <w:bottom w:w="60" w:type="dxa"/>
              <w:end w:w="95" w:type="dxa"/>
            </w:tcMar>
            <w:vAlign w:val="center"/>
          </w:tcPr>
          <w:p>
            <w:r>
              <w:rPr>
                <w:color w:val="000000"/>
              </w:rPr>
              <w:t>Separate language quality from behavioral scoring</w:t>
            </w:r>
          </w:p>
        </w:tc>
        <w:tc>
          <w:tcPr>
            <w:tcW w:type="dxa" w:w="3456"/>
            <w:tcMar>
              <w:top w:w="60" w:type="dxa"/>
              <w:start w:w="95" w:type="dxa"/>
              <w:bottom w:w="60" w:type="dxa"/>
              <w:end w:w="95" w:type="dxa"/>
            </w:tcMar>
            <w:vAlign w:val="center"/>
          </w:tcPr>
          <w:p>
            <w:r>
              <w:rPr>
                <w:color w:val="000000"/>
              </w:rPr>
              <w:t>Metrics remain runnable; human readability drops</w:t>
            </w:r>
          </w:p>
        </w:tc>
      </w:tr>
      <w:tr>
        <w:trPr>
          <w:cantSplit/>
        </w:trPr>
        <w:tc>
          <w:tcPr>
            <w:tcW w:type="dxa" w:w="2448"/>
            <w:tcMar>
              <w:top w:w="60" w:type="dxa"/>
              <w:start w:w="95" w:type="dxa"/>
              <w:bottom w:w="60" w:type="dxa"/>
              <w:end w:w="95" w:type="dxa"/>
            </w:tcMar>
            <w:vAlign w:val="center"/>
          </w:tcPr>
          <w:p>
            <w:r>
              <w:rPr>
                <w:color w:val="000000"/>
              </w:rPr>
              <w:t>Cold-start personas</w:t>
            </w:r>
          </w:p>
        </w:tc>
        <w:tc>
          <w:tcPr>
            <w:tcW w:type="dxa" w:w="3456"/>
            <w:tcMar>
              <w:top w:w="60" w:type="dxa"/>
              <w:start w:w="95" w:type="dxa"/>
              <w:bottom w:w="60" w:type="dxa"/>
              <w:end w:w="95" w:type="dxa"/>
            </w:tcMar>
            <w:vAlign w:val="center"/>
          </w:tcPr>
          <w:p>
            <w:r>
              <w:rPr>
                <w:color w:val="000000"/>
              </w:rPr>
              <w:t>Validate behavior with little/no history</w:t>
            </w:r>
          </w:p>
        </w:tc>
        <w:tc>
          <w:tcPr>
            <w:tcW w:type="dxa" w:w="3456"/>
            <w:tcMar>
              <w:top w:w="60" w:type="dxa"/>
              <w:start w:w="95" w:type="dxa"/>
              <w:bottom w:w="60" w:type="dxa"/>
              <w:end w:w="95" w:type="dxa"/>
            </w:tcMar>
            <w:vAlign w:val="center"/>
          </w:tcPr>
          <w:p>
            <w:r>
              <w:rPr>
                <w:color w:val="000000"/>
              </w:rPr>
              <w:t>Reasonable rankings from metadata and stated preferences</w:t>
            </w:r>
          </w:p>
        </w:tc>
      </w:tr>
    </w:tbl>
    <w:p>
      <w:pPr>
        <w:jc w:val="center"/>
      </w:pPr>
      <w:r>
        <w:rPr>
          <w:color w:val="000000"/>
        </w:rPr>
        <w:drawing>
          <wp:inline xmlns:a="http://schemas.openxmlformats.org/drawingml/2006/main" xmlns:pic="http://schemas.openxmlformats.org/drawingml/2006/picture">
            <wp:extent cx="5897880" cy="2948940"/>
            <wp:docPr id="3" name="Picture 3"/>
            <wp:cNvGraphicFramePr>
              <a:graphicFrameLocks noChangeAspect="1"/>
            </wp:cNvGraphicFramePr>
            <a:graphic>
              <a:graphicData uri="http://schemas.openxmlformats.org/drawingml/2006/picture">
                <pic:pic>
                  <pic:nvPicPr>
                    <pic:cNvPr id="0" name="ablation_results.png"/>
                    <pic:cNvPicPr/>
                  </pic:nvPicPr>
                  <pic:blipFill>
                    <a:blip r:embed="rId13"/>
                    <a:stretch>
                      <a:fillRect/>
                    </a:stretch>
                  </pic:blipFill>
                  <pic:spPr>
                    <a:xfrm>
                      <a:off x="0" y="0"/>
                      <a:ext cx="5897880" cy="2948940"/>
                    </a:xfrm>
                    <a:prstGeom prst="rect"/>
                  </pic:spPr>
                </pic:pic>
              </a:graphicData>
            </a:graphic>
          </wp:inline>
        </w:drawing>
      </w:r>
    </w:p>
    <w:p>
      <w:pPr>
        <w:jc w:val="center"/>
      </w:pPr>
      <w:r>
        <w:rPr>
          <w:color w:val="000000"/>
          <w:sz w:val="18"/>
        </w:rPr>
        <w:t>Figure 2. Ablation chart comparing personalized models to baselines.</w:t>
      </w:r>
    </w:p>
    <w:p>
      <w:r>
        <w:rPr>
          <w:color w:val="000000"/>
        </w:rPr>
        <w:br w:type="page"/>
      </w:r>
    </w:p>
    <w:p>
      <w:pPr>
        <w:pStyle w:val="Heading1"/>
      </w:pPr>
      <w:r>
        <w:rPr>
          <w:color w:val="000000"/>
        </w:rPr>
        <w:t>5. Implementation and Technical Details</w:t>
      </w:r>
    </w:p>
    <w:p>
      <w:r>
        <w:rPr>
          <w:color w:val="000000"/>
        </w:rPr>
        <w:t>The application is a single FastAPI service that serves the web UI and the REST API. Task A uses POST /api/v1/generate-review. Task B uses POST /api/v1/recommend. The same service also exposes /health, demo personas, evaluation outputs, Yarn Mode localization, and YarnGPT audio.</w:t>
      </w:r>
    </w:p>
    <w:tbl>
      <w:tblPr>
        <w:tblStyle w:val="TableGrid"/>
        <w:tblW w:type="auto" w:w="0"/>
        <w:jc w:val="left"/>
        <w:tblLook w:firstColumn="1" w:firstRow="1" w:lastColumn="0" w:lastRow="0" w:noHBand="0" w:noVBand="1" w:val="04A0"/>
      </w:tblPr>
      <w:tblGrid>
        <w:gridCol w:w="5112"/>
        <w:gridCol w:w="5112"/>
      </w:tblGrid>
      <w:tr>
        <w:trPr>
          <w:tblHeader w:val="true"/>
          <w:cantSplit/>
        </w:trPr>
        <w:tc>
          <w:tcPr>
            <w:tcW w:type="dxa" w:w="2232"/>
            <w:shd w:fill="E6E6E6"/>
            <w:tcMar>
              <w:top w:w="60" w:type="dxa"/>
              <w:start w:w="95" w:type="dxa"/>
              <w:bottom w:w="60" w:type="dxa"/>
              <w:end w:w="95" w:type="dxa"/>
            </w:tcMar>
            <w:vAlign w:val="center"/>
          </w:tcPr>
          <w:p>
            <w:r>
              <w:rPr>
                <w:b/>
                <w:color w:val="000000"/>
              </w:rPr>
              <w:t>Component</w:t>
            </w:r>
          </w:p>
        </w:tc>
        <w:tc>
          <w:tcPr>
            <w:tcW w:type="dxa" w:w="7128"/>
            <w:shd w:fill="E6E6E6"/>
            <w:tcMar>
              <w:top w:w="60" w:type="dxa"/>
              <w:start w:w="95" w:type="dxa"/>
              <w:bottom w:w="60" w:type="dxa"/>
              <w:end w:w="95" w:type="dxa"/>
            </w:tcMar>
            <w:vAlign w:val="center"/>
          </w:tcPr>
          <w:p>
            <w:r>
              <w:rPr>
                <w:b/>
                <w:color w:val="000000"/>
              </w:rPr>
              <w:t>Implementation Detail</w:t>
            </w:r>
          </w:p>
        </w:tc>
      </w:tr>
      <w:tr>
        <w:trPr>
          <w:cantSplit/>
        </w:trPr>
        <w:tc>
          <w:tcPr>
            <w:tcW w:type="dxa" w:w="2232"/>
            <w:tcMar>
              <w:top w:w="60" w:type="dxa"/>
              <w:start w:w="95" w:type="dxa"/>
              <w:bottom w:w="60" w:type="dxa"/>
              <w:end w:w="95" w:type="dxa"/>
            </w:tcMar>
            <w:vAlign w:val="center"/>
          </w:tcPr>
          <w:p>
            <w:r>
              <w:rPr>
                <w:color w:val="000000"/>
              </w:rPr>
              <w:t>Backend</w:t>
            </w:r>
          </w:p>
        </w:tc>
        <w:tc>
          <w:tcPr>
            <w:tcW w:type="dxa" w:w="7128"/>
            <w:tcMar>
              <w:top w:w="60" w:type="dxa"/>
              <w:start w:w="95" w:type="dxa"/>
              <w:bottom w:w="60" w:type="dxa"/>
              <w:end w:w="95" w:type="dxa"/>
            </w:tcMar>
            <w:vAlign w:val="center"/>
          </w:tcPr>
          <w:p>
            <w:r>
              <w:rPr>
                <w:color w:val="000000"/>
              </w:rPr>
              <w:t>FastAPI, Pydantic schemas, modular service layer, deterministic fallbacks</w:t>
            </w:r>
          </w:p>
        </w:tc>
      </w:tr>
      <w:tr>
        <w:trPr>
          <w:cantSplit/>
        </w:trPr>
        <w:tc>
          <w:tcPr>
            <w:tcW w:type="dxa" w:w="2232"/>
            <w:tcMar>
              <w:top w:w="60" w:type="dxa"/>
              <w:start w:w="95" w:type="dxa"/>
              <w:bottom w:w="60" w:type="dxa"/>
              <w:end w:w="95" w:type="dxa"/>
            </w:tcMar>
            <w:vAlign w:val="center"/>
          </w:tcPr>
          <w:p>
            <w:r>
              <w:rPr>
                <w:color w:val="000000"/>
              </w:rPr>
              <w:t>Task A</w:t>
            </w:r>
          </w:p>
        </w:tc>
        <w:tc>
          <w:tcPr>
            <w:tcW w:type="dxa" w:w="7128"/>
            <w:tcMar>
              <w:top w:w="60" w:type="dxa"/>
              <w:start w:w="95" w:type="dxa"/>
              <w:bottom w:w="60" w:type="dxa"/>
              <w:end w:w="95" w:type="dxa"/>
            </w:tcMar>
            <w:vAlign w:val="center"/>
          </w:tcPr>
          <w:p>
            <w:r>
              <w:rPr>
                <w:color w:val="000000"/>
              </w:rPr>
              <w:t>User bias, item average, category affinity, text match, budget and dislike penalties</w:t>
            </w:r>
          </w:p>
        </w:tc>
      </w:tr>
      <w:tr>
        <w:trPr>
          <w:cantSplit/>
        </w:trPr>
        <w:tc>
          <w:tcPr>
            <w:tcW w:type="dxa" w:w="2232"/>
            <w:tcMar>
              <w:top w:w="60" w:type="dxa"/>
              <w:start w:w="95" w:type="dxa"/>
              <w:bottom w:w="60" w:type="dxa"/>
              <w:end w:w="95" w:type="dxa"/>
            </w:tcMar>
            <w:vAlign w:val="center"/>
          </w:tcPr>
          <w:p>
            <w:r>
              <w:rPr>
                <w:color w:val="000000"/>
              </w:rPr>
              <w:t>Task B</w:t>
            </w:r>
          </w:p>
        </w:tc>
        <w:tc>
          <w:tcPr>
            <w:tcW w:type="dxa" w:w="7128"/>
            <w:tcMar>
              <w:top w:w="60" w:type="dxa"/>
              <w:start w:w="95" w:type="dxa"/>
              <w:bottom w:w="60" w:type="dxa"/>
              <w:end w:w="95" w:type="dxa"/>
            </w:tcMar>
            <w:vAlign w:val="center"/>
          </w:tcPr>
          <w:p>
            <w:r>
              <w:rPr>
                <w:color w:val="000000"/>
              </w:rPr>
              <w:t>Popularity, context match, preference match, diversity, cold-start and cross-domain ranking</w:t>
            </w:r>
          </w:p>
        </w:tc>
      </w:tr>
      <w:tr>
        <w:trPr>
          <w:cantSplit/>
        </w:trPr>
        <w:tc>
          <w:tcPr>
            <w:tcW w:type="dxa" w:w="2232"/>
            <w:tcMar>
              <w:top w:w="60" w:type="dxa"/>
              <w:start w:w="95" w:type="dxa"/>
              <w:bottom w:w="60" w:type="dxa"/>
              <w:end w:w="95" w:type="dxa"/>
            </w:tcMar>
            <w:vAlign w:val="center"/>
          </w:tcPr>
          <w:p>
            <w:r>
              <w:rPr>
                <w:color w:val="000000"/>
              </w:rPr>
              <w:t>LLM</w:t>
            </w:r>
          </w:p>
        </w:tc>
        <w:tc>
          <w:tcPr>
            <w:tcW w:type="dxa" w:w="7128"/>
            <w:tcMar>
              <w:top w:w="60" w:type="dxa"/>
              <w:start w:w="95" w:type="dxa"/>
              <w:bottom w:w="60" w:type="dxa"/>
              <w:end w:w="95" w:type="dxa"/>
            </w:tcMar>
            <w:vAlign w:val="center"/>
          </w:tcPr>
          <w:p>
            <w:r>
              <w:rPr>
                <w:color w:val="000000"/>
              </w:rPr>
              <w:t>Groq improves review/explanation fluency after local scoring</w:t>
            </w:r>
          </w:p>
        </w:tc>
      </w:tr>
      <w:tr>
        <w:trPr>
          <w:cantSplit/>
        </w:trPr>
        <w:tc>
          <w:tcPr>
            <w:tcW w:type="dxa" w:w="2232"/>
            <w:tcMar>
              <w:top w:w="60" w:type="dxa"/>
              <w:start w:w="95" w:type="dxa"/>
              <w:bottom w:w="60" w:type="dxa"/>
              <w:end w:w="95" w:type="dxa"/>
            </w:tcMar>
            <w:vAlign w:val="center"/>
          </w:tcPr>
          <w:p>
            <w:r>
              <w:rPr>
                <w:color w:val="000000"/>
              </w:rPr>
              <w:t>Voice</w:t>
            </w:r>
          </w:p>
        </w:tc>
        <w:tc>
          <w:tcPr>
            <w:tcW w:type="dxa" w:w="7128"/>
            <w:tcMar>
              <w:top w:w="60" w:type="dxa"/>
              <w:start w:w="95" w:type="dxa"/>
              <w:bottom w:w="60" w:type="dxa"/>
              <w:end w:w="95" w:type="dxa"/>
            </w:tcMar>
            <w:vAlign w:val="center"/>
          </w:tcPr>
          <w:p>
            <w:r>
              <w:rPr>
                <w:color w:val="000000"/>
              </w:rPr>
              <w:t>Browser speech input plus YarnGPT hosted audio for localized output</w:t>
            </w:r>
          </w:p>
        </w:tc>
      </w:tr>
    </w:tbl>
    <w:tbl>
      <w:tblPr>
        <w:tblStyle w:val="TableGrid"/>
        <w:tblW w:type="auto" w:w="0"/>
        <w:jc w:val="left"/>
        <w:tblLook w:firstColumn="1" w:firstRow="1" w:lastColumn="0" w:lastRow="0" w:noHBand="0" w:noVBand="1" w:val="04A0"/>
      </w:tblPr>
      <w:tblGrid>
        <w:gridCol w:w="3408"/>
        <w:gridCol w:w="3408"/>
        <w:gridCol w:w="3408"/>
      </w:tblGrid>
      <w:tr>
        <w:trPr>
          <w:tblHeader w:val="true"/>
          <w:cantSplit/>
        </w:trPr>
        <w:tc>
          <w:tcPr>
            <w:tcW w:type="dxa" w:w="2376"/>
            <w:shd w:fill="E6E6E6"/>
            <w:tcMar>
              <w:top w:w="60" w:type="dxa"/>
              <w:start w:w="95" w:type="dxa"/>
              <w:bottom w:w="60" w:type="dxa"/>
              <w:end w:w="95" w:type="dxa"/>
            </w:tcMar>
            <w:vAlign w:val="center"/>
          </w:tcPr>
          <w:p>
            <w:r>
              <w:rPr>
                <w:b/>
                <w:color w:val="000000"/>
              </w:rPr>
              <w:t>Persona</w:t>
            </w:r>
          </w:p>
        </w:tc>
        <w:tc>
          <w:tcPr>
            <w:tcW w:type="dxa" w:w="3240"/>
            <w:shd w:fill="E6E6E6"/>
            <w:tcMar>
              <w:top w:w="60" w:type="dxa"/>
              <w:start w:w="95" w:type="dxa"/>
              <w:bottom w:w="60" w:type="dxa"/>
              <w:end w:w="95" w:type="dxa"/>
            </w:tcMar>
            <w:vAlign w:val="center"/>
          </w:tcPr>
          <w:p>
            <w:r>
              <w:rPr>
                <w:b/>
                <w:color w:val="000000"/>
              </w:rPr>
              <w:t>Context Signal</w:t>
            </w:r>
          </w:p>
        </w:tc>
        <w:tc>
          <w:tcPr>
            <w:tcW w:type="dxa" w:w="3744"/>
            <w:shd w:fill="E6E6E6"/>
            <w:tcMar>
              <w:top w:w="60" w:type="dxa"/>
              <w:start w:w="95" w:type="dxa"/>
              <w:bottom w:w="60" w:type="dxa"/>
              <w:end w:w="95" w:type="dxa"/>
            </w:tcMar>
            <w:vAlign w:val="center"/>
          </w:tcPr>
          <w:p>
            <w:r>
              <w:rPr>
                <w:b/>
                <w:color w:val="000000"/>
              </w:rPr>
              <w:t>Behavioral Effect</w:t>
            </w:r>
          </w:p>
        </w:tc>
      </w:tr>
      <w:tr>
        <w:trPr>
          <w:cantSplit/>
        </w:trPr>
        <w:tc>
          <w:tcPr>
            <w:tcW w:type="dxa" w:w="2376"/>
            <w:tcMar>
              <w:top w:w="60" w:type="dxa"/>
              <w:start w:w="95" w:type="dxa"/>
              <w:bottom w:w="60" w:type="dxa"/>
              <w:end w:w="95" w:type="dxa"/>
            </w:tcMar>
            <w:vAlign w:val="center"/>
          </w:tcPr>
          <w:p>
            <w:r>
              <w:rPr>
                <w:color w:val="000000"/>
              </w:rPr>
              <w:t>Lagos student</w:t>
            </w:r>
          </w:p>
        </w:tc>
        <w:tc>
          <w:tcPr>
            <w:tcW w:type="dxa" w:w="3240"/>
            <w:tcMar>
              <w:top w:w="60" w:type="dxa"/>
              <w:start w:w="95" w:type="dxa"/>
              <w:bottom w:w="60" w:type="dxa"/>
              <w:end w:w="95" w:type="dxa"/>
            </w:tcMar>
            <w:vAlign w:val="center"/>
          </w:tcPr>
          <w:p>
            <w:r>
              <w:rPr>
                <w:color w:val="000000"/>
              </w:rPr>
              <w:t>Low budget, classes, transport cost</w:t>
            </w:r>
          </w:p>
        </w:tc>
        <w:tc>
          <w:tcPr>
            <w:tcW w:type="dxa" w:w="3744"/>
            <w:tcMar>
              <w:top w:w="60" w:type="dxa"/>
              <w:start w:w="95" w:type="dxa"/>
              <w:bottom w:w="60" w:type="dxa"/>
              <w:end w:w="95" w:type="dxa"/>
            </w:tcMar>
            <w:vAlign w:val="center"/>
          </w:tcPr>
          <w:p>
            <w:r>
              <w:rPr>
                <w:color w:val="000000"/>
              </w:rPr>
              <w:t>Quick meals, value picks, local comedy, multiplayer games</w:t>
            </w:r>
          </w:p>
        </w:tc>
      </w:tr>
      <w:tr>
        <w:trPr>
          <w:cantSplit/>
        </w:trPr>
        <w:tc>
          <w:tcPr>
            <w:tcW w:type="dxa" w:w="2376"/>
            <w:tcMar>
              <w:top w:w="60" w:type="dxa"/>
              <w:start w:w="95" w:type="dxa"/>
              <w:bottom w:w="60" w:type="dxa"/>
              <w:end w:w="95" w:type="dxa"/>
            </w:tcMar>
            <w:vAlign w:val="center"/>
          </w:tcPr>
          <w:p>
            <w:r>
              <w:rPr>
                <w:color w:val="000000"/>
              </w:rPr>
              <w:t>Abuja professional</w:t>
            </w:r>
          </w:p>
        </w:tc>
        <w:tc>
          <w:tcPr>
            <w:tcW w:type="dxa" w:w="3240"/>
            <w:tcMar>
              <w:top w:w="60" w:type="dxa"/>
              <w:start w:w="95" w:type="dxa"/>
              <w:bottom w:w="60" w:type="dxa"/>
              <w:end w:w="95" w:type="dxa"/>
            </w:tcMar>
            <w:vAlign w:val="center"/>
          </w:tcPr>
          <w:p>
            <w:r>
              <w:rPr>
                <w:color w:val="000000"/>
              </w:rPr>
              <w:t>Work routine, heat, polished daily use</w:t>
            </w:r>
          </w:p>
        </w:tc>
        <w:tc>
          <w:tcPr>
            <w:tcW w:type="dxa" w:w="3744"/>
            <w:tcMar>
              <w:top w:w="60" w:type="dxa"/>
              <w:start w:w="95" w:type="dxa"/>
              <w:bottom w:w="60" w:type="dxa"/>
              <w:end w:w="95" w:type="dxa"/>
            </w:tcMar>
            <w:vAlign w:val="center"/>
          </w:tcPr>
          <w:p>
            <w:r>
              <w:rPr>
                <w:color w:val="000000"/>
              </w:rPr>
              <w:t>Dependable coffee, political drama, lightweight skincare</w:t>
            </w:r>
          </w:p>
        </w:tc>
      </w:tr>
      <w:tr>
        <w:trPr>
          <w:cantSplit/>
        </w:trPr>
        <w:tc>
          <w:tcPr>
            <w:tcW w:type="dxa" w:w="2376"/>
            <w:tcMar>
              <w:top w:w="60" w:type="dxa"/>
              <w:start w:w="95" w:type="dxa"/>
              <w:bottom w:w="60" w:type="dxa"/>
              <w:end w:w="95" w:type="dxa"/>
            </w:tcMar>
            <w:vAlign w:val="center"/>
          </w:tcPr>
          <w:p>
            <w:r>
              <w:rPr>
                <w:color w:val="000000"/>
              </w:rPr>
              <w:t>Port Harcourt family shopper</w:t>
            </w:r>
          </w:p>
        </w:tc>
        <w:tc>
          <w:tcPr>
            <w:tcW w:type="dxa" w:w="3240"/>
            <w:tcMar>
              <w:top w:w="60" w:type="dxa"/>
              <w:start w:w="95" w:type="dxa"/>
              <w:bottom w:w="60" w:type="dxa"/>
              <w:end w:w="95" w:type="dxa"/>
            </w:tcMar>
            <w:vAlign w:val="center"/>
          </w:tcPr>
          <w:p>
            <w:r>
              <w:rPr>
                <w:color w:val="000000"/>
              </w:rPr>
              <w:t>Visitors, children, home use</w:t>
            </w:r>
          </w:p>
        </w:tc>
        <w:tc>
          <w:tcPr>
            <w:tcW w:type="dxa" w:w="3744"/>
            <w:tcMar>
              <w:top w:w="60" w:type="dxa"/>
              <w:start w:w="95" w:type="dxa"/>
              <w:bottom w:w="60" w:type="dxa"/>
              <w:end w:w="95" w:type="dxa"/>
            </w:tcMar>
            <w:vAlign w:val="center"/>
          </w:tcPr>
          <w:p>
            <w:r>
              <w:rPr>
                <w:color w:val="000000"/>
              </w:rPr>
              <w:t>Family-safe media, easy drinks, gentle skincare</w:t>
            </w:r>
          </w:p>
        </w:tc>
      </w:tr>
    </w:tbl>
    <w:p>
      <w:r>
        <w:rPr>
          <w:color w:val="000000"/>
        </w:rPr>
        <w:t>Yarn Mode converts explanations into Nigerian Pidgin, Yoruba-flavoured English, Hausa-flavoured English, Igbo-flavoured English, or a formal judge summary. This is an output layer, not a scoring shortcut, so the underlying metrics remain stable.</w:t>
      </w:r>
    </w:p>
    <w:p>
      <w:pPr>
        <w:pStyle w:val="Heading1"/>
      </w:pPr>
      <w:r>
        <w:rPr>
          <w:color w:val="000000"/>
        </w:rPr>
        <w:t>6. Results and Evaluation</w:t>
      </w:r>
    </w:p>
    <w:p>
      <w:r>
        <w:rPr>
          <w:color w:val="000000"/>
        </w:rPr>
        <w:t>The real subset is intentionally bounded so the repository remains lightweight, but it proves that the pipeline can stream official Amazon data, create chronological splits, and compare personalized models against non-personalized baselines.</w:t>
      </w:r>
    </w:p>
    <w:tbl>
      <w:tblPr>
        <w:tblStyle w:val="TableGrid"/>
        <w:tblW w:type="auto" w:w="0"/>
        <w:jc w:val="left"/>
        <w:tblLook w:firstColumn="1" w:firstRow="1" w:lastColumn="0" w:lastRow="0" w:noHBand="0" w:noVBand="1" w:val="04A0"/>
      </w:tblPr>
      <w:tblGrid>
        <w:gridCol w:w="2556"/>
        <w:gridCol w:w="2556"/>
        <w:gridCol w:w="2556"/>
        <w:gridCol w:w="2556"/>
      </w:tblGrid>
      <w:tr>
        <w:trPr>
          <w:tblHeader w:val="true"/>
          <w:cantSplit/>
        </w:trPr>
        <w:tc>
          <w:tcPr>
            <w:tcW w:type="dxa" w:w="2448"/>
            <w:shd w:fill="E6E6E6"/>
            <w:tcMar>
              <w:top w:w="60" w:type="dxa"/>
              <w:start w:w="95" w:type="dxa"/>
              <w:bottom w:w="60" w:type="dxa"/>
              <w:end w:w="95" w:type="dxa"/>
            </w:tcMar>
            <w:vAlign w:val="center"/>
          </w:tcPr>
          <w:p>
            <w:r>
              <w:rPr>
                <w:b/>
                <w:color w:val="000000"/>
              </w:rPr>
              <w:t>Metric</w:t>
            </w:r>
          </w:p>
        </w:tc>
        <w:tc>
          <w:tcPr>
            <w:tcW w:type="dxa" w:w="1800"/>
            <w:shd w:fill="E6E6E6"/>
            <w:tcMar>
              <w:top w:w="60" w:type="dxa"/>
              <w:start w:w="95" w:type="dxa"/>
              <w:bottom w:w="60" w:type="dxa"/>
              <w:end w:w="95" w:type="dxa"/>
            </w:tcMar>
            <w:vAlign w:val="center"/>
          </w:tcPr>
          <w:p>
            <w:r>
              <w:rPr>
                <w:b/>
                <w:color w:val="000000"/>
              </w:rPr>
              <w:t>Personalized</w:t>
            </w:r>
          </w:p>
        </w:tc>
        <w:tc>
          <w:tcPr>
            <w:tcW w:type="dxa" w:w="1800"/>
            <w:shd w:fill="E6E6E6"/>
            <w:tcMar>
              <w:top w:w="60" w:type="dxa"/>
              <w:start w:w="95" w:type="dxa"/>
              <w:bottom w:w="60" w:type="dxa"/>
              <w:end w:w="95" w:type="dxa"/>
            </w:tcMar>
            <w:vAlign w:val="center"/>
          </w:tcPr>
          <w:p>
            <w:r>
              <w:rPr>
                <w:b/>
                <w:color w:val="000000"/>
              </w:rPr>
              <w:t>Baseline</w:t>
            </w:r>
          </w:p>
        </w:tc>
        <w:tc>
          <w:tcPr>
            <w:tcW w:type="dxa" w:w="3311"/>
            <w:shd w:fill="E6E6E6"/>
            <w:tcMar>
              <w:top w:w="60" w:type="dxa"/>
              <w:start w:w="95" w:type="dxa"/>
              <w:bottom w:w="60" w:type="dxa"/>
              <w:end w:w="95" w:type="dxa"/>
            </w:tcMar>
            <w:vAlign w:val="center"/>
          </w:tcPr>
          <w:p>
            <w:r>
              <w:rPr>
                <w:b/>
                <w:color w:val="000000"/>
              </w:rPr>
              <w:t>Lift</w:t>
            </w:r>
          </w:p>
        </w:tc>
      </w:tr>
      <w:tr>
        <w:trPr>
          <w:cantSplit/>
        </w:trPr>
        <w:tc>
          <w:tcPr>
            <w:tcW w:type="dxa" w:w="2448"/>
            <w:tcMar>
              <w:top w:w="60" w:type="dxa"/>
              <w:start w:w="95" w:type="dxa"/>
              <w:bottom w:w="60" w:type="dxa"/>
              <w:end w:w="95" w:type="dxa"/>
            </w:tcMar>
            <w:vAlign w:val="center"/>
          </w:tcPr>
          <w:p>
            <w:r>
              <w:rPr>
                <w:color w:val="000000"/>
              </w:rPr>
              <w:t>Task A RMSE</w:t>
            </w:r>
          </w:p>
        </w:tc>
        <w:tc>
          <w:tcPr>
            <w:tcW w:type="dxa" w:w="1800"/>
            <w:tcMar>
              <w:top w:w="60" w:type="dxa"/>
              <w:start w:w="95" w:type="dxa"/>
              <w:bottom w:w="60" w:type="dxa"/>
              <w:end w:w="95" w:type="dxa"/>
            </w:tcMar>
            <w:vAlign w:val="center"/>
          </w:tcPr>
          <w:p>
            <w:r>
              <w:rPr>
                <w:color w:val="000000"/>
              </w:rPr>
              <w:t>0.7357</w:t>
            </w:r>
          </w:p>
        </w:tc>
        <w:tc>
          <w:tcPr>
            <w:tcW w:type="dxa" w:w="1800"/>
            <w:tcMar>
              <w:top w:w="60" w:type="dxa"/>
              <w:start w:w="95" w:type="dxa"/>
              <w:bottom w:w="60" w:type="dxa"/>
              <w:end w:w="95" w:type="dxa"/>
            </w:tcMar>
            <w:vAlign w:val="center"/>
          </w:tcPr>
          <w:p>
            <w:r>
              <w:rPr>
                <w:color w:val="000000"/>
              </w:rPr>
              <w:t>1.3133</w:t>
            </w:r>
          </w:p>
        </w:tc>
        <w:tc>
          <w:tcPr>
            <w:tcW w:type="dxa" w:w="3311"/>
            <w:tcMar>
              <w:top w:w="60" w:type="dxa"/>
              <w:start w:w="95" w:type="dxa"/>
              <w:bottom w:w="60" w:type="dxa"/>
              <w:end w:w="95" w:type="dxa"/>
            </w:tcMar>
            <w:vAlign w:val="center"/>
          </w:tcPr>
          <w:p>
            <w:r>
              <w:rPr>
                <w:color w:val="000000"/>
              </w:rPr>
              <w:t>0.5776</w:t>
            </w:r>
          </w:p>
        </w:tc>
      </w:tr>
      <w:tr>
        <w:trPr>
          <w:cantSplit/>
        </w:trPr>
        <w:tc>
          <w:tcPr>
            <w:tcW w:type="dxa" w:w="2448"/>
            <w:tcMar>
              <w:top w:w="60" w:type="dxa"/>
              <w:start w:w="95" w:type="dxa"/>
              <w:bottom w:w="60" w:type="dxa"/>
              <w:end w:w="95" w:type="dxa"/>
            </w:tcMar>
            <w:vAlign w:val="center"/>
          </w:tcPr>
          <w:p>
            <w:r>
              <w:rPr>
                <w:color w:val="000000"/>
              </w:rPr>
              <w:t>Task B NDCG@10</w:t>
            </w:r>
          </w:p>
        </w:tc>
        <w:tc>
          <w:tcPr>
            <w:tcW w:type="dxa" w:w="1800"/>
            <w:tcMar>
              <w:top w:w="60" w:type="dxa"/>
              <w:start w:w="95" w:type="dxa"/>
              <w:bottom w:w="60" w:type="dxa"/>
              <w:end w:w="95" w:type="dxa"/>
            </w:tcMar>
            <w:vAlign w:val="center"/>
          </w:tcPr>
          <w:p>
            <w:r>
              <w:rPr>
                <w:color w:val="000000"/>
              </w:rPr>
              <w:t>0.0481</w:t>
            </w:r>
          </w:p>
        </w:tc>
        <w:tc>
          <w:tcPr>
            <w:tcW w:type="dxa" w:w="1800"/>
            <w:tcMar>
              <w:top w:w="60" w:type="dxa"/>
              <w:start w:w="95" w:type="dxa"/>
              <w:bottom w:w="60" w:type="dxa"/>
              <w:end w:w="95" w:type="dxa"/>
            </w:tcMar>
            <w:vAlign w:val="center"/>
          </w:tcPr>
          <w:p>
            <w:r>
              <w:rPr>
                <w:color w:val="000000"/>
              </w:rPr>
              <w:t>0.0194</w:t>
            </w:r>
          </w:p>
        </w:tc>
        <w:tc>
          <w:tcPr>
            <w:tcW w:type="dxa" w:w="3311"/>
            <w:tcMar>
              <w:top w:w="60" w:type="dxa"/>
              <w:start w:w="95" w:type="dxa"/>
              <w:bottom w:w="60" w:type="dxa"/>
              <w:end w:w="95" w:type="dxa"/>
            </w:tcMar>
            <w:vAlign w:val="center"/>
          </w:tcPr>
          <w:p>
            <w:r>
              <w:rPr>
                <w:color w:val="000000"/>
              </w:rPr>
              <w:t>0.0287</w:t>
            </w:r>
          </w:p>
        </w:tc>
      </w:tr>
      <w:tr>
        <w:trPr>
          <w:cantSplit/>
        </w:trPr>
        <w:tc>
          <w:tcPr>
            <w:tcW w:type="dxa" w:w="2448"/>
            <w:tcMar>
              <w:top w:w="60" w:type="dxa"/>
              <w:start w:w="95" w:type="dxa"/>
              <w:bottom w:w="60" w:type="dxa"/>
              <w:end w:w="95" w:type="dxa"/>
            </w:tcMar>
            <w:vAlign w:val="center"/>
          </w:tcPr>
          <w:p>
            <w:r>
              <w:rPr>
                <w:color w:val="000000"/>
              </w:rPr>
              <w:t>Task B Hit Rate@10</w:t>
            </w:r>
          </w:p>
        </w:tc>
        <w:tc>
          <w:tcPr>
            <w:tcW w:type="dxa" w:w="1800"/>
            <w:tcMar>
              <w:top w:w="60" w:type="dxa"/>
              <w:start w:w="95" w:type="dxa"/>
              <w:bottom w:w="60" w:type="dxa"/>
              <w:end w:w="95" w:type="dxa"/>
            </w:tcMar>
            <w:vAlign w:val="center"/>
          </w:tcPr>
          <w:p>
            <w:r>
              <w:rPr>
                <w:color w:val="000000"/>
              </w:rPr>
              <w:t>0.1163</w:t>
            </w:r>
          </w:p>
        </w:tc>
        <w:tc>
          <w:tcPr>
            <w:tcW w:type="dxa" w:w="1800"/>
            <w:tcMar>
              <w:top w:w="60" w:type="dxa"/>
              <w:start w:w="95" w:type="dxa"/>
              <w:bottom w:w="60" w:type="dxa"/>
              <w:end w:w="95" w:type="dxa"/>
            </w:tcMar>
            <w:vAlign w:val="center"/>
          </w:tcPr>
          <w:p>
            <w:r>
              <w:rPr>
                <w:color w:val="000000"/>
              </w:rPr>
              <w:t>0.0349</w:t>
            </w:r>
          </w:p>
        </w:tc>
        <w:tc>
          <w:tcPr>
            <w:tcW w:type="dxa" w:w="3311"/>
            <w:tcMar>
              <w:top w:w="60" w:type="dxa"/>
              <w:start w:w="95" w:type="dxa"/>
              <w:bottom w:w="60" w:type="dxa"/>
              <w:end w:w="95" w:type="dxa"/>
            </w:tcMar>
            <w:vAlign w:val="center"/>
          </w:tcPr>
          <w:p>
            <w:r>
              <w:rPr>
                <w:color w:val="000000"/>
              </w:rPr>
              <w:t>More held-out items recovered in top 10</w:t>
            </w:r>
          </w:p>
        </w:tc>
      </w:tr>
    </w:tbl>
    <w:p>
      <w:r>
        <w:rPr>
          <w:color w:val="000000"/>
        </w:rPr>
        <w:t>The ranking values are modest because the checked-in subset is small and sparse. The key signal is the direction of the ablation: personalization beats global rating and popularity baselines while preserving interpretability.</w:t>
      </w:r>
    </w:p>
    <w:p>
      <w:r>
        <w:rPr>
          <w:color w:val="000000"/>
        </w:rPr>
        <w:br w:type="page"/>
      </w:r>
    </w:p>
    <w:p>
      <w:pPr>
        <w:pStyle w:val="Heading1"/>
      </w:pPr>
      <w:r>
        <w:rPr>
          <w:color w:val="000000"/>
        </w:rPr>
        <w:t>7. Demo and Reproducibility</w:t>
      </w:r>
    </w:p>
    <w:p>
      <w:r>
        <w:rPr>
          <w:color w:val="000000"/>
        </w:rPr>
        <w:t>The submitted application is designed for judge inspection. The landing page explains the agent promise, Task A exposes the simulated review workflow, and Task B exposes the ranked recommendation workflow. The app runs locally, in Docker, or on Render.</w:t>
      </w:r>
    </w:p>
    <w:tbl>
      <w:tblPr>
        <w:tblW w:type="auto" w:w="0"/>
        <w:jc w:val="left"/>
        <w:tblLook w:firstColumn="1" w:firstRow="1" w:lastColumn="0" w:lastRow="0" w:noHBand="0" w:noVBand="1" w:val="04A0"/>
      </w:tblPr>
      <w:tblGrid>
        <w:gridCol w:w="5112"/>
        <w:gridCol w:w="5112"/>
      </w:tblGrid>
      <w:tr>
        <w:tc>
          <w:tcPr>
            <w:tcW w:type="dxa" w:w="5112"/>
            <w:tcMar>
              <w:top w:w="30" w:type="dxa"/>
              <w:start w:w="30" w:type="dxa"/>
              <w:bottom w:w="30" w:type="dxa"/>
              <w:end w:w="30" w:type="dxa"/>
            </w:tcMar>
          </w:tcPr>
          <w:p>
            <w:pPr>
              <w:jc w:val="center"/>
            </w:pPr>
            <w:r>
              <w:rPr>
                <w:color w:val="000000"/>
              </w:rPr>
              <w:drawing>
                <wp:inline xmlns:a="http://schemas.openxmlformats.org/drawingml/2006/main" xmlns:pic="http://schemas.openxmlformats.org/drawingml/2006/picture">
                  <wp:extent cx="2788920" cy="1936750"/>
                  <wp:docPr id="4" name="Picture 4"/>
                  <wp:cNvGraphicFramePr>
                    <a:graphicFrameLocks noChangeAspect="1"/>
                  </wp:cNvGraphicFramePr>
                  <a:graphic>
                    <a:graphicData uri="http://schemas.openxmlformats.org/drawingml/2006/picture">
                      <pic:pic>
                        <pic:nvPicPr>
                          <pic:cNvPr id="0" name="task_a.png"/>
                          <pic:cNvPicPr/>
                        </pic:nvPicPr>
                        <pic:blipFill>
                          <a:blip r:embed="rId14"/>
                          <a:stretch>
                            <a:fillRect/>
                          </a:stretch>
                        </pic:blipFill>
                        <pic:spPr>
                          <a:xfrm>
                            <a:off x="0" y="0"/>
                            <a:ext cx="2788920" cy="1936750"/>
                          </a:xfrm>
                          <a:prstGeom prst="rect"/>
                        </pic:spPr>
                      </pic:pic>
                    </a:graphicData>
                  </a:graphic>
                </wp:inline>
              </w:drawing>
            </w:r>
          </w:p>
        </w:tc>
        <w:tc>
          <w:tcPr>
            <w:tcW w:type="dxa" w:w="5112"/>
            <w:tcMar>
              <w:top w:w="30" w:type="dxa"/>
              <w:start w:w="30" w:type="dxa"/>
              <w:bottom w:w="30" w:type="dxa"/>
              <w:end w:w="30" w:type="dxa"/>
            </w:tcMar>
          </w:tcPr>
          <w:p>
            <w:pPr>
              <w:jc w:val="center"/>
            </w:pPr>
            <w:r>
              <w:rPr>
                <w:color w:val="000000"/>
              </w:rPr>
              <w:drawing>
                <wp:inline xmlns:a="http://schemas.openxmlformats.org/drawingml/2006/main" xmlns:pic="http://schemas.openxmlformats.org/drawingml/2006/picture">
                  <wp:extent cx="2788920" cy="1936750"/>
                  <wp:docPr id="5" name="Picture 5"/>
                  <wp:cNvGraphicFramePr>
                    <a:graphicFrameLocks noChangeAspect="1"/>
                  </wp:cNvGraphicFramePr>
                  <a:graphic>
                    <a:graphicData uri="http://schemas.openxmlformats.org/drawingml/2006/picture">
                      <pic:pic>
                        <pic:nvPicPr>
                          <pic:cNvPr id="0" name="task_b.png"/>
                          <pic:cNvPicPr/>
                        </pic:nvPicPr>
                        <pic:blipFill>
                          <a:blip r:embed="rId15"/>
                          <a:stretch>
                            <a:fillRect/>
                          </a:stretch>
                        </pic:blipFill>
                        <pic:spPr>
                          <a:xfrm>
                            <a:off x="0" y="0"/>
                            <a:ext cx="2788920" cy="1936750"/>
                          </a:xfrm>
                          <a:prstGeom prst="rect"/>
                        </pic:spPr>
                      </pic:pic>
                    </a:graphicData>
                  </a:graphic>
                </wp:inline>
              </w:drawing>
            </w:r>
          </w:p>
        </w:tc>
      </w:tr>
    </w:tbl>
    <w:p>
      <w:pPr>
        <w:jc w:val="center"/>
      </w:pPr>
      <w:r>
        <w:rPr>
          <w:color w:val="000000"/>
          <w:sz w:val="18"/>
        </w:rPr>
        <w:t>Figure 3. Task A and Task B workspaces after generation.</w:t>
      </w:r>
    </w:p>
    <w:tbl>
      <w:tblPr>
        <w:tblStyle w:val="TableGrid"/>
        <w:tblW w:type="auto" w:w="0"/>
        <w:jc w:val="left"/>
        <w:tblLook w:firstColumn="1" w:firstRow="1" w:lastColumn="0" w:lastRow="0" w:noHBand="0" w:noVBand="1" w:val="04A0"/>
      </w:tblPr>
      <w:tblGrid>
        <w:gridCol w:w="5112"/>
        <w:gridCol w:w="5112"/>
      </w:tblGrid>
      <w:tr>
        <w:trPr>
          <w:tblHeader w:val="true"/>
          <w:cantSplit/>
        </w:trPr>
        <w:tc>
          <w:tcPr>
            <w:tcW w:type="dxa" w:w="3024"/>
            <w:shd w:fill="E6E6E6"/>
            <w:tcMar>
              <w:top w:w="60" w:type="dxa"/>
              <w:start w:w="95" w:type="dxa"/>
              <w:bottom w:w="60" w:type="dxa"/>
              <w:end w:w="95" w:type="dxa"/>
            </w:tcMar>
            <w:vAlign w:val="center"/>
          </w:tcPr>
          <w:p>
            <w:r>
              <w:rPr>
                <w:b/>
                <w:color w:val="000000"/>
              </w:rPr>
              <w:t>Artifact</w:t>
            </w:r>
          </w:p>
        </w:tc>
        <w:tc>
          <w:tcPr>
            <w:tcW w:type="dxa" w:w="6336"/>
            <w:shd w:fill="E6E6E6"/>
            <w:tcMar>
              <w:top w:w="60" w:type="dxa"/>
              <w:start w:w="95" w:type="dxa"/>
              <w:bottom w:w="60" w:type="dxa"/>
              <w:end w:w="95" w:type="dxa"/>
            </w:tcMar>
            <w:vAlign w:val="center"/>
          </w:tcPr>
          <w:p>
            <w:r>
              <w:rPr>
                <w:b/>
                <w:color w:val="000000"/>
              </w:rPr>
              <w:t>Purpose</w:t>
            </w:r>
          </w:p>
        </w:tc>
      </w:tr>
      <w:tr>
        <w:trPr>
          <w:cantSplit/>
        </w:trPr>
        <w:tc>
          <w:tcPr>
            <w:tcW w:type="dxa" w:w="3024"/>
            <w:tcMar>
              <w:top w:w="60" w:type="dxa"/>
              <w:start w:w="95" w:type="dxa"/>
              <w:bottom w:w="60" w:type="dxa"/>
              <w:end w:w="95" w:type="dxa"/>
            </w:tcMar>
            <w:vAlign w:val="center"/>
          </w:tcPr>
          <w:p>
            <w:r>
              <w:rPr>
                <w:color w:val="000000"/>
              </w:rPr>
              <w:t>Dockerfile / docker-compose.yml</w:t>
            </w:r>
          </w:p>
        </w:tc>
        <w:tc>
          <w:tcPr>
            <w:tcW w:type="dxa" w:w="6336"/>
            <w:tcMar>
              <w:top w:w="60" w:type="dxa"/>
              <w:start w:w="95" w:type="dxa"/>
              <w:bottom w:w="60" w:type="dxa"/>
              <w:end w:w="95" w:type="dxa"/>
            </w:tcMar>
            <w:vAlign w:val="center"/>
          </w:tcPr>
          <w:p>
            <w:r>
              <w:rPr>
                <w:color w:val="000000"/>
              </w:rPr>
              <w:t>Containerized local verification for judges</w:t>
            </w:r>
          </w:p>
        </w:tc>
      </w:tr>
      <w:tr>
        <w:trPr>
          <w:cantSplit/>
        </w:trPr>
        <w:tc>
          <w:tcPr>
            <w:tcW w:type="dxa" w:w="3024"/>
            <w:tcMar>
              <w:top w:w="60" w:type="dxa"/>
              <w:start w:w="95" w:type="dxa"/>
              <w:bottom w:w="60" w:type="dxa"/>
              <w:end w:w="95" w:type="dxa"/>
            </w:tcMar>
            <w:vAlign w:val="center"/>
          </w:tcPr>
          <w:p>
            <w:r>
              <w:rPr>
                <w:color w:val="000000"/>
              </w:rPr>
              <w:t>render.yaml</w:t>
            </w:r>
          </w:p>
        </w:tc>
        <w:tc>
          <w:tcPr>
            <w:tcW w:type="dxa" w:w="6336"/>
            <w:tcMar>
              <w:top w:w="60" w:type="dxa"/>
              <w:start w:w="95" w:type="dxa"/>
              <w:bottom w:w="60" w:type="dxa"/>
              <w:end w:w="95" w:type="dxa"/>
            </w:tcMar>
            <w:vAlign w:val="center"/>
          </w:tcPr>
          <w:p>
            <w:r>
              <w:rPr>
                <w:color w:val="000000"/>
              </w:rPr>
              <w:t>Deployment blueprint for the hosted demo</w:t>
            </w:r>
          </w:p>
        </w:tc>
      </w:tr>
      <w:tr>
        <w:trPr>
          <w:cantSplit/>
        </w:trPr>
        <w:tc>
          <w:tcPr>
            <w:tcW w:type="dxa" w:w="3024"/>
            <w:tcMar>
              <w:top w:w="60" w:type="dxa"/>
              <w:start w:w="95" w:type="dxa"/>
              <w:bottom w:w="60" w:type="dxa"/>
              <w:end w:w="95" w:type="dxa"/>
            </w:tcMar>
            <w:vAlign w:val="center"/>
          </w:tcPr>
          <w:p>
            <w:r>
              <w:rPr>
                <w:color w:val="000000"/>
              </w:rPr>
              <w:t>tests/</w:t>
            </w:r>
          </w:p>
        </w:tc>
        <w:tc>
          <w:tcPr>
            <w:tcW w:type="dxa" w:w="6336"/>
            <w:tcMar>
              <w:top w:w="60" w:type="dxa"/>
              <w:start w:w="95" w:type="dxa"/>
              <w:bottom w:w="60" w:type="dxa"/>
              <w:end w:w="95" w:type="dxa"/>
            </w:tcMar>
            <w:vAlign w:val="center"/>
          </w:tcPr>
          <w:p>
            <w:r>
              <w:rPr>
                <w:color w:val="000000"/>
              </w:rPr>
              <w:t>Unit and integration checks for schemas, scoring, generation, fallback, and API behavior</w:t>
            </w:r>
          </w:p>
        </w:tc>
      </w:tr>
      <w:tr>
        <w:trPr>
          <w:cantSplit/>
        </w:trPr>
        <w:tc>
          <w:tcPr>
            <w:tcW w:type="dxa" w:w="3024"/>
            <w:tcMar>
              <w:top w:w="60" w:type="dxa"/>
              <w:start w:w="95" w:type="dxa"/>
              <w:bottom w:w="60" w:type="dxa"/>
              <w:end w:w="95" w:type="dxa"/>
            </w:tcMar>
            <w:vAlign w:val="center"/>
          </w:tcPr>
          <w:p>
            <w:r>
              <w:rPr>
                <w:color w:val="000000"/>
              </w:rPr>
              <w:t>data/amazon_subset</w:t>
            </w:r>
          </w:p>
        </w:tc>
        <w:tc>
          <w:tcPr>
            <w:tcW w:type="dxa" w:w="6336"/>
            <w:tcMar>
              <w:top w:w="60" w:type="dxa"/>
              <w:start w:w="95" w:type="dxa"/>
              <w:bottom w:w="60" w:type="dxa"/>
              <w:end w:w="95" w:type="dxa"/>
            </w:tcMar>
            <w:vAlign w:val="center"/>
          </w:tcPr>
          <w:p>
            <w:r>
              <w:rPr>
                <w:color w:val="000000"/>
              </w:rPr>
              <w:t>Checked-in real Amazon Reviews 2023 subset used for the latest paper metrics</w:t>
            </w:r>
          </w:p>
        </w:tc>
      </w:tr>
      <w:tr>
        <w:trPr>
          <w:cantSplit/>
        </w:trPr>
        <w:tc>
          <w:tcPr>
            <w:tcW w:type="dxa" w:w="3024"/>
            <w:tcMar>
              <w:top w:w="60" w:type="dxa"/>
              <w:start w:w="95" w:type="dxa"/>
              <w:bottom w:w="60" w:type="dxa"/>
              <w:end w:w="95" w:type="dxa"/>
            </w:tcMar>
            <w:vAlign w:val="center"/>
          </w:tcPr>
          <w:p>
            <w:r>
              <w:rPr>
                <w:color w:val="000000"/>
              </w:rPr>
              <w:t>data/fixtures</w:t>
            </w:r>
          </w:p>
        </w:tc>
        <w:tc>
          <w:tcPr>
            <w:tcW w:type="dxa" w:w="6336"/>
            <w:tcMar>
              <w:top w:w="60" w:type="dxa"/>
              <w:start w:w="95" w:type="dxa"/>
              <w:bottom w:w="60" w:type="dxa"/>
              <w:end w:w="95" w:type="dxa"/>
            </w:tcMar>
            <w:vAlign w:val="center"/>
          </w:tcPr>
          <w:p>
            <w:r>
              <w:rPr>
                <w:color w:val="000000"/>
              </w:rPr>
              <w:t>Deterministic cross-domain UI demo data that works without network access</w:t>
            </w:r>
          </w:p>
        </w:tc>
      </w:tr>
    </w:tbl>
    <w:p>
      <w:pPr>
        <w:pStyle w:val="Heading1"/>
      </w:pPr>
      <w:r>
        <w:rPr>
          <w:color w:val="000000"/>
        </w:rPr>
        <w:t>8. Limitations and Future Work</w:t>
      </w:r>
    </w:p>
    <w:p>
      <w:r>
        <w:rPr>
          <w:color w:val="000000"/>
        </w:rPr>
        <w:t>The current build is optimized for deadline reliability and judge reproducibility. The main limitation is that the checked-in Amazon subset is still much smaller than the full corpus, and some product metadata in the bounded subset is review-derived when official metadata streaming is incomplete. With more time, we would add embedding indexes, larger sampled evaluation, rating calibration, multi-turn conversational memory, richer BERTScore evaluation, and real Nigerian marketplace data.</w:t>
      </w:r>
    </w:p>
    <w:p>
      <w:r>
        <w:rPr>
          <w:color w:val="000000"/>
        </w:rPr>
        <w:t>The strongest next experiment would be a larger four-category run with dense product metadata and an embedding index for candidate generation. That would let the same agent workflow scale from a polished hackathon demo into a stronger production recommender.</w:t>
      </w:r>
    </w:p>
    <w:p>
      <w:pPr>
        <w:pStyle w:val="Heading1"/>
      </w:pPr>
      <w:r>
        <w:rPr>
          <w:color w:val="000000"/>
        </w:rPr>
        <w:t>Team and Conclusion</w:t>
      </w:r>
    </w:p>
    <w:tbl>
      <w:tblPr>
        <w:tblStyle w:val="TableGrid"/>
        <w:tblW w:type="auto" w:w="0"/>
        <w:jc w:val="left"/>
        <w:tblLook w:firstColumn="1" w:firstRow="1" w:lastColumn="0" w:lastRow="0" w:noHBand="0" w:noVBand="1" w:val="04A0"/>
      </w:tblPr>
      <w:tblGrid>
        <w:gridCol w:w="5112"/>
        <w:gridCol w:w="5112"/>
      </w:tblGrid>
      <w:tr>
        <w:trPr>
          <w:tblHeader w:val="true"/>
          <w:cantSplit/>
        </w:trPr>
        <w:tc>
          <w:tcPr>
            <w:tcW w:type="dxa" w:w="2880"/>
            <w:shd w:fill="E6E6E6"/>
            <w:tcMar>
              <w:top w:w="60" w:type="dxa"/>
              <w:start w:w="95" w:type="dxa"/>
              <w:bottom w:w="60" w:type="dxa"/>
              <w:end w:w="95" w:type="dxa"/>
            </w:tcMar>
            <w:vAlign w:val="center"/>
          </w:tcPr>
          <w:p>
            <w:r>
              <w:rPr>
                <w:b/>
                <w:color w:val="000000"/>
              </w:rPr>
              <w:t>Team Ace Member</w:t>
            </w:r>
          </w:p>
        </w:tc>
        <w:tc>
          <w:tcPr>
            <w:tcW w:type="dxa" w:w="6480"/>
            <w:shd w:fill="E6E6E6"/>
            <w:tcMar>
              <w:top w:w="60" w:type="dxa"/>
              <w:start w:w="95" w:type="dxa"/>
              <w:bottom w:w="60" w:type="dxa"/>
              <w:end w:w="95" w:type="dxa"/>
            </w:tcMar>
            <w:vAlign w:val="center"/>
          </w:tcPr>
          <w:p>
            <w:r>
              <w:rPr>
                <w:b/>
                <w:color w:val="000000"/>
              </w:rPr>
              <w:t>Role / Strength</w:t>
            </w:r>
          </w:p>
        </w:tc>
      </w:tr>
      <w:tr>
        <w:trPr>
          <w:cantSplit/>
        </w:trPr>
        <w:tc>
          <w:tcPr>
            <w:tcW w:type="dxa" w:w="2880"/>
            <w:tcMar>
              <w:top w:w="60" w:type="dxa"/>
              <w:start w:w="95" w:type="dxa"/>
              <w:bottom w:w="60" w:type="dxa"/>
              <w:end w:w="95" w:type="dxa"/>
            </w:tcMar>
            <w:vAlign w:val="center"/>
          </w:tcPr>
          <w:p>
            <w:r>
              <w:rPr>
                <w:color w:val="000000"/>
              </w:rPr>
              <w:t>Teslim Sadiq</w:t>
            </w:r>
          </w:p>
        </w:tc>
        <w:tc>
          <w:tcPr>
            <w:tcW w:type="dxa" w:w="6480"/>
            <w:tcMar>
              <w:top w:w="60" w:type="dxa"/>
              <w:start w:w="95" w:type="dxa"/>
              <w:bottom w:w="60" w:type="dxa"/>
              <w:end w:w="95" w:type="dxa"/>
            </w:tcMar>
            <w:vAlign w:val="center"/>
          </w:tcPr>
          <w:p>
            <w:r>
              <w:rPr>
                <w:color w:val="000000"/>
              </w:rPr>
              <w:t>Product engineering, backend/API integration, deployment, and demo flow</w:t>
            </w:r>
          </w:p>
        </w:tc>
      </w:tr>
      <w:tr>
        <w:trPr>
          <w:cantSplit/>
        </w:trPr>
        <w:tc>
          <w:tcPr>
            <w:tcW w:type="dxa" w:w="2880"/>
            <w:tcMar>
              <w:top w:w="60" w:type="dxa"/>
              <w:start w:w="95" w:type="dxa"/>
              <w:bottom w:w="60" w:type="dxa"/>
              <w:end w:w="95" w:type="dxa"/>
            </w:tcMar>
            <w:vAlign w:val="center"/>
          </w:tcPr>
          <w:p>
            <w:r>
              <w:rPr>
                <w:color w:val="000000"/>
              </w:rPr>
              <w:t>Yasir Oyebo</w:t>
            </w:r>
          </w:p>
        </w:tc>
        <w:tc>
          <w:tcPr>
            <w:tcW w:type="dxa" w:w="6480"/>
            <w:tcMar>
              <w:top w:w="60" w:type="dxa"/>
              <w:start w:w="95" w:type="dxa"/>
              <w:bottom w:w="60" w:type="dxa"/>
              <w:end w:w="95" w:type="dxa"/>
            </w:tcMar>
            <w:vAlign w:val="center"/>
          </w:tcPr>
          <w:p>
            <w:r>
              <w:rPr>
                <w:color w:val="000000"/>
              </w:rPr>
              <w:t>Data strategy, evaluation, experiments, and model reasoning</w:t>
            </w:r>
          </w:p>
        </w:tc>
      </w:tr>
      <w:tr>
        <w:trPr>
          <w:cantSplit/>
        </w:trPr>
        <w:tc>
          <w:tcPr>
            <w:tcW w:type="dxa" w:w="2880"/>
            <w:tcMar>
              <w:top w:w="60" w:type="dxa"/>
              <w:start w:w="95" w:type="dxa"/>
              <w:bottom w:w="60" w:type="dxa"/>
              <w:end w:w="95" w:type="dxa"/>
            </w:tcMar>
            <w:vAlign w:val="center"/>
          </w:tcPr>
          <w:p>
            <w:r>
              <w:rPr>
                <w:color w:val="000000"/>
              </w:rPr>
              <w:t>Abiodun Mark</w:t>
            </w:r>
          </w:p>
        </w:tc>
        <w:tc>
          <w:tcPr>
            <w:tcW w:type="dxa" w:w="6480"/>
            <w:tcMar>
              <w:top w:w="60" w:type="dxa"/>
              <w:start w:w="95" w:type="dxa"/>
              <w:bottom w:w="60" w:type="dxa"/>
              <w:end w:w="95" w:type="dxa"/>
            </w:tcMar>
            <w:vAlign w:val="center"/>
          </w:tcPr>
          <w:p>
            <w:r>
              <w:rPr>
                <w:color w:val="000000"/>
              </w:rPr>
              <w:t>UX polish, Nigerian contextualization, storytelling, and judge presentation</w:t>
            </w:r>
          </w:p>
        </w:tc>
      </w:tr>
    </w:tbl>
    <w:p>
      <w:r>
        <w:rPr>
          <w:color w:val="000000"/>
        </w:rPr>
        <w:t>Team Ace is passionate about building practical, culturally aware AI that solves real African problems. This project is not just an agent submission; it is a demonstration of a new standard for interpretable, reproducible, and deeply contextual LLM agents built for Nigeria and the world.</w:t>
      </w:r>
    </w:p>
    <w:p>
      <w:pPr>
        <w:pStyle w:val="Heading2"/>
      </w:pPr>
      <w:r>
        <w:rPr>
          <w:color w:val="000000"/>
        </w:rPr>
        <w:t>References and Appendix</w:t>
      </w:r>
    </w:p>
    <w:p>
      <w:pPr>
        <w:pStyle w:val="ListBullet"/>
        <w:spacing w:after="50"/>
      </w:pPr>
      <w:r>
        <w:rPr>
          <w:color w:val="000000"/>
        </w:rPr>
        <w:t>Amazon Reviews 2023 official dataset, McAuley Lab.</w:t>
      </w:r>
    </w:p>
    <w:p>
      <w:pPr>
        <w:pStyle w:val="ListBullet"/>
        <w:spacing w:after="50"/>
      </w:pPr>
      <w:r>
        <w:rPr>
          <w:color w:val="000000"/>
        </w:rPr>
        <w:t>Groq hosted chat model for controlled review and explanation generation.</w:t>
      </w:r>
    </w:p>
    <w:p>
      <w:pPr>
        <w:pStyle w:val="ListBullet"/>
        <w:spacing w:after="50"/>
      </w:pPr>
      <w:r>
        <w:rPr>
          <w:color w:val="000000"/>
        </w:rPr>
        <w:t>YarnGPT hosted voice layer for Nigerian-localized audio output.</w:t>
      </w:r>
    </w:p>
    <w:p>
      <w:pPr>
        <w:pStyle w:val="ListBullet"/>
        <w:spacing w:after="50"/>
      </w:pPr>
      <w:r>
        <w:rPr>
          <w:color w:val="000000"/>
        </w:rPr>
        <w:t>Evaluation artifacts: docs/evaluation_report.json and scripts/evaluate_dataset.py.</w:t>
      </w:r>
    </w:p>
    <w:sectPr w:rsidR="00FC693F" w:rsidRPr="0006063C" w:rsidSect="00034616">
      <w:headerReference w:type="default" r:id="rId9"/>
      <w:footerReference w:type="default" r:id="rId10"/>
      <w:pgSz w:w="12240" w:h="15840"/>
      <w:pgMar w:top="864" w:right="1008" w:bottom="864"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6" w:space="4" w:color="000000"/>
      </w:pBdr>
    </w:pPr>
    <w:r>
      <w:rPr>
        <w:color w:val="000000"/>
        <w:sz w:val="17"/>
      </w:rPr>
      <w:t>DSN x BCT LLM Agent Challenge | Solution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5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