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Dynamic User Modeling and Contextual Recommendation with LLM Agents</w:t>
      </w:r>
    </w:p>
    <w:p>
      <w:pPr>
        <w:pStyle w:val="Subtitle"/>
        <w:jc w:val="center"/>
      </w:pPr>
      <w:r>
        <w:t>Solution paper for the DSN x BCT LLM Agent Challenge</w:t>
      </w:r>
    </w:p>
    <w:tbl>
      <w:tblPr>
        <w:tblStyle w:val="TableGrid"/>
        <w:tblW w:type="auto" w:w="0"/>
        <w:jc w:val="left"/>
        <w:tblLook w:firstColumn="1" w:firstRow="1" w:lastColumn="0" w:lastRow="0" w:noHBand="0" w:noVBand="1" w:val="04A0"/>
      </w:tblPr>
      <w:tblGrid>
        <w:gridCol w:w="4680"/>
        <w:gridCol w:w="4680"/>
      </w:tblGrid>
      <w:tr>
        <w:tc>
          <w:tcPr>
            <w:tcW w:type="dxa" w:w="2880"/>
            <w:vAlign w:val="center"/>
            <w:tcMar>
              <w:top w:w="90" w:type="dxa"/>
              <w:start w:w="120" w:type="dxa"/>
              <w:bottom w:w="90" w:type="dxa"/>
              <w:end w:w="120" w:type="dxa"/>
            </w:tcMar>
            <w:shd w:fill="EDE3D3"/>
          </w:tcPr>
          <w:p>
            <w:r>
              <w:rPr>
                <w:b/>
              </w:rPr>
              <w:t>Competition</w:t>
            </w:r>
          </w:p>
        </w:tc>
        <w:tc>
          <w:tcPr>
            <w:tcW w:type="dxa" w:w="6480"/>
            <w:vAlign w:val="center"/>
            <w:tcMar>
              <w:top w:w="90" w:type="dxa"/>
              <w:start w:w="120" w:type="dxa"/>
              <w:bottom w:w="90" w:type="dxa"/>
              <w:end w:w="120" w:type="dxa"/>
            </w:tcMar>
            <w:shd w:fill="FFFFFF"/>
          </w:tcPr>
          <w:p>
            <w:r>
              <w:t>Data &amp; AI Summit Hackathon 3.0: DSN x BCT LLM Agent Challenge</w:t>
            </w:r>
          </w:p>
        </w:tc>
      </w:tr>
      <w:tr>
        <w:tc>
          <w:tcPr>
            <w:tcW w:type="dxa" w:w="2880"/>
            <w:vAlign w:val="center"/>
            <w:tcMar>
              <w:top w:w="90" w:type="dxa"/>
              <w:start w:w="120" w:type="dxa"/>
              <w:bottom w:w="90" w:type="dxa"/>
              <w:end w:w="120" w:type="dxa"/>
            </w:tcMar>
            <w:shd w:fill="EDE3D3"/>
          </w:tcPr>
          <w:p>
            <w:r>
              <w:rPr>
                <w:b/>
              </w:rPr>
              <w:t>System</w:t>
            </w:r>
          </w:p>
        </w:tc>
        <w:tc>
          <w:tcPr>
            <w:tcW w:type="dxa" w:w="6480"/>
            <w:vAlign w:val="center"/>
            <w:tcMar>
              <w:top w:w="90" w:type="dxa"/>
              <w:start w:w="120" w:type="dxa"/>
              <w:bottom w:w="90" w:type="dxa"/>
              <w:end w:w="120" w:type="dxa"/>
            </w:tcMar>
            <w:shd w:fill="FFFFFF"/>
          </w:tcPr>
          <w:p>
            <w:r>
              <w:t>Containerized FastAPI application with web UI, REST API, and Groq-backed generation</w:t>
            </w:r>
          </w:p>
        </w:tc>
      </w:tr>
      <w:tr>
        <w:tc>
          <w:tcPr>
            <w:tcW w:type="dxa" w:w="2880"/>
            <w:vAlign w:val="center"/>
            <w:tcMar>
              <w:top w:w="90" w:type="dxa"/>
              <w:start w:w="120" w:type="dxa"/>
              <w:bottom w:w="90" w:type="dxa"/>
              <w:end w:w="120" w:type="dxa"/>
            </w:tcMar>
            <w:shd w:fill="EDE3D3"/>
          </w:tcPr>
          <w:p>
            <w:r>
              <w:rPr>
                <w:b/>
              </w:rPr>
              <w:t>Dataset Strategy</w:t>
            </w:r>
          </w:p>
        </w:tc>
        <w:tc>
          <w:tcPr>
            <w:tcW w:type="dxa" w:w="6480"/>
            <w:vAlign w:val="center"/>
            <w:tcMar>
              <w:top w:w="90" w:type="dxa"/>
              <w:start w:w="120" w:type="dxa"/>
              <w:bottom w:w="90" w:type="dxa"/>
              <w:end w:w="120" w:type="dxa"/>
            </w:tcMar>
            <w:shd w:fill="FFFFFF"/>
          </w:tcPr>
          <w:p>
            <w:r>
              <w:t>Amazon Reviews 2023 subset: Grocery, Movies &amp; TV, Video Games, and Beauty</w:t>
            </w:r>
          </w:p>
        </w:tc>
      </w:tr>
    </w:tbl>
    <w:p>
      <w:pPr>
        <w:pStyle w:val="Heading1"/>
      </w:pPr>
      <w:r>
        <w:t>Executive Summary</w:t>
      </w:r>
    </w:p>
    <w:p>
      <w:r>
        <w:t>The system models users as dynamic behavioral agents rather than static profiles. It combines local, reproducible scoring with retrieval-augmented Groq generation so the submission can be evaluated by machines, inspected by judges, and still run when no API key is supplied. One container exposes both required tasks: simulated reviews and personalized recommendations.</w:t>
      </w:r>
    </w:p>
    <w:p>
      <w:pPr>
        <w:pStyle w:val="ListBullet"/>
        <w:spacing w:after="100"/>
      </w:pPr>
      <w:r>
        <w:t>Task A predicts a star rating from user bias, category affinity, item quality, keyword fit, and budget sensitivity, then generates a grounded review.</w:t>
      </w:r>
    </w:p>
    <w:p>
      <w:pPr>
        <w:pStyle w:val="ListBullet"/>
        <w:spacing w:after="100"/>
      </w:pPr>
      <w:r>
        <w:t>Task B ranks products across grocery, movies, games, and beauty using popularity, preference match, context match, category affinity, and cold-start fallbacks.</w:t>
      </w:r>
    </w:p>
    <w:p>
      <w:pPr>
        <w:pStyle w:val="ListBullet"/>
        <w:spacing w:after="100"/>
      </w:pPr>
      <w:r>
        <w:t>Nigerian context is represented through persona fields such as location, budget, language preference, family use cases, weekday routines, harmattan weather, and local media taste.</w:t>
      </w:r>
    </w:p>
    <w:p>
      <w:pPr>
        <w:pStyle w:val="Heading1"/>
      </w:pPr>
      <w:r>
        <w:t>1. Problem Framing</w:t>
      </w:r>
    </w:p>
    <w:p>
      <w:r>
        <w:t>Online reviews are compact records of behavior: users reveal what they value, how harshly they rate products, which tradeoffs matter, and how context changes their choices. The challenge is therefore not only to summarize past activity, but to simulate how a person would react to an unseen item and what they are likely to choose next.</w:t>
      </w:r>
    </w:p>
    <w:p>
      <w:r>
        <w:t>Our design treats the persona as the shared memory object between both tasks. The same signals used to explain a generated review are also used to rank recommendations, which makes the system internally consistent and easy for judges to audit.</w:t>
      </w:r>
    </w:p>
    <w:p>
      <w:pPr>
        <w:pStyle w:val="Heading1"/>
      </w:pPr>
      <w:r>
        <w:t>2. Architecture</w:t>
      </w:r>
    </w:p>
    <w:p>
      <w:pPr>
        <w:jc w:val="center"/>
      </w:pPr>
      <w:r>
        <w:drawing>
          <wp:inline xmlns:a="http://schemas.openxmlformats.org/drawingml/2006/main" xmlns:pic="http://schemas.openxmlformats.org/drawingml/2006/picture">
            <wp:extent cx="5897880" cy="280149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2801493"/>
                    </a:xfrm>
                    <a:prstGeom prst="rect"/>
                  </pic:spPr>
                </pic:pic>
              </a:graphicData>
            </a:graphic>
          </wp:inline>
        </w:drawing>
      </w:r>
    </w:p>
    <w:p>
      <w:pPr>
        <w:jc w:val="center"/>
      </w:pPr>
      <w:r>
        <w:rPr>
          <w:color w:val="5F5B53"/>
          <w:sz w:val="18"/>
        </w:rPr>
        <w:t>Figure 1. The app keeps behavioral scoring local and uses Groq only after structured validation.</w:t>
      </w:r>
    </w:p>
    <w:tbl>
      <w:tblPr>
        <w:tblStyle w:val="TableGrid"/>
        <w:tblW w:type="auto" w:w="0"/>
        <w:jc w:val="left"/>
        <w:tblLook w:firstColumn="1" w:firstRow="1" w:lastColumn="0" w:lastRow="0" w:noHBand="0" w:noVBand="1" w:val="04A0"/>
      </w:tblPr>
      <w:tblGrid>
        <w:gridCol w:w="3120"/>
        <w:gridCol w:w="3120"/>
        <w:gridCol w:w="3120"/>
      </w:tblGrid>
      <w:tr>
        <w:trPr>
          <w:tblHeader w:val="true"/>
          <w:cantSplit/>
        </w:trPr>
        <w:tc>
          <w:tcPr>
            <w:tcW w:type="dxa" w:w="2015"/>
            <w:shd w:fill="EDE3D3"/>
            <w:tcMar>
              <w:top w:w="90" w:type="dxa"/>
              <w:start w:w="120" w:type="dxa"/>
              <w:bottom w:w="90" w:type="dxa"/>
              <w:end w:w="120" w:type="dxa"/>
            </w:tcMar>
            <w:vAlign w:val="center"/>
          </w:tcPr>
          <w:p>
            <w:r>
              <w:rPr>
                <w:b/>
              </w:rPr>
              <w:t>Layer</w:t>
            </w:r>
          </w:p>
        </w:tc>
        <w:tc>
          <w:tcPr>
            <w:tcW w:type="dxa" w:w="2880"/>
            <w:shd w:fill="EDE3D3"/>
            <w:tcMar>
              <w:top w:w="90" w:type="dxa"/>
              <w:start w:w="120" w:type="dxa"/>
              <w:bottom w:w="90" w:type="dxa"/>
              <w:end w:w="120" w:type="dxa"/>
            </w:tcMar>
            <w:vAlign w:val="center"/>
          </w:tcPr>
          <w:p>
            <w:r>
              <w:rPr>
                <w:b/>
              </w:rPr>
              <w:t>Role</w:t>
            </w:r>
          </w:p>
        </w:tc>
        <w:tc>
          <w:tcPr>
            <w:tcW w:type="dxa" w:w="4464"/>
            <w:shd w:fill="EDE3D3"/>
            <w:tcMar>
              <w:top w:w="90" w:type="dxa"/>
              <w:start w:w="120" w:type="dxa"/>
              <w:bottom w:w="90" w:type="dxa"/>
              <w:end w:w="120" w:type="dxa"/>
            </w:tcMar>
            <w:vAlign w:val="center"/>
          </w:tcPr>
          <w:p>
            <w:r>
              <w:rPr>
                <w:b/>
              </w:rPr>
              <w:t>Implementation</w:t>
            </w:r>
          </w:p>
        </w:tc>
      </w:tr>
      <w:tr>
        <w:trPr>
          <w:cantSplit/>
        </w:trPr>
        <w:tc>
          <w:tcPr>
            <w:tcW w:type="dxa" w:w="2015"/>
            <w:tcMar>
              <w:top w:w="90" w:type="dxa"/>
              <w:start w:w="120" w:type="dxa"/>
              <w:bottom w:w="90" w:type="dxa"/>
              <w:end w:w="120" w:type="dxa"/>
            </w:tcMar>
            <w:vAlign w:val="center"/>
          </w:tcPr>
          <w:p>
            <w:r>
              <w:t>Persona modeling</w:t>
            </w:r>
          </w:p>
        </w:tc>
        <w:tc>
          <w:tcPr>
            <w:tcW w:type="dxa" w:w="2880"/>
            <w:tcMar>
              <w:top w:w="90" w:type="dxa"/>
              <w:start w:w="120" w:type="dxa"/>
              <w:bottom w:w="90" w:type="dxa"/>
              <w:end w:w="120" w:type="dxa"/>
            </w:tcMar>
            <w:vAlign w:val="center"/>
          </w:tcPr>
          <w:p>
            <w:r>
              <w:t>Compress user history into behavior signals</w:t>
            </w:r>
          </w:p>
        </w:tc>
        <w:tc>
          <w:tcPr>
            <w:tcW w:type="dxa" w:w="4464"/>
            <w:tcMar>
              <w:top w:w="90" w:type="dxa"/>
              <w:start w:w="120" w:type="dxa"/>
              <w:bottom w:w="90" w:type="dxa"/>
              <w:end w:w="120" w:type="dxa"/>
            </w:tcMar>
            <w:vAlign w:val="center"/>
          </w:tcPr>
          <w:p>
            <w:r>
              <w:t>Rating bias, category affinity, likes/dislikes, budget level, tone, and Nigerian context fields</w:t>
            </w:r>
          </w:p>
        </w:tc>
      </w:tr>
      <w:tr>
        <w:trPr>
          <w:cantSplit/>
        </w:trPr>
        <w:tc>
          <w:tcPr>
            <w:tcW w:type="dxa" w:w="2015"/>
            <w:tcMar>
              <w:top w:w="90" w:type="dxa"/>
              <w:start w:w="120" w:type="dxa"/>
              <w:bottom w:w="90" w:type="dxa"/>
              <w:end w:w="120" w:type="dxa"/>
            </w:tcMar>
            <w:vAlign w:val="center"/>
          </w:tcPr>
          <w:p>
            <w:r>
              <w:t>Retrieval</w:t>
            </w:r>
          </w:p>
        </w:tc>
        <w:tc>
          <w:tcPr>
            <w:tcW w:type="dxa" w:w="2880"/>
            <w:tcMar>
              <w:top w:w="90" w:type="dxa"/>
              <w:start w:w="120" w:type="dxa"/>
              <w:bottom w:w="90" w:type="dxa"/>
              <w:end w:w="120" w:type="dxa"/>
            </w:tcMar>
            <w:vAlign w:val="center"/>
          </w:tcPr>
          <w:p>
            <w:r>
              <w:t>Ground generation in prior behavior</w:t>
            </w:r>
          </w:p>
        </w:tc>
        <w:tc>
          <w:tcPr>
            <w:tcW w:type="dxa" w:w="4464"/>
            <w:tcMar>
              <w:top w:w="90" w:type="dxa"/>
              <w:start w:w="120" w:type="dxa"/>
              <w:bottom w:w="90" w:type="dxa"/>
              <w:end w:w="120" w:type="dxa"/>
            </w:tcMar>
            <w:vAlign w:val="center"/>
          </w:tcPr>
          <w:p>
            <w:r>
              <w:t>Nearest history items by category and keyword overlap</w:t>
            </w:r>
          </w:p>
        </w:tc>
      </w:tr>
      <w:tr>
        <w:trPr>
          <w:cantSplit/>
        </w:trPr>
        <w:tc>
          <w:tcPr>
            <w:tcW w:type="dxa" w:w="2015"/>
            <w:tcMar>
              <w:top w:w="90" w:type="dxa"/>
              <w:start w:w="120" w:type="dxa"/>
              <w:bottom w:w="90" w:type="dxa"/>
              <w:end w:w="120" w:type="dxa"/>
            </w:tcMar>
            <w:vAlign w:val="center"/>
          </w:tcPr>
          <w:p>
            <w:r>
              <w:t>Rating model</w:t>
            </w:r>
          </w:p>
        </w:tc>
        <w:tc>
          <w:tcPr>
            <w:tcW w:type="dxa" w:w="2880"/>
            <w:tcMar>
              <w:top w:w="90" w:type="dxa"/>
              <w:start w:w="120" w:type="dxa"/>
              <w:bottom w:w="90" w:type="dxa"/>
              <w:end w:w="120" w:type="dxa"/>
            </w:tcMar>
            <w:vAlign w:val="center"/>
          </w:tcPr>
          <w:p>
            <w:r>
              <w:t>Predict Task A stars</w:t>
            </w:r>
          </w:p>
        </w:tc>
        <w:tc>
          <w:tcPr>
            <w:tcW w:type="dxa" w:w="4464"/>
            <w:tcMar>
              <w:top w:w="90" w:type="dxa"/>
              <w:start w:w="120" w:type="dxa"/>
              <w:bottom w:w="90" w:type="dxa"/>
              <w:end w:w="120" w:type="dxa"/>
            </w:tcMar>
            <w:vAlign w:val="center"/>
          </w:tcPr>
          <w:p>
            <w:r>
              <w:t>Weighted ensemble of item quality, user average, category affinity, preference overlap, dislike overlap, and budget adjustment</w:t>
            </w:r>
          </w:p>
        </w:tc>
      </w:tr>
      <w:tr>
        <w:trPr>
          <w:cantSplit/>
        </w:trPr>
        <w:tc>
          <w:tcPr>
            <w:tcW w:type="dxa" w:w="2015"/>
            <w:tcMar>
              <w:top w:w="90" w:type="dxa"/>
              <w:start w:w="120" w:type="dxa"/>
              <w:bottom w:w="90" w:type="dxa"/>
              <w:end w:w="120" w:type="dxa"/>
            </w:tcMar>
            <w:vAlign w:val="center"/>
          </w:tcPr>
          <w:p>
            <w:r>
              <w:t>Recommender</w:t>
            </w:r>
          </w:p>
        </w:tc>
        <w:tc>
          <w:tcPr>
            <w:tcW w:type="dxa" w:w="2880"/>
            <w:tcMar>
              <w:top w:w="90" w:type="dxa"/>
              <w:start w:w="120" w:type="dxa"/>
              <w:bottom w:w="90" w:type="dxa"/>
              <w:end w:w="120" w:type="dxa"/>
            </w:tcMar>
            <w:vAlign w:val="center"/>
          </w:tcPr>
          <w:p>
            <w:r>
              <w:t>Rank Task B candidates</w:t>
            </w:r>
          </w:p>
        </w:tc>
        <w:tc>
          <w:tcPr>
            <w:tcW w:type="dxa" w:w="4464"/>
            <w:tcMar>
              <w:top w:w="90" w:type="dxa"/>
              <w:start w:w="120" w:type="dxa"/>
              <w:bottom w:w="90" w:type="dxa"/>
              <w:end w:w="120" w:type="dxa"/>
            </w:tcMar>
            <w:vAlign w:val="center"/>
          </w:tcPr>
          <w:p>
            <w:r>
              <w:t>Popularity, volume, category affinity, context match, preference match, dislike penalty, and budget fit</w:t>
            </w:r>
          </w:p>
        </w:tc>
      </w:tr>
      <w:tr>
        <w:trPr>
          <w:cantSplit/>
        </w:trPr>
        <w:tc>
          <w:tcPr>
            <w:tcW w:type="dxa" w:w="2015"/>
            <w:tcMar>
              <w:top w:w="90" w:type="dxa"/>
              <w:start w:w="120" w:type="dxa"/>
              <w:bottom w:w="90" w:type="dxa"/>
              <w:end w:w="120" w:type="dxa"/>
            </w:tcMar>
            <w:vAlign w:val="center"/>
          </w:tcPr>
          <w:p>
            <w:r>
              <w:t>Generation</w:t>
            </w:r>
          </w:p>
        </w:tc>
        <w:tc>
          <w:tcPr>
            <w:tcW w:type="dxa" w:w="2880"/>
            <w:tcMar>
              <w:top w:w="90" w:type="dxa"/>
              <w:start w:w="120" w:type="dxa"/>
              <w:bottom w:w="90" w:type="dxa"/>
              <w:end w:w="120" w:type="dxa"/>
            </w:tcMar>
            <w:vAlign w:val="center"/>
          </w:tcPr>
          <w:p>
            <w:r>
              <w:t>Produce natural language</w:t>
            </w:r>
          </w:p>
        </w:tc>
        <w:tc>
          <w:tcPr>
            <w:tcW w:type="dxa" w:w="4464"/>
            <w:tcMar>
              <w:top w:w="90" w:type="dxa"/>
              <w:start w:w="120" w:type="dxa"/>
              <w:bottom w:w="90" w:type="dxa"/>
              <w:end w:w="120" w:type="dxa"/>
            </w:tcMar>
            <w:vAlign w:val="center"/>
          </w:tcPr>
          <w:p>
            <w:r>
              <w:t>Groq chat completions for final review/explanation, deterministic local fallback for reproducibility</w:t>
            </w:r>
          </w:p>
        </w:tc>
      </w:tr>
    </w:tbl>
    <w:p>
      <w:r>
        <w:t>The Groq layer is deliberately separated from the ranking and rating logic. This prevents the LLM from becoming an opaque scoring engine and keeps the metrics reproducible. Groq improves fluency and explanation quality, while local models determine the behavioral decision.</w:t>
      </w:r>
    </w:p>
    <w:p>
      <w:pPr>
        <w:pStyle w:val="Heading1"/>
      </w:pPr>
      <w:r>
        <w:t>3. Dataset and Splitting Strategy</w:t>
      </w:r>
    </w:p>
    <w:p>
      <w:r>
        <w:t>The competition plan uses Amazon Reviews 2023 because it provides item metadata, review text, ratings, user histories, and multiple product domains. The repository ships with a small Amazon-style fixture dataset so evaluators can run the app instantly. The same schema is used for larger sampled categories.</w:t>
      </w:r>
    </w:p>
    <w:p>
      <w:pPr>
        <w:pStyle w:val="ListBullet"/>
        <w:spacing w:after="100"/>
      </w:pPr>
      <w:r>
        <w:t>Primary domains: Grocery and Gourmet Food, Movies and TV, Video Games, and All Beauty.</w:t>
      </w:r>
    </w:p>
    <w:p>
      <w:pPr>
        <w:pStyle w:val="ListBullet"/>
        <w:spacing w:after="100"/>
      </w:pPr>
      <w:r>
        <w:t>Train/test construction: hold out each user's most recent interaction where enough history exists.</w:t>
      </w:r>
    </w:p>
    <w:p>
      <w:pPr>
        <w:pStyle w:val="ListBullet"/>
        <w:spacing w:after="100"/>
      </w:pPr>
      <w:r>
        <w:t>Cold-start support: when history is sparse, rely more heavily on item metadata, popularity, context text, and stated persona preferences.</w:t>
      </w:r>
    </w:p>
    <w:tbl>
      <w:tblPr>
        <w:tblStyle w:val="TableGrid"/>
        <w:tblW w:type="auto" w:w="0"/>
        <w:jc w:val="left"/>
        <w:tblLook w:firstColumn="1" w:firstRow="1" w:lastColumn="0" w:lastRow="0" w:noHBand="0" w:noVBand="1" w:val="04A0"/>
      </w:tblPr>
      <w:tblGrid>
        <w:gridCol w:w="3120"/>
        <w:gridCol w:w="3120"/>
        <w:gridCol w:w="3120"/>
      </w:tblGrid>
      <w:tr>
        <w:trPr>
          <w:tblHeader w:val="true"/>
          <w:cantSplit/>
        </w:trPr>
        <w:tc>
          <w:tcPr>
            <w:tcW w:type="dxa" w:w="2448"/>
            <w:shd w:fill="EDE3D3"/>
            <w:tcMar>
              <w:top w:w="90" w:type="dxa"/>
              <w:start w:w="120" w:type="dxa"/>
              <w:bottom w:w="90" w:type="dxa"/>
              <w:end w:w="120" w:type="dxa"/>
            </w:tcMar>
            <w:vAlign w:val="center"/>
          </w:tcPr>
          <w:p>
            <w:r>
              <w:rPr>
                <w:b/>
              </w:rPr>
              <w:t>Smoke Subset</w:t>
            </w:r>
          </w:p>
        </w:tc>
        <w:tc>
          <w:tcPr>
            <w:tcW w:type="dxa" w:w="2015"/>
            <w:shd w:fill="EDE3D3"/>
            <w:tcMar>
              <w:top w:w="90" w:type="dxa"/>
              <w:start w:w="120" w:type="dxa"/>
              <w:bottom w:w="90" w:type="dxa"/>
              <w:end w:w="120" w:type="dxa"/>
            </w:tcMar>
            <w:vAlign w:val="center"/>
          </w:tcPr>
          <w:p>
            <w:r>
              <w:rPr>
                <w:b/>
              </w:rPr>
              <w:t>Value</w:t>
            </w:r>
          </w:p>
        </w:tc>
        <w:tc>
          <w:tcPr>
            <w:tcW w:type="dxa" w:w="4896"/>
            <w:shd w:fill="EDE3D3"/>
            <w:tcMar>
              <w:top w:w="90" w:type="dxa"/>
              <w:start w:w="120" w:type="dxa"/>
              <w:bottom w:w="90" w:type="dxa"/>
              <w:end w:w="120" w:type="dxa"/>
            </w:tcMar>
            <w:vAlign w:val="center"/>
          </w:tcPr>
          <w:p>
            <w:r>
              <w:rPr>
                <w:b/>
              </w:rPr>
              <w:t>Meaning</w:t>
            </w:r>
          </w:p>
        </w:tc>
      </w:tr>
      <w:tr>
        <w:trPr>
          <w:cantSplit/>
        </w:trPr>
        <w:tc>
          <w:tcPr>
            <w:tcW w:type="dxa" w:w="2448"/>
            <w:tcMar>
              <w:top w:w="90" w:type="dxa"/>
              <w:start w:w="120" w:type="dxa"/>
              <w:bottom w:w="90" w:type="dxa"/>
              <w:end w:w="120" w:type="dxa"/>
            </w:tcMar>
            <w:vAlign w:val="center"/>
          </w:tcPr>
          <w:p>
            <w:r>
              <w:t>Source</w:t>
            </w:r>
          </w:p>
        </w:tc>
        <w:tc>
          <w:tcPr>
            <w:tcW w:type="dxa" w:w="2015"/>
            <w:tcMar>
              <w:top w:w="90" w:type="dxa"/>
              <w:start w:w="120" w:type="dxa"/>
              <w:bottom w:w="90" w:type="dxa"/>
              <w:end w:w="120" w:type="dxa"/>
            </w:tcMar>
            <w:vAlign w:val="center"/>
          </w:tcPr>
          <w:p>
            <w:r>
              <w:t>Amazon Reviews 2023</w:t>
            </w:r>
          </w:p>
        </w:tc>
        <w:tc>
          <w:tcPr>
            <w:tcW w:type="dxa" w:w="4896"/>
            <w:tcMar>
              <w:top w:w="90" w:type="dxa"/>
              <w:start w:w="120" w:type="dxa"/>
              <w:bottom w:w="90" w:type="dxa"/>
              <w:end w:w="120" w:type="dxa"/>
            </w:tcMar>
            <w:vAlign w:val="center"/>
          </w:tcPr>
          <w:p>
            <w:r>
              <w:t>Official McAuley Lab review and metadata JSONL.GZ files</w:t>
            </w:r>
          </w:p>
        </w:tc>
      </w:tr>
      <w:tr>
        <w:trPr>
          <w:cantSplit/>
        </w:trPr>
        <w:tc>
          <w:tcPr>
            <w:tcW w:type="dxa" w:w="2448"/>
            <w:tcMar>
              <w:top w:w="90" w:type="dxa"/>
              <w:start w:w="120" w:type="dxa"/>
              <w:bottom w:w="90" w:type="dxa"/>
              <w:end w:w="120" w:type="dxa"/>
            </w:tcMar>
            <w:vAlign w:val="center"/>
          </w:tcPr>
          <w:p>
            <w:r>
              <w:t>Products</w:t>
            </w:r>
          </w:p>
        </w:tc>
        <w:tc>
          <w:tcPr>
            <w:tcW w:type="dxa" w:w="2015"/>
            <w:tcMar>
              <w:top w:w="90" w:type="dxa"/>
              <w:start w:w="120" w:type="dxa"/>
              <w:bottom w:w="90" w:type="dxa"/>
              <w:end w:w="120" w:type="dxa"/>
            </w:tcMar>
            <w:vAlign w:val="center"/>
          </w:tcPr>
          <w:p>
            <w:r>
              <w:t>21</w:t>
            </w:r>
          </w:p>
        </w:tc>
        <w:tc>
          <w:tcPr>
            <w:tcW w:type="dxa" w:w="4896"/>
            <w:tcMar>
              <w:top w:w="90" w:type="dxa"/>
              <w:start w:w="120" w:type="dxa"/>
              <w:bottom w:w="90" w:type="dxa"/>
              <w:end w:w="120" w:type="dxa"/>
            </w:tcMar>
            <w:vAlign w:val="center"/>
          </w:tcPr>
          <w:p>
            <w:r>
              <w:t>Normalized candidate products in the smoke run</w:t>
            </w:r>
          </w:p>
        </w:tc>
      </w:tr>
      <w:tr>
        <w:trPr>
          <w:cantSplit/>
        </w:trPr>
        <w:tc>
          <w:tcPr>
            <w:tcW w:type="dxa" w:w="2448"/>
            <w:tcMar>
              <w:top w:w="90" w:type="dxa"/>
              <w:start w:w="120" w:type="dxa"/>
              <w:bottom w:w="90" w:type="dxa"/>
              <w:end w:w="120" w:type="dxa"/>
            </w:tcMar>
            <w:vAlign w:val="center"/>
          </w:tcPr>
          <w:p>
            <w:r>
              <w:t>Reviews</w:t>
            </w:r>
          </w:p>
        </w:tc>
        <w:tc>
          <w:tcPr>
            <w:tcW w:type="dxa" w:w="2015"/>
            <w:tcMar>
              <w:top w:w="90" w:type="dxa"/>
              <w:start w:w="120" w:type="dxa"/>
              <w:bottom w:w="90" w:type="dxa"/>
              <w:end w:w="120" w:type="dxa"/>
            </w:tcMar>
            <w:vAlign w:val="center"/>
          </w:tcPr>
          <w:p>
            <w:r>
              <w:t>27</w:t>
            </w:r>
          </w:p>
        </w:tc>
        <w:tc>
          <w:tcPr>
            <w:tcW w:type="dxa" w:w="4896"/>
            <w:tcMar>
              <w:top w:w="90" w:type="dxa"/>
              <w:start w:w="120" w:type="dxa"/>
              <w:bottom w:w="90" w:type="dxa"/>
              <w:end w:w="120" w:type="dxa"/>
            </w:tcMar>
            <w:vAlign w:val="center"/>
          </w:tcPr>
          <w:p>
            <w:r>
              <w:t>Real review texts and ratings after filtering</w:t>
            </w:r>
          </w:p>
        </w:tc>
      </w:tr>
      <w:tr>
        <w:trPr>
          <w:cantSplit/>
        </w:trPr>
        <w:tc>
          <w:tcPr>
            <w:tcW w:type="dxa" w:w="2448"/>
            <w:tcMar>
              <w:top w:w="90" w:type="dxa"/>
              <w:start w:w="120" w:type="dxa"/>
              <w:bottom w:w="90" w:type="dxa"/>
              <w:end w:w="120" w:type="dxa"/>
            </w:tcMar>
            <w:vAlign w:val="center"/>
          </w:tcPr>
          <w:p>
            <w:r>
              <w:t>Users</w:t>
            </w:r>
          </w:p>
        </w:tc>
        <w:tc>
          <w:tcPr>
            <w:tcW w:type="dxa" w:w="2015"/>
            <w:tcMar>
              <w:top w:w="90" w:type="dxa"/>
              <w:start w:w="120" w:type="dxa"/>
              <w:bottom w:w="90" w:type="dxa"/>
              <w:end w:w="120" w:type="dxa"/>
            </w:tcMar>
            <w:vAlign w:val="center"/>
          </w:tcPr>
          <w:p>
            <w:r>
              <w:t>8</w:t>
            </w:r>
          </w:p>
        </w:tc>
        <w:tc>
          <w:tcPr>
            <w:tcW w:type="dxa" w:w="4896"/>
            <w:tcMar>
              <w:top w:w="90" w:type="dxa"/>
              <w:start w:w="120" w:type="dxa"/>
              <w:bottom w:w="90" w:type="dxa"/>
              <w:end w:w="120" w:type="dxa"/>
            </w:tcMar>
            <w:vAlign w:val="center"/>
          </w:tcPr>
          <w:p>
            <w:r>
              <w:t>Users with enough chronological behavior for holdout testing</w:t>
            </w:r>
          </w:p>
        </w:tc>
      </w:tr>
    </w:tbl>
    <w:p>
      <w:pPr>
        <w:pStyle w:val="Heading1"/>
      </w:pPr>
      <w:r>
        <w:t>4. Experiments and Ablations</w:t>
      </w:r>
    </w:p>
    <w:tbl>
      <w:tblPr>
        <w:tblStyle w:val="TableGrid"/>
        <w:tblW w:type="auto" w:w="0"/>
        <w:jc w:val="left"/>
        <w:tblLook w:firstColumn="1" w:firstRow="1" w:lastColumn="0" w:lastRow="0" w:noHBand="0" w:noVBand="1" w:val="04A0"/>
      </w:tblPr>
      <w:tblGrid>
        <w:gridCol w:w="3120"/>
        <w:gridCol w:w="3120"/>
        <w:gridCol w:w="3120"/>
      </w:tblGrid>
      <w:tr>
        <w:trPr>
          <w:tblHeader w:val="true"/>
          <w:cantSplit/>
        </w:trPr>
        <w:tc>
          <w:tcPr>
            <w:tcW w:type="dxa" w:w="2448"/>
            <w:shd w:fill="EDE3D3"/>
            <w:tcMar>
              <w:top w:w="90" w:type="dxa"/>
              <w:start w:w="120" w:type="dxa"/>
              <w:bottom w:w="90" w:type="dxa"/>
              <w:end w:w="120" w:type="dxa"/>
            </w:tcMar>
            <w:vAlign w:val="center"/>
          </w:tcPr>
          <w:p>
            <w:r>
              <w:rPr>
                <w:b/>
              </w:rPr>
              <w:t>Experiment</w:t>
            </w:r>
          </w:p>
        </w:tc>
        <w:tc>
          <w:tcPr>
            <w:tcW w:type="dxa" w:w="3456"/>
            <w:shd w:fill="EDE3D3"/>
            <w:tcMar>
              <w:top w:w="90" w:type="dxa"/>
              <w:start w:w="120" w:type="dxa"/>
              <w:bottom w:w="90" w:type="dxa"/>
              <w:end w:w="120" w:type="dxa"/>
            </w:tcMar>
            <w:vAlign w:val="center"/>
          </w:tcPr>
          <w:p>
            <w:r>
              <w:rPr>
                <w:b/>
              </w:rPr>
              <w:t>Purpose</w:t>
            </w:r>
          </w:p>
        </w:tc>
        <w:tc>
          <w:tcPr>
            <w:tcW w:type="dxa" w:w="3456"/>
            <w:shd w:fill="EDE3D3"/>
            <w:tcMar>
              <w:top w:w="90" w:type="dxa"/>
              <w:start w:w="120" w:type="dxa"/>
              <w:bottom w:w="90" w:type="dxa"/>
              <w:end w:w="120" w:type="dxa"/>
            </w:tcMar>
            <w:vAlign w:val="center"/>
          </w:tcPr>
          <w:p>
            <w:r>
              <w:rPr>
                <w:b/>
              </w:rPr>
              <w:t>Expected Signal</w:t>
            </w:r>
          </w:p>
        </w:tc>
      </w:tr>
      <w:tr>
        <w:trPr>
          <w:cantSplit/>
        </w:trPr>
        <w:tc>
          <w:tcPr>
            <w:tcW w:type="dxa" w:w="2448"/>
            <w:tcMar>
              <w:top w:w="90" w:type="dxa"/>
              <w:start w:w="120" w:type="dxa"/>
              <w:bottom w:w="90" w:type="dxa"/>
              <w:end w:w="120" w:type="dxa"/>
            </w:tcMar>
            <w:vAlign w:val="center"/>
          </w:tcPr>
          <w:p>
            <w:r>
              <w:t>Item-average baseline</w:t>
            </w:r>
          </w:p>
        </w:tc>
        <w:tc>
          <w:tcPr>
            <w:tcW w:type="dxa" w:w="3456"/>
            <w:tcMar>
              <w:top w:w="90" w:type="dxa"/>
              <w:start w:w="120" w:type="dxa"/>
              <w:bottom w:w="90" w:type="dxa"/>
              <w:end w:w="120" w:type="dxa"/>
            </w:tcMar>
            <w:vAlign w:val="center"/>
          </w:tcPr>
          <w:p>
            <w:r>
              <w:t>Measure whether personalization improves rating prediction</w:t>
            </w:r>
          </w:p>
        </w:tc>
        <w:tc>
          <w:tcPr>
            <w:tcW w:type="dxa" w:w="3456"/>
            <w:tcMar>
              <w:top w:w="90" w:type="dxa"/>
              <w:start w:w="120" w:type="dxa"/>
              <w:bottom w:w="90" w:type="dxa"/>
              <w:end w:w="120" w:type="dxa"/>
            </w:tcMar>
            <w:vAlign w:val="center"/>
          </w:tcPr>
          <w:p>
            <w:r>
              <w:t>Lower RMSE from persona and category features</w:t>
            </w:r>
          </w:p>
        </w:tc>
      </w:tr>
      <w:tr>
        <w:trPr>
          <w:cantSplit/>
        </w:trPr>
        <w:tc>
          <w:tcPr>
            <w:tcW w:type="dxa" w:w="2448"/>
            <w:tcMar>
              <w:top w:w="90" w:type="dxa"/>
              <w:start w:w="120" w:type="dxa"/>
              <w:bottom w:w="90" w:type="dxa"/>
              <w:end w:w="120" w:type="dxa"/>
            </w:tcMar>
            <w:vAlign w:val="center"/>
          </w:tcPr>
          <w:p>
            <w:r>
              <w:t>Popularity-only ranking</w:t>
            </w:r>
          </w:p>
        </w:tc>
        <w:tc>
          <w:tcPr>
            <w:tcW w:type="dxa" w:w="3456"/>
            <w:tcMar>
              <w:top w:w="90" w:type="dxa"/>
              <w:start w:w="120" w:type="dxa"/>
              <w:bottom w:w="90" w:type="dxa"/>
              <w:end w:w="120" w:type="dxa"/>
            </w:tcMar>
            <w:vAlign w:val="center"/>
          </w:tcPr>
          <w:p>
            <w:r>
              <w:t>Benchmark non-personalized recommendation quality</w:t>
            </w:r>
          </w:p>
        </w:tc>
        <w:tc>
          <w:tcPr>
            <w:tcW w:type="dxa" w:w="3456"/>
            <w:tcMar>
              <w:top w:w="90" w:type="dxa"/>
              <w:start w:w="120" w:type="dxa"/>
              <w:bottom w:w="90" w:type="dxa"/>
              <w:end w:w="120" w:type="dxa"/>
            </w:tcMar>
            <w:vAlign w:val="center"/>
          </w:tcPr>
          <w:p>
            <w:r>
              <w:t>Higher NDCG@10 when persona/context features are enabled</w:t>
            </w:r>
          </w:p>
        </w:tc>
      </w:tr>
      <w:tr>
        <w:trPr>
          <w:cantSplit/>
        </w:trPr>
        <w:tc>
          <w:tcPr>
            <w:tcW w:type="dxa" w:w="2448"/>
            <w:tcMar>
              <w:top w:w="90" w:type="dxa"/>
              <w:start w:w="120" w:type="dxa"/>
              <w:bottom w:w="90" w:type="dxa"/>
              <w:end w:w="120" w:type="dxa"/>
            </w:tcMar>
            <w:vAlign w:val="center"/>
          </w:tcPr>
          <w:p>
            <w:r>
              <w:t>No retrieval evidence</w:t>
            </w:r>
          </w:p>
        </w:tc>
        <w:tc>
          <w:tcPr>
            <w:tcW w:type="dxa" w:w="3456"/>
            <w:tcMar>
              <w:top w:w="90" w:type="dxa"/>
              <w:start w:w="120" w:type="dxa"/>
              <w:bottom w:w="90" w:type="dxa"/>
              <w:end w:w="120" w:type="dxa"/>
            </w:tcMar>
            <w:vAlign w:val="center"/>
          </w:tcPr>
          <w:p>
            <w:r>
              <w:t>Test whether grounding improves review fidelity</w:t>
            </w:r>
          </w:p>
        </w:tc>
        <w:tc>
          <w:tcPr>
            <w:tcW w:type="dxa" w:w="3456"/>
            <w:tcMar>
              <w:top w:w="90" w:type="dxa"/>
              <w:start w:w="120" w:type="dxa"/>
              <w:bottom w:w="90" w:type="dxa"/>
              <w:end w:w="120" w:type="dxa"/>
            </w:tcMar>
            <w:vAlign w:val="center"/>
          </w:tcPr>
          <w:p>
            <w:r>
              <w:t>Lower qualitative fidelity and weaker review specificity</w:t>
            </w:r>
          </w:p>
        </w:tc>
      </w:tr>
      <w:tr>
        <w:trPr>
          <w:cantSplit/>
        </w:trPr>
        <w:tc>
          <w:tcPr>
            <w:tcW w:type="dxa" w:w="2448"/>
            <w:tcMar>
              <w:top w:w="90" w:type="dxa"/>
              <w:start w:w="120" w:type="dxa"/>
              <w:bottom w:w="90" w:type="dxa"/>
              <w:end w:w="120" w:type="dxa"/>
            </w:tcMar>
            <w:vAlign w:val="center"/>
          </w:tcPr>
          <w:p>
            <w:r>
              <w:t>No Groq generation</w:t>
            </w:r>
          </w:p>
        </w:tc>
        <w:tc>
          <w:tcPr>
            <w:tcW w:type="dxa" w:w="3456"/>
            <w:tcMar>
              <w:top w:w="90" w:type="dxa"/>
              <w:start w:w="120" w:type="dxa"/>
              <w:bottom w:w="90" w:type="dxa"/>
              <w:end w:w="120" w:type="dxa"/>
            </w:tcMar>
            <w:vAlign w:val="center"/>
          </w:tcPr>
          <w:p>
            <w:r>
              <w:t>Separate language quality from behavioral scoring</w:t>
            </w:r>
          </w:p>
        </w:tc>
        <w:tc>
          <w:tcPr>
            <w:tcW w:type="dxa" w:w="3456"/>
            <w:tcMar>
              <w:top w:w="90" w:type="dxa"/>
              <w:start w:w="120" w:type="dxa"/>
              <w:bottom w:w="90" w:type="dxa"/>
              <w:end w:w="120" w:type="dxa"/>
            </w:tcMar>
            <w:vAlign w:val="center"/>
          </w:tcPr>
          <w:p>
            <w:r>
              <w:t>Metrics remain runnable; human readability drops</w:t>
            </w:r>
          </w:p>
        </w:tc>
      </w:tr>
      <w:tr>
        <w:trPr>
          <w:cantSplit/>
        </w:trPr>
        <w:tc>
          <w:tcPr>
            <w:tcW w:type="dxa" w:w="2448"/>
            <w:tcMar>
              <w:top w:w="90" w:type="dxa"/>
              <w:start w:w="120" w:type="dxa"/>
              <w:bottom w:w="90" w:type="dxa"/>
              <w:end w:w="120" w:type="dxa"/>
            </w:tcMar>
            <w:vAlign w:val="center"/>
          </w:tcPr>
          <w:p>
            <w:r>
              <w:t>Cold-start personas</w:t>
            </w:r>
          </w:p>
        </w:tc>
        <w:tc>
          <w:tcPr>
            <w:tcW w:type="dxa" w:w="3456"/>
            <w:tcMar>
              <w:top w:w="90" w:type="dxa"/>
              <w:start w:w="120" w:type="dxa"/>
              <w:bottom w:w="90" w:type="dxa"/>
              <w:end w:w="120" w:type="dxa"/>
            </w:tcMar>
            <w:vAlign w:val="center"/>
          </w:tcPr>
          <w:p>
            <w:r>
              <w:t>Validate behavior with little/no history</w:t>
            </w:r>
          </w:p>
        </w:tc>
        <w:tc>
          <w:tcPr>
            <w:tcW w:type="dxa" w:w="3456"/>
            <w:tcMar>
              <w:top w:w="90" w:type="dxa"/>
              <w:start w:w="120" w:type="dxa"/>
              <w:bottom w:w="90" w:type="dxa"/>
              <w:end w:w="120" w:type="dxa"/>
            </w:tcMar>
            <w:vAlign w:val="center"/>
          </w:tcPr>
          <w:p>
            <w:r>
              <w:t>Reasonable rankings from metadata and stated preferences</w:t>
            </w:r>
          </w:p>
        </w:tc>
      </w:tr>
    </w:tbl>
    <w:p>
      <w:pPr>
        <w:pStyle w:val="Heading1"/>
      </w:pPr>
      <w:r>
        <w:t>5. Current Results</w:t>
      </w:r>
    </w:p>
    <w:p>
      <w:r>
        <w:t>The repository includes both a hand-checkable fixture split and a real Amazon Reviews 2023 smoke subset. The Amazon smoke subset is still small, but it proves that the same code path can stream official data, normalize metadata, create chronological user splits, and compare personalized models against baselines.</w:t>
      </w:r>
    </w:p>
    <w:tbl>
      <w:tblPr>
        <w:tblStyle w:val="TableGrid"/>
        <w:tblW w:type="auto" w:w="0"/>
        <w:jc w:val="left"/>
        <w:tblLook w:firstColumn="1" w:firstRow="1" w:lastColumn="0" w:lastRow="0" w:noHBand="0" w:noVBand="1" w:val="04A0"/>
      </w:tblPr>
      <w:tblGrid>
        <w:gridCol w:w="2340"/>
        <w:gridCol w:w="2340"/>
        <w:gridCol w:w="2340"/>
        <w:gridCol w:w="2340"/>
      </w:tblGrid>
      <w:tr>
        <w:trPr>
          <w:tblHeader w:val="true"/>
          <w:cantSplit/>
        </w:trPr>
        <w:tc>
          <w:tcPr>
            <w:tcW w:type="dxa" w:w="2592"/>
            <w:shd w:fill="EDE3D3"/>
            <w:tcMar>
              <w:top w:w="90" w:type="dxa"/>
              <w:start w:w="120" w:type="dxa"/>
              <w:bottom w:w="90" w:type="dxa"/>
              <w:end w:w="120" w:type="dxa"/>
            </w:tcMar>
            <w:vAlign w:val="center"/>
          </w:tcPr>
          <w:p>
            <w:r>
              <w:rPr>
                <w:b/>
              </w:rPr>
              <w:t>Metric</w:t>
            </w:r>
          </w:p>
        </w:tc>
        <w:tc>
          <w:tcPr>
            <w:tcW w:type="dxa" w:w="1872"/>
            <w:shd w:fill="EDE3D3"/>
            <w:tcMar>
              <w:top w:w="90" w:type="dxa"/>
              <w:start w:w="120" w:type="dxa"/>
              <w:bottom w:w="90" w:type="dxa"/>
              <w:end w:w="120" w:type="dxa"/>
            </w:tcMar>
            <w:vAlign w:val="center"/>
          </w:tcPr>
          <w:p>
            <w:r>
              <w:rPr>
                <w:b/>
              </w:rPr>
              <w:t>Personalized</w:t>
            </w:r>
          </w:p>
        </w:tc>
        <w:tc>
          <w:tcPr>
            <w:tcW w:type="dxa" w:w="1872"/>
            <w:shd w:fill="EDE3D3"/>
            <w:tcMar>
              <w:top w:w="90" w:type="dxa"/>
              <w:start w:w="120" w:type="dxa"/>
              <w:bottom w:w="90" w:type="dxa"/>
              <w:end w:w="120" w:type="dxa"/>
            </w:tcMar>
            <w:vAlign w:val="center"/>
          </w:tcPr>
          <w:p>
            <w:r>
              <w:rPr>
                <w:b/>
              </w:rPr>
              <w:t>Baseline</w:t>
            </w:r>
          </w:p>
        </w:tc>
        <w:tc>
          <w:tcPr>
            <w:tcW w:type="dxa" w:w="3024"/>
            <w:shd w:fill="EDE3D3"/>
            <w:tcMar>
              <w:top w:w="90" w:type="dxa"/>
              <w:start w:w="120" w:type="dxa"/>
              <w:bottom w:w="90" w:type="dxa"/>
              <w:end w:w="120" w:type="dxa"/>
            </w:tcMar>
            <w:vAlign w:val="center"/>
          </w:tcPr>
          <w:p>
            <w:r>
              <w:rPr>
                <w:b/>
              </w:rPr>
              <w:t>Lift</w:t>
            </w:r>
          </w:p>
        </w:tc>
      </w:tr>
      <w:tr>
        <w:trPr>
          <w:cantSplit/>
        </w:trPr>
        <w:tc>
          <w:tcPr>
            <w:tcW w:type="dxa" w:w="2592"/>
            <w:tcMar>
              <w:top w:w="90" w:type="dxa"/>
              <w:start w:w="120" w:type="dxa"/>
              <w:bottom w:w="90" w:type="dxa"/>
              <w:end w:w="120" w:type="dxa"/>
            </w:tcMar>
            <w:vAlign w:val="center"/>
          </w:tcPr>
          <w:p>
            <w:r>
              <w:t>Task A RMSE</w:t>
            </w:r>
          </w:p>
        </w:tc>
        <w:tc>
          <w:tcPr>
            <w:tcW w:type="dxa" w:w="1872"/>
            <w:tcMar>
              <w:top w:w="90" w:type="dxa"/>
              <w:start w:w="120" w:type="dxa"/>
              <w:bottom w:w="90" w:type="dxa"/>
              <w:end w:w="120" w:type="dxa"/>
            </w:tcMar>
            <w:vAlign w:val="center"/>
          </w:tcPr>
          <w:p>
            <w:r>
              <w:t>0.8734</w:t>
            </w:r>
          </w:p>
        </w:tc>
        <w:tc>
          <w:tcPr>
            <w:tcW w:type="dxa" w:w="1872"/>
            <w:tcMar>
              <w:top w:w="90" w:type="dxa"/>
              <w:start w:w="120" w:type="dxa"/>
              <w:bottom w:w="90" w:type="dxa"/>
              <w:end w:w="120" w:type="dxa"/>
            </w:tcMar>
            <w:vAlign w:val="center"/>
          </w:tcPr>
          <w:p>
            <w:r>
              <w:t>1.3935</w:t>
            </w:r>
          </w:p>
        </w:tc>
        <w:tc>
          <w:tcPr>
            <w:tcW w:type="dxa" w:w="3024"/>
            <w:tcMar>
              <w:top w:w="90" w:type="dxa"/>
              <w:start w:w="120" w:type="dxa"/>
              <w:bottom w:w="90" w:type="dxa"/>
              <w:end w:w="120" w:type="dxa"/>
            </w:tcMar>
            <w:vAlign w:val="center"/>
          </w:tcPr>
          <w:p>
            <w:r>
              <w:t>0.5201</w:t>
            </w:r>
          </w:p>
        </w:tc>
      </w:tr>
      <w:tr>
        <w:trPr>
          <w:cantSplit/>
        </w:trPr>
        <w:tc>
          <w:tcPr>
            <w:tcW w:type="dxa" w:w="2592"/>
            <w:tcMar>
              <w:top w:w="90" w:type="dxa"/>
              <w:start w:w="120" w:type="dxa"/>
              <w:bottom w:w="90" w:type="dxa"/>
              <w:end w:w="120" w:type="dxa"/>
            </w:tcMar>
            <w:vAlign w:val="center"/>
          </w:tcPr>
          <w:p>
            <w:r>
              <w:t>Task B NDCG@10</w:t>
            </w:r>
          </w:p>
        </w:tc>
        <w:tc>
          <w:tcPr>
            <w:tcW w:type="dxa" w:w="1872"/>
            <w:tcMar>
              <w:top w:w="90" w:type="dxa"/>
              <w:start w:w="120" w:type="dxa"/>
              <w:bottom w:w="90" w:type="dxa"/>
              <w:end w:w="120" w:type="dxa"/>
            </w:tcMar>
            <w:vAlign w:val="center"/>
          </w:tcPr>
          <w:p>
            <w:r>
              <w:t>0.1879</w:t>
            </w:r>
          </w:p>
        </w:tc>
        <w:tc>
          <w:tcPr>
            <w:tcW w:type="dxa" w:w="1872"/>
            <w:tcMar>
              <w:top w:w="90" w:type="dxa"/>
              <w:start w:w="120" w:type="dxa"/>
              <w:bottom w:w="90" w:type="dxa"/>
              <w:end w:w="120" w:type="dxa"/>
            </w:tcMar>
            <w:vAlign w:val="center"/>
          </w:tcPr>
          <w:p>
            <w:r>
              <w:t>0.0413</w:t>
            </w:r>
          </w:p>
        </w:tc>
        <w:tc>
          <w:tcPr>
            <w:tcW w:type="dxa" w:w="3024"/>
            <w:tcMar>
              <w:top w:w="90" w:type="dxa"/>
              <w:start w:w="120" w:type="dxa"/>
              <w:bottom w:w="90" w:type="dxa"/>
              <w:end w:w="120" w:type="dxa"/>
            </w:tcMar>
            <w:vAlign w:val="center"/>
          </w:tcPr>
          <w:p>
            <w:r>
              <w:t>0.1466</w:t>
            </w:r>
          </w:p>
        </w:tc>
      </w:tr>
      <w:tr>
        <w:trPr>
          <w:cantSplit/>
        </w:trPr>
        <w:tc>
          <w:tcPr>
            <w:tcW w:type="dxa" w:w="2592"/>
            <w:tcMar>
              <w:top w:w="90" w:type="dxa"/>
              <w:start w:w="120" w:type="dxa"/>
              <w:bottom w:w="90" w:type="dxa"/>
              <w:end w:w="120" w:type="dxa"/>
            </w:tcMar>
            <w:vAlign w:val="center"/>
          </w:tcPr>
          <w:p>
            <w:r>
              <w:t>Task B Hit Rate@10</w:t>
            </w:r>
          </w:p>
        </w:tc>
        <w:tc>
          <w:tcPr>
            <w:tcW w:type="dxa" w:w="1872"/>
            <w:tcMar>
              <w:top w:w="90" w:type="dxa"/>
              <w:start w:w="120" w:type="dxa"/>
              <w:bottom w:w="90" w:type="dxa"/>
              <w:end w:w="120" w:type="dxa"/>
            </w:tcMar>
            <w:vAlign w:val="center"/>
          </w:tcPr>
          <w:p>
            <w:r>
              <w:t>0.2857</w:t>
            </w:r>
          </w:p>
        </w:tc>
        <w:tc>
          <w:tcPr>
            <w:tcW w:type="dxa" w:w="1872"/>
            <w:tcMar>
              <w:top w:w="90" w:type="dxa"/>
              <w:start w:w="120" w:type="dxa"/>
              <w:bottom w:w="90" w:type="dxa"/>
              <w:end w:w="120" w:type="dxa"/>
            </w:tcMar>
            <w:vAlign w:val="center"/>
          </w:tcPr>
          <w:p>
            <w:r>
              <w:t>0.1429</w:t>
            </w:r>
          </w:p>
        </w:tc>
        <w:tc>
          <w:tcPr>
            <w:tcW w:type="dxa" w:w="3024"/>
            <w:tcMar>
              <w:top w:w="90" w:type="dxa"/>
              <w:start w:w="120" w:type="dxa"/>
              <w:bottom w:w="90" w:type="dxa"/>
              <w:end w:w="120" w:type="dxa"/>
            </w:tcMar>
            <w:vAlign w:val="center"/>
          </w:tcPr>
          <w:p>
            <w:r>
              <w:t>Personalized ranker doubles recovery in the smoke subset</w:t>
            </w:r>
          </w:p>
        </w:tc>
      </w:tr>
    </w:tbl>
    <w:p>
      <w:r>
        <w:t>The most important signal is not the absolute value of the smoke score; it is the direction of the ablation. Personalized rating and ranking beat non-personalized baselines on the same held-out interactions.</w:t>
      </w:r>
    </w:p>
    <w:p>
      <w:pPr>
        <w:pStyle w:val="Heading1"/>
      </w:pPr>
      <w:r>
        <w:t>6. Nigerian Contextualization</w:t>
      </w:r>
    </w:p>
    <w:p>
      <w:r>
        <w:t>Nigerian context is used only where it changes value, convenience, budget, family use, weather, or media taste.</w:t>
      </w:r>
    </w:p>
    <w:tbl>
      <w:tblPr>
        <w:tblStyle w:val="TableGrid"/>
        <w:tblW w:type="auto" w:w="0"/>
        <w:jc w:val="left"/>
        <w:tblLook w:firstColumn="1" w:firstRow="1" w:lastColumn="0" w:lastRow="0" w:noHBand="0" w:noVBand="1" w:val="04A0"/>
      </w:tblPr>
      <w:tblGrid>
        <w:gridCol w:w="3120"/>
        <w:gridCol w:w="3120"/>
        <w:gridCol w:w="3120"/>
      </w:tblGrid>
      <w:tr>
        <w:trPr>
          <w:tblHeader w:val="true"/>
          <w:cantSplit/>
        </w:trPr>
        <w:tc>
          <w:tcPr>
            <w:tcW w:type="dxa" w:w="2592"/>
            <w:shd w:fill="EDE3D3"/>
            <w:tcMar>
              <w:top w:w="90" w:type="dxa"/>
              <w:start w:w="120" w:type="dxa"/>
              <w:bottom w:w="90" w:type="dxa"/>
              <w:end w:w="120" w:type="dxa"/>
            </w:tcMar>
            <w:vAlign w:val="center"/>
          </w:tcPr>
          <w:p>
            <w:r>
              <w:rPr>
                <w:b/>
              </w:rPr>
              <w:t>Persona</w:t>
            </w:r>
          </w:p>
        </w:tc>
        <w:tc>
          <w:tcPr>
            <w:tcW w:type="dxa" w:w="3311"/>
            <w:shd w:fill="EDE3D3"/>
            <w:tcMar>
              <w:top w:w="90" w:type="dxa"/>
              <w:start w:w="120" w:type="dxa"/>
              <w:bottom w:w="90" w:type="dxa"/>
              <w:end w:w="120" w:type="dxa"/>
            </w:tcMar>
            <w:vAlign w:val="center"/>
          </w:tcPr>
          <w:p>
            <w:r>
              <w:rPr>
                <w:b/>
              </w:rPr>
              <w:t>Context Signal</w:t>
            </w:r>
          </w:p>
        </w:tc>
        <w:tc>
          <w:tcPr>
            <w:tcW w:type="dxa" w:w="3456"/>
            <w:shd w:fill="EDE3D3"/>
            <w:tcMar>
              <w:top w:w="90" w:type="dxa"/>
              <w:start w:w="120" w:type="dxa"/>
              <w:bottom w:w="90" w:type="dxa"/>
              <w:end w:w="120" w:type="dxa"/>
            </w:tcMar>
            <w:vAlign w:val="center"/>
          </w:tcPr>
          <w:p>
            <w:r>
              <w:rPr>
                <w:b/>
              </w:rPr>
              <w:t>Behavioral Effect</w:t>
            </w:r>
          </w:p>
        </w:tc>
      </w:tr>
      <w:tr>
        <w:trPr>
          <w:cantSplit/>
        </w:trPr>
        <w:tc>
          <w:tcPr>
            <w:tcW w:type="dxa" w:w="2592"/>
            <w:tcMar>
              <w:top w:w="90" w:type="dxa"/>
              <w:start w:w="120" w:type="dxa"/>
              <w:bottom w:w="90" w:type="dxa"/>
              <w:end w:w="120" w:type="dxa"/>
            </w:tcMar>
            <w:vAlign w:val="center"/>
          </w:tcPr>
          <w:p>
            <w:r>
              <w:t>Lagos student</w:t>
            </w:r>
          </w:p>
        </w:tc>
        <w:tc>
          <w:tcPr>
            <w:tcW w:type="dxa" w:w="3311"/>
            <w:tcMar>
              <w:top w:w="90" w:type="dxa"/>
              <w:start w:w="120" w:type="dxa"/>
              <w:bottom w:w="90" w:type="dxa"/>
              <w:end w:w="120" w:type="dxa"/>
            </w:tcMar>
            <w:vAlign w:val="center"/>
          </w:tcPr>
          <w:p>
            <w:r>
              <w:t>Low budget, classes, transport cost</w:t>
            </w:r>
          </w:p>
        </w:tc>
        <w:tc>
          <w:tcPr>
            <w:tcW w:type="dxa" w:w="3456"/>
            <w:tcMar>
              <w:top w:w="90" w:type="dxa"/>
              <w:start w:w="120" w:type="dxa"/>
              <w:bottom w:w="90" w:type="dxa"/>
              <w:end w:w="120" w:type="dxa"/>
            </w:tcMar>
            <w:vAlign w:val="center"/>
          </w:tcPr>
          <w:p>
            <w:r>
              <w:t>Quick meals, value, local comedy, and multiplayer games</w:t>
            </w:r>
          </w:p>
        </w:tc>
      </w:tr>
      <w:tr>
        <w:trPr>
          <w:cantSplit/>
        </w:trPr>
        <w:tc>
          <w:tcPr>
            <w:tcW w:type="dxa" w:w="2592"/>
            <w:tcMar>
              <w:top w:w="90" w:type="dxa"/>
              <w:start w:w="120" w:type="dxa"/>
              <w:bottom w:w="90" w:type="dxa"/>
              <w:end w:w="120" w:type="dxa"/>
            </w:tcMar>
            <w:vAlign w:val="center"/>
          </w:tcPr>
          <w:p>
            <w:r>
              <w:t>Abuja professional</w:t>
            </w:r>
          </w:p>
        </w:tc>
        <w:tc>
          <w:tcPr>
            <w:tcW w:type="dxa" w:w="3311"/>
            <w:tcMar>
              <w:top w:w="90" w:type="dxa"/>
              <w:start w:w="120" w:type="dxa"/>
              <w:bottom w:w="90" w:type="dxa"/>
              <w:end w:w="120" w:type="dxa"/>
            </w:tcMar>
            <w:vAlign w:val="center"/>
          </w:tcPr>
          <w:p>
            <w:r>
              <w:t>Work routine, heat, polished daily use</w:t>
            </w:r>
          </w:p>
        </w:tc>
        <w:tc>
          <w:tcPr>
            <w:tcW w:type="dxa" w:w="3456"/>
            <w:tcMar>
              <w:top w:w="90" w:type="dxa"/>
              <w:start w:w="120" w:type="dxa"/>
              <w:bottom w:w="90" w:type="dxa"/>
              <w:end w:w="120" w:type="dxa"/>
            </w:tcMar>
            <w:vAlign w:val="center"/>
          </w:tcPr>
          <w:p>
            <w:r>
              <w:t>Dependable coffee, political drama, and lightweight skincare</w:t>
            </w:r>
          </w:p>
        </w:tc>
      </w:tr>
    </w:tbl>
    <w:p>
      <w:r>
        <w:t>A third demo persona, a Port Harcourt family shopper, covers home use, visitors, children, family-safe media, easy guest drinks, and gentle skincare.</w:t>
      </w:r>
    </w:p>
    <w:p>
      <w:pPr>
        <w:pStyle w:val="Heading1"/>
      </w:pPr>
      <w:r>
        <w:t>7. Product Demo Screens</w:t>
      </w:r>
    </w:p>
    <w:p>
      <w:r>
        <w:t>The submitted application is designed for judge inspection. The landing page explains the agent promise, Task A exposes the simulated review workflow, and Task B exposes the ranked recommendation workflow.</w:t>
      </w:r>
    </w:p>
    <w:p>
      <w:pPr>
        <w:jc w:val="center"/>
      </w:pPr>
      <w:r>
        <w:drawing>
          <wp:inline xmlns:a="http://schemas.openxmlformats.org/drawingml/2006/main" xmlns:pic="http://schemas.openxmlformats.org/drawingml/2006/picture">
            <wp:extent cx="5303520" cy="3683000"/>
            <wp:docPr id="2" name="Picture 2"/>
            <wp:cNvGraphicFramePr>
              <a:graphicFrameLocks noChangeAspect="1"/>
            </wp:cNvGraphicFramePr>
            <a:graphic>
              <a:graphicData uri="http://schemas.openxmlformats.org/drawingml/2006/picture">
                <pic:pic>
                  <pic:nvPicPr>
                    <pic:cNvPr id="0" name="landing.png"/>
                    <pic:cNvPicPr/>
                  </pic:nvPicPr>
                  <pic:blipFill>
                    <a:blip r:embed="rId12"/>
                    <a:stretch>
                      <a:fillRect/>
                    </a:stretch>
                  </pic:blipFill>
                  <pic:spPr>
                    <a:xfrm>
                      <a:off x="0" y="0"/>
                      <a:ext cx="5303520" cy="3683000"/>
                    </a:xfrm>
                    <a:prstGeom prst="rect"/>
                  </pic:spPr>
                </pic:pic>
              </a:graphicData>
            </a:graphic>
          </wp:inline>
        </w:drawing>
      </w:r>
    </w:p>
    <w:p>
      <w:pPr>
        <w:jc w:val="center"/>
      </w:pPr>
      <w:r>
        <w:rPr>
          <w:color w:val="5F5B53"/>
          <w:sz w:val="18"/>
        </w:rPr>
        <w:t>Figure 2. Landing page for the judge-facing agent studio.</w:t>
      </w:r>
    </w:p>
    <w:tbl>
      <w:tblPr>
        <w:tblW w:type="auto" w:w="0"/>
        <w:jc w:val="left"/>
        <w:tblLook w:firstColumn="1" w:firstRow="1" w:lastColumn="0" w:lastRow="0" w:noHBand="0" w:noVBand="1" w:val="04A0"/>
      </w:tblPr>
      <w:tblGrid>
        <w:gridCol w:w="4680"/>
        <w:gridCol w:w="4680"/>
      </w:tblGrid>
      <w:tr>
        <w:tc>
          <w:tcPr>
            <w:tcW w:type="dxa" w:w="4680"/>
            <w:tcMar>
              <w:top w:w="30" w:type="dxa"/>
              <w:start w:w="30" w:type="dxa"/>
              <w:bottom w:w="30" w:type="dxa"/>
              <w:end w:w="30" w:type="dxa"/>
            </w:tcMar>
          </w:tcPr>
          <w:p>
            <w:pPr>
              <w:jc w:val="center"/>
            </w:pPr>
            <w:r>
              <w:drawing>
                <wp:inline xmlns:a="http://schemas.openxmlformats.org/drawingml/2006/main" xmlns:pic="http://schemas.openxmlformats.org/drawingml/2006/picture">
                  <wp:extent cx="2788920" cy="1936750"/>
                  <wp:docPr id="3" name="Picture 3"/>
                  <wp:cNvGraphicFramePr>
                    <a:graphicFrameLocks noChangeAspect="1"/>
                  </wp:cNvGraphicFramePr>
                  <a:graphic>
                    <a:graphicData uri="http://schemas.openxmlformats.org/drawingml/2006/picture">
                      <pic:pic>
                        <pic:nvPicPr>
                          <pic:cNvPr id="0" name="task_a.png"/>
                          <pic:cNvPicPr/>
                        </pic:nvPicPr>
                        <pic:blipFill>
                          <a:blip r:embed="rId13"/>
                          <a:stretch>
                            <a:fillRect/>
                          </a:stretch>
                        </pic:blipFill>
                        <pic:spPr>
                          <a:xfrm>
                            <a:off x="0" y="0"/>
                            <a:ext cx="2788920" cy="1936750"/>
                          </a:xfrm>
                          <a:prstGeom prst="rect"/>
                        </pic:spPr>
                      </pic:pic>
                    </a:graphicData>
                  </a:graphic>
                </wp:inline>
              </w:drawing>
            </w:r>
          </w:p>
        </w:tc>
        <w:tc>
          <w:tcPr>
            <w:tcW w:type="dxa" w:w="4680"/>
            <w:tcMar>
              <w:top w:w="30" w:type="dxa"/>
              <w:start w:w="30" w:type="dxa"/>
              <w:bottom w:w="30" w:type="dxa"/>
              <w:end w:w="30" w:type="dxa"/>
            </w:tcMar>
          </w:tcPr>
          <w:p>
            <w:pPr>
              <w:jc w:val="center"/>
            </w:pPr>
            <w:r>
              <w:drawing>
                <wp:inline xmlns:a="http://schemas.openxmlformats.org/drawingml/2006/main" xmlns:pic="http://schemas.openxmlformats.org/drawingml/2006/picture">
                  <wp:extent cx="2788920" cy="1936750"/>
                  <wp:docPr id="4" name="Picture 4"/>
                  <wp:cNvGraphicFramePr>
                    <a:graphicFrameLocks noChangeAspect="1"/>
                  </wp:cNvGraphicFramePr>
                  <a:graphic>
                    <a:graphicData uri="http://schemas.openxmlformats.org/drawingml/2006/picture">
                      <pic:pic>
                        <pic:nvPicPr>
                          <pic:cNvPr id="0" name="task_b.png"/>
                          <pic:cNvPicPr/>
                        </pic:nvPicPr>
                        <pic:blipFill>
                          <a:blip r:embed="rId14"/>
                          <a:stretch>
                            <a:fillRect/>
                          </a:stretch>
                        </pic:blipFill>
                        <pic:spPr>
                          <a:xfrm>
                            <a:off x="0" y="0"/>
                            <a:ext cx="2788920" cy="1936750"/>
                          </a:xfrm>
                          <a:prstGeom prst="rect"/>
                        </pic:spPr>
                      </pic:pic>
                    </a:graphicData>
                  </a:graphic>
                </wp:inline>
              </w:drawing>
            </w:r>
          </w:p>
        </w:tc>
      </w:tr>
    </w:tbl>
    <w:p>
      <w:pPr>
        <w:jc w:val="center"/>
      </w:pPr>
      <w:r>
        <w:rPr>
          <w:color w:val="5F5B53"/>
          <w:sz w:val="18"/>
        </w:rPr>
        <w:t>Figure 3. Task A and Task B workspaces after generation.</w:t>
      </w:r>
    </w:p>
    <w:p>
      <w:pPr>
        <w:pStyle w:val="Heading1"/>
      </w:pPr>
      <w:r>
        <w:t>8. Reproducibility and Deployment</w:t>
      </w:r>
    </w:p>
    <w:p>
      <w:pPr>
        <w:pStyle w:val="ListNumber"/>
        <w:spacing w:after="100"/>
      </w:pPr>
      <w:r>
        <w:t>Run the FastAPI service locally or through Docker Compose; the same container serves the UI and REST API.</w:t>
      </w:r>
    </w:p>
    <w:p>
      <w:pPr>
        <w:pStyle w:val="ListNumber"/>
        <w:spacing w:after="100"/>
      </w:pPr>
      <w:r>
        <w:t>Set GROQ_API_KEY to enable hosted generation, or omit it to use deterministic fallback text.</w:t>
      </w:r>
    </w:p>
    <w:p>
      <w:pPr>
        <w:pStyle w:val="ListNumber"/>
        <w:spacing w:after="100"/>
      </w:pPr>
      <w:r>
        <w:t>Use /api/v1/generate-review, /api/v1/recommend, /api/v1/evaluation, scripts/evaluate.py, and scripts/build_dataset.py for scoring and larger Amazon subset runs.</w:t>
      </w:r>
    </w:p>
    <w:p>
      <w:pPr>
        <w:pStyle w:val="Heading1"/>
      </w:pPr>
      <w:r>
        <w:t>9. Limitations and Next Steps</w:t>
      </w:r>
    </w:p>
    <w:p>
      <w:r>
        <w:t>The current build is optimized for deadline reliability and judge reproducibility. The main limitation is that the repository includes a small fixture dataset rather than the full Amazon corpus. With more time, we would add embedding indexes, larger sampled evaluation, rating calibration, multi-turn conversational memory, and real Nigerian marketplace data.</w:t>
      </w:r>
    </w:p>
    <w:p>
      <w:pPr>
        <w:sectPr>
          <w:headerReference w:type="default" r:id="rId9"/>
          <w:footerReference w:type="default" r:id="rId10"/>
          <w:pgSz w:w="12240" w:h="15840"/>
          <w:pgMar w:top="1440" w:right="1440" w:bottom="1440" w:left="1440" w:header="720" w:footer="720" w:gutter="0"/>
          <w:cols w:space="720"/>
          <w:docGrid w:linePitch="360"/>
        </w:sectPr>
      </w:pPr>
    </w:p>
    <w:sectPr w:rsidR="00FC693F" w:rsidRPr="0006063C" w:rsidSect="0003461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5B53"/>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6" w:space="4" w:color="CFC1AD"/>
      </w:pBdr>
    </w:pPr>
    <w:r>
      <w:rPr>
        <w:color w:val="5F5B53"/>
        <w:sz w:val="17"/>
      </w:rPr>
      <w:t>DSN x BCT LLM Agent Challenge | Solution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4594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7F1D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459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7F1D2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5F5B5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