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Title"/>
        <w:jc w:val="center"/>
      </w:pPr>
      <w:r>
        <w:rPr>
          <w:color w:val="000000"/>
        </w:rPr>
        <w:t>Task B: Contextual Recommendation</w:t>
      </w:r>
    </w:p>
    <w:p>
      <w:pPr>
        <w:pStyle w:val="Subtitle"/>
        <w:jc w:val="center"/>
      </w:pPr>
      <w:r>
        <w:rPr>
          <w:color w:val="000000"/>
        </w:rPr>
        <w:t>Ranking cross-domain items with dynamic personas, cold-start logic, and Nigerian context</w:t>
      </w:r>
    </w:p>
    <w:p>
      <w:pPr>
        <w:jc w:val="center"/>
      </w:pPr>
      <w:r>
        <w:rPr>
          <w:color w:val="000000"/>
          <w:sz w:val="22"/>
        </w:rPr>
        <w:t>Team Ace</w:t>
      </w:r>
    </w:p>
    <w:p>
      <w:pPr>
        <w:jc w:val="center"/>
      </w:pPr>
      <w:r>
        <w:rPr>
          <w:color w:val="000000"/>
          <w:sz w:val="22"/>
        </w:rPr>
        <w:t>Teslim Sadiq | Yasir Oyebo | Abiodun Mark</w:t>
      </w:r>
    </w:p>
    <w:p>
      <w:pPr>
        <w:jc w:val="center"/>
      </w:pPr>
      <w:r>
        <w:rPr>
          <w:color w:val="000000"/>
          <w:sz w:val="22"/>
        </w:rPr>
        <w:t>Contact: sadiqadetola08@gmail.com</w:t>
      </w:r>
    </w:p>
    <w:p>
      <w:pPr>
        <w:jc w:val="center"/>
      </w:pPr>
      <w:r>
        <w:rPr>
          <w:color w:val="000000"/>
          <w:sz w:val="22"/>
        </w:rPr>
        <w:t>Data &amp; AI Summit Hackathon 3.0</w:t>
      </w:r>
    </w:p>
    <w:p>
      <w:pPr>
        <w:jc w:val="center"/>
      </w:pPr>
      <w:r>
        <w:rPr>
          <w:color w:val="000000"/>
          <w:sz w:val="22"/>
        </w:rPr>
        <w:t>May 2026</w:t>
      </w:r>
    </w:p>
    <w:p>
      <w:r>
        <w:rPr>
          <w:color w:val="000000"/>
        </w:rPr>
        <w:br w:type="page"/>
      </w:r>
    </w:p>
    <w:p>
      <w:pPr>
        <w:pStyle w:val="Heading1"/>
      </w:pPr>
      <w:r>
        <w:rPr>
          <w:color w:val="000000"/>
        </w:rPr>
        <w:t>Executive Summary</w:t>
      </w:r>
    </w:p>
    <w:p>
      <w:r>
        <w:rPr>
          <w:color w:val="000000"/>
        </w:rPr>
        <w:t>Task B asks the system to recommend what a user will choose next, not merely what is globally popular. Team Ace ranks products through a local behavioral engine that combines persona memory, context text, category affinity, preference match, popularity, diversity, and cold-start fallbacks.</w:t>
      </w:r>
    </w:p>
    <w:tbl>
      <w:tblPr>
        <w:tblStyle w:val="TableGrid"/>
        <w:tblW w:type="auto" w:w="0"/>
        <w:jc w:val="left"/>
        <w:tblLook w:firstColumn="1" w:firstRow="1" w:lastColumn="0" w:lastRow="0" w:noHBand="0" w:noVBand="1" w:val="04A0"/>
      </w:tblPr>
      <w:tblGrid>
        <w:gridCol w:w="3360"/>
        <w:gridCol w:w="3360"/>
        <w:gridCol w:w="3360"/>
      </w:tblGrid>
      <w:tr>
        <w:tc>
          <w:tcPr>
            <w:tcW w:type="dxa" w:w="2160"/>
            <w:shd w:fill="E6E6E6"/>
            <w:tcMar>
              <w:top w:w="70" w:type="dxa"/>
              <w:start w:w="100" w:type="dxa"/>
              <w:bottom w:w="70" w:type="dxa"/>
              <w:end w:w="100" w:type="dxa"/>
            </w:tcMar>
            <w:vAlign w:val="center"/>
          </w:tcPr>
          <w:p>
            <w:r>
              <w:rPr>
                <w:b/>
                <w:color w:val="000000"/>
              </w:rPr>
              <w:t>Input</w:t>
            </w:r>
          </w:p>
        </w:tc>
        <w:tc>
          <w:tcPr>
            <w:tcW w:type="dxa" w:w="4752"/>
            <w:shd w:fill="E6E6E6"/>
            <w:tcMar>
              <w:top w:w="70" w:type="dxa"/>
              <w:start w:w="100" w:type="dxa"/>
              <w:bottom w:w="70" w:type="dxa"/>
              <w:end w:w="100" w:type="dxa"/>
            </w:tcMar>
            <w:vAlign w:val="center"/>
          </w:tcPr>
          <w:p>
            <w:r>
              <w:rPr>
                <w:b/>
                <w:color w:val="000000"/>
              </w:rPr>
              <w:t>Agent Decision</w:t>
            </w:r>
          </w:p>
        </w:tc>
        <w:tc>
          <w:tcPr>
            <w:tcW w:type="dxa" w:w="2448"/>
            <w:shd w:fill="E6E6E6"/>
            <w:tcMar>
              <w:top w:w="70" w:type="dxa"/>
              <w:start w:w="100" w:type="dxa"/>
              <w:bottom w:w="70" w:type="dxa"/>
              <w:end w:w="100" w:type="dxa"/>
            </w:tcMar>
            <w:vAlign w:val="center"/>
          </w:tcPr>
          <w:p>
            <w:r>
              <w:rPr>
                <w:b/>
                <w:color w:val="000000"/>
              </w:rPr>
              <w:t>Output</w:t>
            </w:r>
          </w:p>
        </w:tc>
      </w:tr>
      <w:tr>
        <w:tc>
          <w:tcPr>
            <w:tcW w:type="dxa" w:w="2160"/>
            <w:tcMar>
              <w:top w:w="70" w:type="dxa"/>
              <w:start w:w="100" w:type="dxa"/>
              <w:bottom w:w="70" w:type="dxa"/>
              <w:end w:w="100" w:type="dxa"/>
            </w:tcMar>
            <w:vAlign w:val="center"/>
          </w:tcPr>
          <w:p>
            <w:r>
              <w:rPr>
                <w:color w:val="000000"/>
              </w:rPr>
              <w:t>User persona</w:t>
            </w:r>
          </w:p>
        </w:tc>
        <w:tc>
          <w:tcPr>
            <w:tcW w:type="dxa" w:w="4752"/>
            <w:tcMar>
              <w:top w:w="70" w:type="dxa"/>
              <w:start w:w="100" w:type="dxa"/>
              <w:bottom w:w="70" w:type="dxa"/>
              <w:end w:w="100" w:type="dxa"/>
            </w:tcMar>
            <w:vAlign w:val="center"/>
          </w:tcPr>
          <w:p>
            <w:r>
              <w:rPr>
                <w:color w:val="000000"/>
              </w:rPr>
              <w:t>Extract budget, interests, category affinity, likes, dislikes, and local context</w:t>
            </w:r>
          </w:p>
        </w:tc>
        <w:tc>
          <w:tcPr>
            <w:tcW w:type="dxa" w:w="2448"/>
            <w:tcMar>
              <w:top w:w="70" w:type="dxa"/>
              <w:start w:w="100" w:type="dxa"/>
              <w:bottom w:w="70" w:type="dxa"/>
              <w:end w:w="100" w:type="dxa"/>
            </w:tcMar>
            <w:vAlign w:val="center"/>
          </w:tcPr>
          <w:p>
            <w:r>
              <w:rPr>
                <w:color w:val="000000"/>
              </w:rPr>
              <w:t>Personalized demand signal</w:t>
            </w:r>
          </w:p>
        </w:tc>
      </w:tr>
      <w:tr>
        <w:tc>
          <w:tcPr>
            <w:tcW w:type="dxa" w:w="2160"/>
            <w:tcMar>
              <w:top w:w="70" w:type="dxa"/>
              <w:start w:w="100" w:type="dxa"/>
              <w:bottom w:w="70" w:type="dxa"/>
              <w:end w:w="100" w:type="dxa"/>
            </w:tcMar>
            <w:vAlign w:val="center"/>
          </w:tcPr>
          <w:p>
            <w:r>
              <w:rPr>
                <w:color w:val="000000"/>
              </w:rPr>
              <w:t>Current context</w:t>
            </w:r>
          </w:p>
        </w:tc>
        <w:tc>
          <w:tcPr>
            <w:tcW w:type="dxa" w:w="4752"/>
            <w:tcMar>
              <w:top w:w="70" w:type="dxa"/>
              <w:start w:w="100" w:type="dxa"/>
              <w:bottom w:w="70" w:type="dxa"/>
              <w:end w:w="100" w:type="dxa"/>
            </w:tcMar>
            <w:vAlign w:val="center"/>
          </w:tcPr>
          <w:p>
            <w:r>
              <w:rPr>
                <w:color w:val="000000"/>
              </w:rPr>
              <w:t>Match the user's immediate need against product metadata and category priors</w:t>
            </w:r>
          </w:p>
        </w:tc>
        <w:tc>
          <w:tcPr>
            <w:tcW w:type="dxa" w:w="2448"/>
            <w:tcMar>
              <w:top w:w="70" w:type="dxa"/>
              <w:start w:w="100" w:type="dxa"/>
              <w:bottom w:w="70" w:type="dxa"/>
              <w:end w:w="100" w:type="dxa"/>
            </w:tcMar>
            <w:vAlign w:val="center"/>
          </w:tcPr>
          <w:p>
            <w:r>
              <w:rPr>
                <w:color w:val="000000"/>
              </w:rPr>
              <w:t>Context-aware ranking</w:t>
            </w:r>
          </w:p>
        </w:tc>
      </w:tr>
      <w:tr>
        <w:tc>
          <w:tcPr>
            <w:tcW w:type="dxa" w:w="2160"/>
            <w:tcMar>
              <w:top w:w="70" w:type="dxa"/>
              <w:start w:w="100" w:type="dxa"/>
              <w:bottom w:w="70" w:type="dxa"/>
              <w:end w:w="100" w:type="dxa"/>
            </w:tcMar>
            <w:vAlign w:val="center"/>
          </w:tcPr>
          <w:p>
            <w:r>
              <w:rPr>
                <w:color w:val="000000"/>
              </w:rPr>
              <w:t>Catalog candidates</w:t>
            </w:r>
          </w:p>
        </w:tc>
        <w:tc>
          <w:tcPr>
            <w:tcW w:type="dxa" w:w="4752"/>
            <w:tcMar>
              <w:top w:w="70" w:type="dxa"/>
              <w:start w:w="100" w:type="dxa"/>
              <w:bottom w:w="70" w:type="dxa"/>
              <w:end w:w="100" w:type="dxa"/>
            </w:tcMar>
            <w:vAlign w:val="center"/>
          </w:tcPr>
          <w:p>
            <w:r>
              <w:rPr>
                <w:color w:val="000000"/>
              </w:rPr>
              <w:t>Score, diversify, and explain top items</w:t>
            </w:r>
          </w:p>
        </w:tc>
        <w:tc>
          <w:tcPr>
            <w:tcW w:type="dxa" w:w="2448"/>
            <w:tcMar>
              <w:top w:w="70" w:type="dxa"/>
              <w:start w:w="100" w:type="dxa"/>
              <w:bottom w:w="70" w:type="dxa"/>
              <w:end w:w="100" w:type="dxa"/>
            </w:tcMar>
            <w:vAlign w:val="center"/>
          </w:tcPr>
          <w:p>
            <w:r>
              <w:rPr>
                <w:color w:val="000000"/>
              </w:rPr>
              <w:t>Ranked recommendations</w:t>
            </w:r>
          </w:p>
        </w:tc>
      </w:tr>
    </w:tbl>
    <w:p>
      <w:pPr>
        <w:pStyle w:val="Heading2"/>
      </w:pPr>
      <w:r>
        <w:rPr>
          <w:color w:val="000000"/>
        </w:rPr>
        <w:t>Why This Is Different</w:t>
      </w:r>
    </w:p>
    <w:p>
      <w:pPr>
        <w:pStyle w:val="ListBullet"/>
        <w:spacing w:after="50"/>
      </w:pPr>
      <w:r>
        <w:rPr>
          <w:color w:val="000000"/>
        </w:rPr>
        <w:t>The ranker works across grocery, movies, games, and beauty rather than one narrow domain.</w:t>
      </w:r>
    </w:p>
    <w:p>
      <w:pPr>
        <w:pStyle w:val="ListBullet"/>
        <w:spacing w:after="50"/>
      </w:pPr>
      <w:r>
        <w:rPr>
          <w:color w:val="000000"/>
        </w:rPr>
        <w:t>Cold-start personas still receive useful rankings from explicit context and category priors.</w:t>
      </w:r>
    </w:p>
    <w:p>
      <w:pPr>
        <w:pStyle w:val="ListBullet"/>
        <w:spacing w:after="50"/>
      </w:pPr>
      <w:r>
        <w:rPr>
          <w:color w:val="000000"/>
        </w:rPr>
        <w:t>Groq explains the ranked list after local scoring, preserving reproducibility.</w:t>
      </w:r>
    </w:p>
    <w:p>
      <w:pPr>
        <w:pStyle w:val="ListBullet"/>
        <w:spacing w:after="50"/>
      </w:pPr>
      <w:r>
        <w:rPr>
          <w:color w:val="000000"/>
        </w:rPr>
        <w:t>Nigerian context shapes reasons without caricature: budget, family use, routines, weather, and voice.</w:t>
      </w:r>
    </w:p>
    <w:p>
      <w:r>
        <w:rPr>
          <w:color w:val="000000"/>
        </w:rPr>
        <w:br w:type="page"/>
      </w:r>
    </w:p>
    <w:p>
      <w:pPr>
        <w:pStyle w:val="Heading1"/>
      </w:pPr>
      <w:r>
        <w:rPr>
          <w:color w:val="000000"/>
        </w:rPr>
        <w:t>Ranking Model and Experiments</w:t>
      </w:r>
    </w:p>
    <w:p>
      <w:r>
        <w:rPr>
          <w:color w:val="000000"/>
        </w:rPr>
        <w:t>The recommender uses candidate generation from the product catalog, then scores each item with popularity, rating volume, category affinity, explicit preference match, context text match, dislike penalties, budget fit, and diversity. This produces a ranked list that is explainable and stable without relying on an opaque LLM score.</w:t>
      </w:r>
    </w:p>
    <w:tbl>
      <w:tblPr>
        <w:tblStyle w:val="TableGrid"/>
        <w:tblW w:type="auto" w:w="0"/>
        <w:jc w:val="left"/>
        <w:tblLook w:firstColumn="1" w:firstRow="1" w:lastColumn="0" w:lastRow="0" w:noHBand="0" w:noVBand="1" w:val="04A0"/>
      </w:tblPr>
      <w:tblGrid>
        <w:gridCol w:w="5040"/>
        <w:gridCol w:w="5040"/>
      </w:tblGrid>
      <w:tr>
        <w:tc>
          <w:tcPr>
            <w:tcW w:type="dxa" w:w="3024"/>
            <w:shd w:fill="E6E6E6"/>
            <w:tcMar>
              <w:top w:w="70" w:type="dxa"/>
              <w:start w:w="100" w:type="dxa"/>
              <w:bottom w:w="70" w:type="dxa"/>
              <w:end w:w="100" w:type="dxa"/>
            </w:tcMar>
            <w:vAlign w:val="center"/>
          </w:tcPr>
          <w:p>
            <w:r>
              <w:rPr>
                <w:b/>
                <w:color w:val="000000"/>
              </w:rPr>
              <w:t>Experiment</w:t>
            </w:r>
          </w:p>
        </w:tc>
        <w:tc>
          <w:tcPr>
            <w:tcW w:type="dxa" w:w="6336"/>
            <w:shd w:fill="E6E6E6"/>
            <w:tcMar>
              <w:top w:w="70" w:type="dxa"/>
              <w:start w:w="100" w:type="dxa"/>
              <w:bottom w:w="70" w:type="dxa"/>
              <w:end w:w="100" w:type="dxa"/>
            </w:tcMar>
            <w:vAlign w:val="center"/>
          </w:tcPr>
          <w:p>
            <w:r>
              <w:rPr>
                <w:b/>
                <w:color w:val="000000"/>
              </w:rPr>
              <w:t>Purpose</w:t>
            </w:r>
          </w:p>
        </w:tc>
      </w:tr>
      <w:tr>
        <w:tc>
          <w:tcPr>
            <w:tcW w:type="dxa" w:w="3024"/>
            <w:tcMar>
              <w:top w:w="70" w:type="dxa"/>
              <w:start w:w="100" w:type="dxa"/>
              <w:bottom w:w="70" w:type="dxa"/>
              <w:end w:w="100" w:type="dxa"/>
            </w:tcMar>
            <w:vAlign w:val="center"/>
          </w:tcPr>
          <w:p>
            <w:r>
              <w:rPr>
                <w:color w:val="000000"/>
              </w:rPr>
              <w:t>Popularity-only baseline</w:t>
            </w:r>
          </w:p>
        </w:tc>
        <w:tc>
          <w:tcPr>
            <w:tcW w:type="dxa" w:w="6336"/>
            <w:tcMar>
              <w:top w:w="70" w:type="dxa"/>
              <w:start w:w="100" w:type="dxa"/>
              <w:bottom w:w="70" w:type="dxa"/>
              <w:end w:w="100" w:type="dxa"/>
            </w:tcMar>
            <w:vAlign w:val="center"/>
          </w:tcPr>
          <w:p>
            <w:r>
              <w:rPr>
                <w:color w:val="000000"/>
              </w:rPr>
              <w:t>Tests whether personalization improves over generic ranking.</w:t>
            </w:r>
          </w:p>
        </w:tc>
      </w:tr>
      <w:tr>
        <w:tc>
          <w:tcPr>
            <w:tcW w:type="dxa" w:w="3024"/>
            <w:tcMar>
              <w:top w:w="70" w:type="dxa"/>
              <w:start w:w="100" w:type="dxa"/>
              <w:bottom w:w="70" w:type="dxa"/>
              <w:end w:w="100" w:type="dxa"/>
            </w:tcMar>
            <w:vAlign w:val="center"/>
          </w:tcPr>
          <w:p>
            <w:r>
              <w:rPr>
                <w:color w:val="000000"/>
              </w:rPr>
              <w:t>Cold-start personas</w:t>
            </w:r>
          </w:p>
        </w:tc>
        <w:tc>
          <w:tcPr>
            <w:tcW w:type="dxa" w:w="6336"/>
            <w:tcMar>
              <w:top w:w="70" w:type="dxa"/>
              <w:start w:w="100" w:type="dxa"/>
              <w:bottom w:w="70" w:type="dxa"/>
              <w:end w:w="100" w:type="dxa"/>
            </w:tcMar>
            <w:vAlign w:val="center"/>
          </w:tcPr>
          <w:p>
            <w:r>
              <w:rPr>
                <w:color w:val="000000"/>
              </w:rPr>
              <w:t>Validates recommendations when little or no history exists.</w:t>
            </w:r>
          </w:p>
        </w:tc>
      </w:tr>
      <w:tr>
        <w:tc>
          <w:tcPr>
            <w:tcW w:type="dxa" w:w="3024"/>
            <w:tcMar>
              <w:top w:w="70" w:type="dxa"/>
              <w:start w:w="100" w:type="dxa"/>
              <w:bottom w:w="70" w:type="dxa"/>
              <w:end w:w="100" w:type="dxa"/>
            </w:tcMar>
            <w:vAlign w:val="center"/>
          </w:tcPr>
          <w:p>
            <w:r>
              <w:rPr>
                <w:color w:val="000000"/>
              </w:rPr>
              <w:t>Cross-domain ranking</w:t>
            </w:r>
          </w:p>
        </w:tc>
        <w:tc>
          <w:tcPr>
            <w:tcW w:type="dxa" w:w="6336"/>
            <w:tcMar>
              <w:top w:w="70" w:type="dxa"/>
              <w:start w:w="100" w:type="dxa"/>
              <w:bottom w:w="70" w:type="dxa"/>
              <w:end w:w="100" w:type="dxa"/>
            </w:tcMar>
            <w:vAlign w:val="center"/>
          </w:tcPr>
          <w:p>
            <w:r>
              <w:rPr>
                <w:color w:val="000000"/>
              </w:rPr>
              <w:t>Checks whether one persona can receive useful items across categories.</w:t>
            </w:r>
          </w:p>
        </w:tc>
      </w:tr>
      <w:tr>
        <w:tc>
          <w:tcPr>
            <w:tcW w:type="dxa" w:w="3024"/>
            <w:tcMar>
              <w:top w:w="70" w:type="dxa"/>
              <w:start w:w="100" w:type="dxa"/>
              <w:bottom w:w="70" w:type="dxa"/>
              <w:end w:w="100" w:type="dxa"/>
            </w:tcMar>
            <w:vAlign w:val="center"/>
          </w:tcPr>
          <w:p>
            <w:r>
              <w:rPr>
                <w:color w:val="000000"/>
              </w:rPr>
              <w:t>No Groq fallback</w:t>
            </w:r>
          </w:p>
        </w:tc>
        <w:tc>
          <w:tcPr>
            <w:tcW w:type="dxa" w:w="6336"/>
            <w:tcMar>
              <w:top w:w="70" w:type="dxa"/>
              <w:start w:w="100" w:type="dxa"/>
              <w:bottom w:w="70" w:type="dxa"/>
              <w:end w:w="100" w:type="dxa"/>
            </w:tcMar>
            <w:vAlign w:val="center"/>
          </w:tcPr>
          <w:p>
            <w:r>
              <w:rPr>
                <w:color w:val="000000"/>
              </w:rPr>
              <w:t>Confirms the core ranking still works without hosted generation.</w:t>
            </w:r>
          </w:p>
        </w:tc>
      </w:tr>
    </w:tbl>
    <w:p>
      <w:pPr>
        <w:pStyle w:val="Heading2"/>
      </w:pPr>
      <w:r>
        <w:rPr>
          <w:color w:val="000000"/>
        </w:rPr>
        <w:t>Evaluation</w:t>
      </w:r>
    </w:p>
    <w:tbl>
      <w:tblPr>
        <w:tblStyle w:val="TableGrid"/>
        <w:tblW w:type="auto" w:w="0"/>
        <w:jc w:val="left"/>
        <w:tblLook w:firstColumn="1" w:firstRow="1" w:lastColumn="0" w:lastRow="0" w:noHBand="0" w:noVBand="1" w:val="04A0"/>
      </w:tblPr>
      <w:tblGrid>
        <w:gridCol w:w="2520"/>
        <w:gridCol w:w="2520"/>
        <w:gridCol w:w="2520"/>
        <w:gridCol w:w="2520"/>
      </w:tblGrid>
      <w:tr>
        <w:tc>
          <w:tcPr>
            <w:tcW w:type="dxa" w:w="1872"/>
            <w:shd w:fill="E6E6E6"/>
            <w:tcMar>
              <w:top w:w="70" w:type="dxa"/>
              <w:start w:w="100" w:type="dxa"/>
              <w:bottom w:w="70" w:type="dxa"/>
              <w:end w:w="100" w:type="dxa"/>
            </w:tcMar>
            <w:vAlign w:val="center"/>
          </w:tcPr>
          <w:p>
            <w:r>
              <w:rPr>
                <w:b/>
                <w:color w:val="000000"/>
              </w:rPr>
              <w:t>Metric</w:t>
            </w:r>
          </w:p>
        </w:tc>
        <w:tc>
          <w:tcPr>
            <w:tcW w:type="dxa" w:w="1872"/>
            <w:shd w:fill="E6E6E6"/>
            <w:tcMar>
              <w:top w:w="70" w:type="dxa"/>
              <w:start w:w="100" w:type="dxa"/>
              <w:bottom w:w="70" w:type="dxa"/>
              <w:end w:w="100" w:type="dxa"/>
            </w:tcMar>
            <w:vAlign w:val="center"/>
          </w:tcPr>
          <w:p>
            <w:r>
              <w:rPr>
                <w:b/>
                <w:color w:val="000000"/>
              </w:rPr>
              <w:t>Team Ace</w:t>
            </w:r>
          </w:p>
        </w:tc>
        <w:tc>
          <w:tcPr>
            <w:tcW w:type="dxa" w:w="1872"/>
            <w:shd w:fill="E6E6E6"/>
            <w:tcMar>
              <w:top w:w="70" w:type="dxa"/>
              <w:start w:w="100" w:type="dxa"/>
              <w:bottom w:w="70" w:type="dxa"/>
              <w:end w:w="100" w:type="dxa"/>
            </w:tcMar>
            <w:vAlign w:val="center"/>
          </w:tcPr>
          <w:p>
            <w:r>
              <w:rPr>
                <w:b/>
                <w:color w:val="000000"/>
              </w:rPr>
              <w:t>Baseline</w:t>
            </w:r>
          </w:p>
        </w:tc>
        <w:tc>
          <w:tcPr>
            <w:tcW w:type="dxa" w:w="3744"/>
            <w:shd w:fill="E6E6E6"/>
            <w:tcMar>
              <w:top w:w="70" w:type="dxa"/>
              <w:start w:w="100" w:type="dxa"/>
              <w:bottom w:w="70" w:type="dxa"/>
              <w:end w:w="100" w:type="dxa"/>
            </w:tcMar>
            <w:vAlign w:val="center"/>
          </w:tcPr>
          <w:p>
            <w:r>
              <w:rPr>
                <w:b/>
                <w:color w:val="000000"/>
              </w:rPr>
              <w:t>Interpretation</w:t>
            </w:r>
          </w:p>
        </w:tc>
      </w:tr>
      <w:tr>
        <w:tc>
          <w:tcPr>
            <w:tcW w:type="dxa" w:w="1872"/>
            <w:tcMar>
              <w:top w:w="70" w:type="dxa"/>
              <w:start w:w="100" w:type="dxa"/>
              <w:bottom w:w="70" w:type="dxa"/>
              <w:end w:w="100" w:type="dxa"/>
            </w:tcMar>
            <w:vAlign w:val="center"/>
          </w:tcPr>
          <w:p>
            <w:r>
              <w:rPr>
                <w:color w:val="000000"/>
              </w:rPr>
              <w:t>NDCG@10</w:t>
            </w:r>
          </w:p>
        </w:tc>
        <w:tc>
          <w:tcPr>
            <w:tcW w:type="dxa" w:w="1872"/>
            <w:tcMar>
              <w:top w:w="70" w:type="dxa"/>
              <w:start w:w="100" w:type="dxa"/>
              <w:bottom w:w="70" w:type="dxa"/>
              <w:end w:w="100" w:type="dxa"/>
            </w:tcMar>
            <w:vAlign w:val="center"/>
          </w:tcPr>
          <w:p>
            <w:r>
              <w:rPr>
                <w:color w:val="000000"/>
              </w:rPr>
              <w:t>0.0481</w:t>
            </w:r>
          </w:p>
        </w:tc>
        <w:tc>
          <w:tcPr>
            <w:tcW w:type="dxa" w:w="1872"/>
            <w:tcMar>
              <w:top w:w="70" w:type="dxa"/>
              <w:start w:w="100" w:type="dxa"/>
              <w:bottom w:w="70" w:type="dxa"/>
              <w:end w:w="100" w:type="dxa"/>
            </w:tcMar>
            <w:vAlign w:val="center"/>
          </w:tcPr>
          <w:p>
            <w:r>
              <w:rPr>
                <w:color w:val="000000"/>
              </w:rPr>
              <w:t>0.0194</w:t>
            </w:r>
          </w:p>
        </w:tc>
        <w:tc>
          <w:tcPr>
            <w:tcW w:type="dxa" w:w="3744"/>
            <w:tcMar>
              <w:top w:w="70" w:type="dxa"/>
              <w:start w:w="100" w:type="dxa"/>
              <w:bottom w:w="70" w:type="dxa"/>
              <w:end w:w="100" w:type="dxa"/>
            </w:tcMar>
            <w:vAlign w:val="center"/>
          </w:tcPr>
          <w:p>
            <w:r>
              <w:rPr>
                <w:color w:val="000000"/>
              </w:rPr>
              <w:t>Personalized rankings place held-out choices higher.</w:t>
            </w:r>
          </w:p>
        </w:tc>
      </w:tr>
      <w:tr>
        <w:tc>
          <w:tcPr>
            <w:tcW w:type="dxa" w:w="1872"/>
            <w:tcMar>
              <w:top w:w="70" w:type="dxa"/>
              <w:start w:w="100" w:type="dxa"/>
              <w:bottom w:w="70" w:type="dxa"/>
              <w:end w:w="100" w:type="dxa"/>
            </w:tcMar>
            <w:vAlign w:val="center"/>
          </w:tcPr>
          <w:p>
            <w:r>
              <w:rPr>
                <w:color w:val="000000"/>
              </w:rPr>
              <w:t>Hit Rate@10</w:t>
            </w:r>
          </w:p>
        </w:tc>
        <w:tc>
          <w:tcPr>
            <w:tcW w:type="dxa" w:w="1872"/>
            <w:tcMar>
              <w:top w:w="70" w:type="dxa"/>
              <w:start w:w="100" w:type="dxa"/>
              <w:bottom w:w="70" w:type="dxa"/>
              <w:end w:w="100" w:type="dxa"/>
            </w:tcMar>
            <w:vAlign w:val="center"/>
          </w:tcPr>
          <w:p>
            <w:r>
              <w:rPr>
                <w:color w:val="000000"/>
              </w:rPr>
              <w:t>0.1163</w:t>
            </w:r>
          </w:p>
        </w:tc>
        <w:tc>
          <w:tcPr>
            <w:tcW w:type="dxa" w:w="1872"/>
            <w:tcMar>
              <w:top w:w="70" w:type="dxa"/>
              <w:start w:w="100" w:type="dxa"/>
              <w:bottom w:w="70" w:type="dxa"/>
              <w:end w:w="100" w:type="dxa"/>
            </w:tcMar>
            <w:vAlign w:val="center"/>
          </w:tcPr>
          <w:p>
            <w:r>
              <w:rPr>
                <w:color w:val="000000"/>
              </w:rPr>
              <w:t>0.0349</w:t>
            </w:r>
          </w:p>
        </w:tc>
        <w:tc>
          <w:tcPr>
            <w:tcW w:type="dxa" w:w="3744"/>
            <w:tcMar>
              <w:top w:w="70" w:type="dxa"/>
              <w:start w:w="100" w:type="dxa"/>
              <w:bottom w:w="70" w:type="dxa"/>
              <w:end w:w="100" w:type="dxa"/>
            </w:tcMar>
            <w:vAlign w:val="center"/>
          </w:tcPr>
          <w:p>
            <w:r>
              <w:rPr>
                <w:color w:val="000000"/>
              </w:rPr>
              <w:t>More held-out items appear in the top 10.</w:t>
            </w:r>
          </w:p>
        </w:tc>
      </w:tr>
    </w:tbl>
    <w:p>
      <w:r>
        <w:rPr>
          <w:color w:val="000000"/>
        </w:rPr>
        <w:br w:type="page"/>
      </w:r>
    </w:p>
    <w:p>
      <w:pPr>
        <w:pStyle w:val="Heading1"/>
      </w:pPr>
      <w:r>
        <w:rPr>
          <w:color w:val="000000"/>
        </w:rPr>
        <w:t>Demo, Reproducibility, and Limitations</w:t>
      </w:r>
    </w:p>
    <w:p>
      <w:pPr>
        <w:pStyle w:val="ListBullet"/>
        <w:spacing w:after="50"/>
      </w:pPr>
      <w:r>
        <w:rPr>
          <w:color w:val="000000"/>
        </w:rPr>
        <w:t>Standalone deployment entrypoint: app.task_b_main:app.</w:t>
      </w:r>
    </w:p>
    <w:p>
      <w:pPr>
        <w:pStyle w:val="ListBullet"/>
        <w:spacing w:after="50"/>
      </w:pPr>
      <w:r>
        <w:rPr>
          <w:color w:val="000000"/>
        </w:rPr>
        <w:t>Web UI: root path opens the Task B recommendation workspace directly.</w:t>
      </w:r>
    </w:p>
    <w:p>
      <w:pPr>
        <w:pStyle w:val="ListBullet"/>
        <w:spacing w:after="50"/>
      </w:pPr>
      <w:r>
        <w:rPr>
          <w:color w:val="000000"/>
        </w:rPr>
        <w:t>API endpoint: POST /api/v1/recommend.</w:t>
      </w:r>
    </w:p>
    <w:p>
      <w:pPr>
        <w:pStyle w:val="ListBullet"/>
        <w:spacing w:after="50"/>
      </w:pPr>
      <w:r>
        <w:rPr>
          <w:color w:val="000000"/>
        </w:rPr>
        <w:t>Yarn Mode converts recommendation explanations into Nigerian-localized voice scripts.</w:t>
      </w:r>
    </w:p>
    <w:p>
      <w:pPr>
        <w:pStyle w:val="ListBullet"/>
        <w:spacing w:after="50"/>
      </w:pPr>
      <w:r>
        <w:rPr>
          <w:color w:val="000000"/>
        </w:rPr>
        <w:t>Docker and Render deployment configs are included for judge testing.</w:t>
      </w:r>
    </w:p>
    <w:p>
      <w:r>
        <w:rPr>
          <w:color w:val="000000"/>
        </w:rPr>
        <w:t>Limitations: the checked-in subset is sparse, so absolute NDCG values are modest. The strongest next step is a larger four-domain candidate pool with dense metadata and embedding retrieval. The current evidence still shows the desired direction: personalized ranking beats popularity.</w:t>
      </w:r>
    </w:p>
    <w:p>
      <w:pPr>
        <w:pStyle w:val="Heading2"/>
      </w:pPr>
      <w:r>
        <w:rPr>
          <w:color w:val="000000"/>
        </w:rPr>
        <w:t>Conclusion</w:t>
      </w:r>
    </w:p>
    <w:p>
      <w:r>
        <w:rPr>
          <w:color w:val="000000"/>
        </w:rPr>
        <w:t>Task B demonstrates a recommendation agent that reasons before it speaks. The result is a ranked list that is contextual, auditable, culturally aware, and deployable as its own service.</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7"/>
      </w:rPr>
      <w:t>Team Ace | DSN x BCT LLM Agent Challenge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000000"/>
        <w:sz w:val="17"/>
      </w:rPr>
      <w:t>Task B: Recommendation | Team Ace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Arial" w:hAnsi="Arial"/>
      <w:b w:val="0"/>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60" w:line="240"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60" w:line="240"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contextualSpacing/>
    </w:pPr>
    <w:rPr>
      <w:rFonts w:asciiTheme="majorHAnsi" w:eastAsiaTheme="majorEastAsia" w:hAnsiTheme="majorHAnsi" w:cstheme="majorBidi" w:ascii="Arial" w:hAnsi="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60" w:line="240" w:lineRule="auto"/>
    </w:pPr>
    <w:rPr>
      <w:rFonts w:asciiTheme="majorHAnsi" w:eastAsiaTheme="majorEastAsia" w:hAnsiTheme="majorHAnsi" w:cstheme="majorBidi" w:ascii="Arial" w:hAnsi="Arial"/>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