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002868"/>
          <w:sz w:val="64"/>
          <w:szCs w:val="64"/>
        </w:rPr>
        <w:t xml:space="preserve">PIDEC 1.0</w:t>
      </w:r>
    </w:p>
    <w:p>
      <w:pPr>
        <w:spacing w:after="40"/>
        <w:jc w:val="center"/>
      </w:pPr>
      <w:r>
        <w:rPr>
          <w:rFonts w:ascii="Arial" w:cs="Arial" w:eastAsia="Arial" w:hAnsi="Arial"/>
          <w:b/>
          <w:bCs/>
          <w:color w:val="C9A84C"/>
          <w:sz w:val="36"/>
          <w:szCs w:val="36"/>
        </w:rPr>
        <w:t xml:space="preserve">DESIGN SYSTEM</w:t>
      </w:r>
    </w:p>
    <w:p>
      <w:pPr>
        <w:spacing w:after="40"/>
        <w:jc w:val="center"/>
      </w:pPr>
      <w:r>
        <w:rPr>
          <w:rFonts w:ascii="Arial" w:cs="Arial" w:eastAsia="Arial" w:hAnsi="Arial"/>
          <w:i/>
          <w:iCs/>
          <w:color w:val="555577"/>
          <w:sz w:val="22"/>
          <w:szCs w:val="22"/>
        </w:rPr>
        <w:t xml:space="preserve">v1.0  —  Interim Edition</w:t>
      </w:r>
    </w:p>
    <w:p>
      <w:pPr>
        <w:pBdr>
          <w:bottom w:val="single" w:color="002868" w:sz="8" w:space="1"/>
        </w:pBdr>
        <w:spacing w:after="0"/>
      </w:pPr>
    </w:p>
    <w:p>
      <w:pPr>
        <w:spacing w:after="80" w:before="80"/>
      </w:pPr>
    </w:p>
    <w:p>
      <w:pPr>
        <w:spacing w:after="40"/>
        <w:jc w:val="center"/>
      </w:pPr>
      <w:r>
        <w:rPr>
          <w:rFonts w:ascii="Arial" w:cs="Arial" w:eastAsia="Arial" w:hAnsi="Arial"/>
          <w:color w:val="1A1A2E"/>
          <w:sz w:val="20"/>
          <w:szCs w:val="20"/>
        </w:rPr>
        <w:t xml:space="preserve">Prototype Inter-Departmental Engineering Challenge</w:t>
      </w:r>
    </w:p>
    <w:p>
      <w:pPr>
        <w:spacing w:after="80"/>
        <w:jc w:val="center"/>
      </w:pPr>
      <w:r>
        <w:rPr>
          <w:rFonts w:ascii="Arial" w:cs="Arial" w:eastAsia="Arial" w:hAnsi="Arial"/>
          <w:b/>
          <w:bCs/>
          <w:color w:val="002868"/>
          <w:sz w:val="20"/>
          <w:szCs w:val="20"/>
        </w:rPr>
        <w:t xml:space="preserve">University of Lagos Engineering Society (ULES)</w:t>
      </w:r>
    </w:p>
    <w:p>
      <w:pPr>
        <w:pBdr>
          <w:bottom w:val="single" w:color="C9A84C" w:sz="4" w:space="1"/>
        </w:pBdr>
        <w:spacing w:after="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b/>
                <w:bCs/>
                <w:color w:val="002868"/>
                <w:sz w:val="19"/>
                <w:szCs w:val="19"/>
              </w:rPr>
              <w:t xml:space="preserve">Version</w:t>
            </w:r>
          </w:p>
        </w:tc>
        <w:tc>
          <w:tcPr>
            <w:tcW w:type="dxa" w:w="656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v1.0 — Interim (pending official Teledua design system)</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02868"/>
                <w:sz w:val="19"/>
                <w:szCs w:val="19"/>
              </w:rPr>
              <w:t xml:space="preserve">Stack</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Next.js 14 • TypeScript • Mantine UI • Supabase</w:t>
            </w:r>
          </w:p>
        </w:tc>
      </w:tr>
      <w:tr>
        <w:tc>
          <w:tcPr>
            <w:tcW w:type="dxa" w:w="280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b/>
                <w:bCs/>
                <w:color w:val="002868"/>
                <w:sz w:val="19"/>
                <w:szCs w:val="19"/>
              </w:rPr>
              <w:t xml:space="preserve">Component Library</w:t>
            </w:r>
          </w:p>
        </w:tc>
        <w:tc>
          <w:tcPr>
            <w:tcW w:type="dxa" w:w="656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Mantine (all UI components — no mixing)</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02868"/>
                <w:sz w:val="19"/>
                <w:szCs w:val="19"/>
              </w:rPr>
              <w:t xml:space="preserve">Display Font</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Plus Jakarta Sans (headings, hero, display text)</w:t>
            </w:r>
          </w:p>
        </w:tc>
      </w:tr>
      <w:tr>
        <w:tc>
          <w:tcPr>
            <w:tcW w:type="dxa" w:w="280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b/>
                <w:bCs/>
                <w:color w:val="002868"/>
                <w:sz w:val="19"/>
                <w:szCs w:val="19"/>
              </w:rPr>
              <w:t xml:space="preserve">Body Font</w:t>
            </w:r>
          </w:p>
        </w:tc>
        <w:tc>
          <w:tcPr>
            <w:tcW w:type="dxa" w:w="656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DM Sans (body, UI, labels, inputs)</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02868"/>
                <w:sz w:val="19"/>
                <w:szCs w:val="19"/>
              </w:rPr>
              <w:t xml:space="preserve">Primary Colours</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Navy #002868 • White #FFFFFF • Gold #C9A84C</w:t>
            </w:r>
          </w:p>
        </w:tc>
      </w:tr>
      <w:tr>
        <w:tc>
          <w:tcPr>
            <w:tcW w:type="dxa" w:w="280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b/>
                <w:bCs/>
                <w:color w:val="002868"/>
                <w:sz w:val="19"/>
                <w:szCs w:val="19"/>
              </w:rPr>
              <w:t xml:space="preserve">Architecture</w:t>
            </w:r>
          </w:p>
        </w:tc>
        <w:tc>
          <w:tcPr>
            <w:tcW w:type="dxa" w:w="656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Clean Architecture + Feature-Sliced Design (FSD)</w:t>
            </w:r>
          </w:p>
        </w:tc>
      </w:tr>
      <w:tr>
        <w:tc>
          <w:tcPr>
            <w:tcW w:type="dxa" w:w="28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b/>
                <w:bCs/>
                <w:color w:val="002868"/>
                <w:sz w:val="19"/>
                <w:szCs w:val="19"/>
              </w:rPr>
              <w:t xml:space="preserve">Owner</w:t>
            </w:r>
          </w:p>
        </w:tc>
        <w:tc>
          <w:tcPr>
            <w:tcW w:type="dxa" w:w="65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Competitions &amp; Technical Team / Teslim</w:t>
            </w:r>
          </w:p>
        </w:tc>
      </w:tr>
      <w:tr>
        <w:tc>
          <w:tcPr>
            <w:tcW w:type="dxa" w:w="280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b/>
                <w:bCs/>
                <w:color w:val="002868"/>
                <w:sz w:val="19"/>
                <w:szCs w:val="19"/>
              </w:rPr>
              <w:t xml:space="preserve">Date</w:t>
            </w:r>
          </w:p>
        </w:tc>
        <w:tc>
          <w:tcPr>
            <w:tcW w:type="dxa" w:w="6560"/>
            <w:tcBorders>
              <w:top w:val="single" w:color="CCCCDD" w:sz="1"/>
              <w:left w:val="single" w:color="CCCCDD" w:sz="1"/>
              <w:bottom w:val="single" w:color="CCCCDD" w:sz="1"/>
              <w:right w:val="single" w:color="CCCCDD" w:sz="1"/>
            </w:tcBorders>
            <w:shd w:fill="F4F4F8" w:val="clear"/>
            <w:tcMar>
              <w:top w:type="dxa" w:w="80"/>
              <w:left w:type="dxa" w:w="120"/>
              <w:bottom w:type="dxa" w:w="80"/>
              <w:right w:type="dxa" w:w="120"/>
            </w:tcMar>
          </w:tcPr>
          <w:p>
            <w:r>
              <w:rPr>
                <w:rFonts w:ascii="Arial" w:cs="Arial" w:eastAsia="Arial" w:hAnsi="Arial"/>
                <w:color w:val="1A1A2E"/>
                <w:sz w:val="19"/>
                <w:szCs w:val="19"/>
              </w:rPr>
              <w:t xml:space="preserve">April 2026</w:t>
            </w:r>
          </w:p>
        </w:tc>
      </w:tr>
    </w:tbl>
    <w:p>
      <w:r>
        <w:br w:type="page"/>
      </w:r>
    </w:p>
    <w:p>
      <w:pPr>
        <w:pStyle w:val="Heading1"/>
        <w:spacing w:after="120" w:before="400"/>
      </w:pPr>
      <w:r>
        <w:rPr>
          <w:rFonts w:ascii="Arial" w:cs="Arial" w:eastAsia="Arial" w:hAnsi="Arial"/>
          <w:b/>
          <w:bCs/>
          <w:color w:val="002868"/>
          <w:sz w:val="32"/>
          <w:szCs w:val="32"/>
        </w:rPr>
        <w:t xml:space="preserve">1.   About This Design System</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This is the interim design system for the PIDEC 1.0 platform. It is grounded in the official colours of the University of Lagos Faculty of Engineering and designed to be consistent, accessible, and production-ready. It will serve as the authoritative reference for all frontend development until the official design system from the design lead is delivered.</w:t>
      </w:r>
    </w:p>
    <w:p>
      <w:pPr>
        <w:spacing w:after="100" w:before="40"/>
        <w:jc w:val="both"/>
      </w:pPr>
      <w:r>
        <w:rPr>
          <w:rFonts w:ascii="Arial" w:cs="Arial" w:eastAsia="Arial" w:hAnsi="Arial"/>
          <w:b w:val="false"/>
          <w:bCs w:val="false"/>
          <w:i w:val="false"/>
          <w:iCs w:val="false"/>
          <w:color w:val="1A1A2E"/>
          <w:sz w:val="20"/>
          <w:szCs w:val="20"/>
        </w:rPr>
        <w:t xml:space="preserve">Everything in this document — tokens, typography, components, spacing — is a binding standard. No component library other than Mantine is to be used. No font outside of Plus Jakarta Sans and DM Sans is to be used. Deviations require explicit approval from the Technical Lead.</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C9A84C"/>
                <w:sz w:val="19"/>
                <w:szCs w:val="19"/>
              </w:rPr>
              <w:t xml:space="preserve">Scope</w:t>
            </w:r>
          </w:p>
          <w:p>
            <w:pPr>
              <w:spacing w:after="0"/>
              <w:jc w:val="both"/>
            </w:pPr>
            <w:r>
              <w:rPr>
                <w:rFonts w:ascii="Arial" w:cs="Arial" w:eastAsia="Arial" w:hAnsi="Arial"/>
                <w:color w:val="1A1A2E"/>
                <w:sz w:val="18"/>
                <w:szCs w:val="18"/>
              </w:rPr>
              <w:t xml:space="preserve">This system covers: colour tokens, typography scale, spacing system, component standards (Mantine), iconography, layout grid, accessibility standards, and component usage rules. It does not cover illustration, photography, or motion — those are deferred to the official design system.</w:t>
            </w:r>
          </w:p>
        </w:tc>
      </w:tr>
    </w:tbl>
    <w:p>
      <w:r>
        <w:br w:type="page"/>
      </w:r>
    </w:p>
    <w:p>
      <w:pPr>
        <w:pStyle w:val="Heading1"/>
        <w:spacing w:after="120" w:before="400"/>
      </w:pPr>
      <w:r>
        <w:rPr>
          <w:rFonts w:ascii="Arial" w:cs="Arial" w:eastAsia="Arial" w:hAnsi="Arial"/>
          <w:b/>
          <w:bCs/>
          <w:color w:val="002868"/>
          <w:sz w:val="32"/>
          <w:szCs w:val="32"/>
        </w:rPr>
        <w:t xml:space="preserve">2.   Brand Identity</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PIDEC 1.0 is the first edition of a faculty-wide engineering competition at the University of Lagos. The visual identity is rooted in the Faculty of Engineering’s official colours — navy blue and white — extended with gold as a prestige accent. The tone is professional, credible, and modern. It should feel like a serious competition platform, not a student club.</w:t>
      </w:r>
    </w:p>
    <w:p>
      <w:pPr>
        <w:pStyle w:val="Heading2"/>
        <w:spacing w:after="80" w:before="240"/>
      </w:pPr>
      <w:r>
        <w:rPr>
          <w:rFonts w:ascii="Arial" w:cs="Arial" w:eastAsia="Arial" w:hAnsi="Arial"/>
          <w:b/>
          <w:bCs/>
          <w:color w:val="002868"/>
          <w:sz w:val="24"/>
          <w:szCs w:val="24"/>
        </w:rPr>
        <w:t xml:space="preserve">2.1   Voice &amp;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69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It Means in Design</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Professional</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Clean layouts, ample whitespace, no clutter. Every element earns its place.</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Credible</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Consistent use of brand colours, no off-brand gradients, no decorative fonts.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Modern</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Sharp corners on cards, subtle shadows, clean iconography. Not skeuomorphic.</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Accessible</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WCAG AA contrast on all text. Keyboard navigable. Screen-reader friendly.</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Energetic</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Gold accents on CTAs and highlights communicate importance and excitement.</w:t>
            </w:r>
          </w:p>
        </w:tc>
      </w:tr>
    </w:tbl>
    <w:p>
      <w:r>
        <w:br w:type="page"/>
      </w:r>
    </w:p>
    <w:p>
      <w:pPr>
        <w:pStyle w:val="Heading1"/>
        <w:spacing w:after="120" w:before="400"/>
      </w:pPr>
      <w:r>
        <w:rPr>
          <w:rFonts w:ascii="Arial" w:cs="Arial" w:eastAsia="Arial" w:hAnsi="Arial"/>
          <w:b/>
          <w:bCs/>
          <w:color w:val="002868"/>
          <w:sz w:val="32"/>
          <w:szCs w:val="32"/>
        </w:rPr>
        <w:t xml:space="preserve">3.   Colour System</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The PIDEC colour system is built on three primary roles: Navy (authority, structure), White (space, clarity), and Gold (prestige, action). Supporting shades are derived from these primaries by adjusting lightness only — the hue never changes.</w:t>
      </w:r>
    </w:p>
    <w:p>
      <w:pPr>
        <w:pStyle w:val="Heading2"/>
        <w:spacing w:after="80" w:before="240"/>
      </w:pPr>
      <w:r>
        <w:rPr>
          <w:rFonts w:ascii="Arial" w:cs="Arial" w:eastAsia="Arial" w:hAnsi="Arial"/>
          <w:b/>
          <w:bCs/>
          <w:color w:val="002868"/>
          <w:sz w:val="24"/>
          <w:szCs w:val="24"/>
        </w:rPr>
        <w:t xml:space="preserve">3.1   Primary Colours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002868"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Navy</w:t>
            </w:r>
          </w:p>
          <w:p>
            <w:pPr>
              <w:jc w:val="center"/>
            </w:pPr>
            <w:r>
              <w:rPr>
                <w:rFonts w:ascii="Courier New" w:cs="Courier New" w:eastAsia="Courier New" w:hAnsi="Courier New"/>
                <w:color w:val="FFFFFF"/>
                <w:sz w:val="20"/>
                <w:szCs w:val="20"/>
              </w:rPr>
              <w:t xml:space="preserve">#002868</w:t>
            </w:r>
          </w:p>
        </w:tc>
        <w:tc>
          <w:tcPr>
            <w:tcW w:type="dxa" w:w="6360"/>
            <w:tcBorders>
              <w:top w:val="single" w:color="CCCCDD" w:sz="1"/>
              <w:left w:val="single" w:color="CCCCDD" w:sz="1"/>
              <w:bottom w:val="single" w:color="CCCCDD" w:sz="1"/>
              <w:right w:val="single" w:color="CCCCDD" w:sz="1"/>
            </w:tcBorders>
            <w:tcMar>
              <w:top w:type="dxa" w:w="120"/>
              <w:left w:type="dxa" w:w="180"/>
              <w:bottom w:type="dxa" w:w="120"/>
              <w:right w:type="dxa" w:w="180"/>
            </w:tcMar>
          </w:tcPr>
          <w:p>
            <w:r>
              <w:rPr>
                <w:rFonts w:ascii="Arial" w:cs="Arial" w:eastAsia="Arial" w:hAnsi="Arial"/>
                <w:color w:val="1A1A2E"/>
                <w:sz w:val="18"/>
                <w:szCs w:val="18"/>
              </w:rPr>
              <w:t xml:space="preserve">The primary brand colour. Used for headers, navigation background, primary buttons, borders, and all major structural elements. Derived from the UNILAG Faculty of Engineering official navy.</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FFFFFF" w:val="clear"/>
            <w:tcMar>
              <w:top w:type="dxa" w:w="200"/>
              <w:left w:type="dxa" w:w="200"/>
              <w:bottom w:type="dxa" w:w="200"/>
              <w:right w:type="dxa" w:w="200"/>
            </w:tcMar>
          </w:tcPr>
          <w:p>
            <w:pPr>
              <w:jc w:val="center"/>
            </w:pPr>
            <w:r>
              <w:rPr>
                <w:rFonts w:ascii="Arial" w:cs="Arial" w:eastAsia="Arial" w:hAnsi="Arial"/>
                <w:b/>
                <w:bCs/>
                <w:color w:val="002868"/>
                <w:sz w:val="24"/>
                <w:szCs w:val="24"/>
              </w:rPr>
              <w:t xml:space="preserve">White</w:t>
            </w:r>
          </w:p>
          <w:p>
            <w:pPr>
              <w:jc w:val="center"/>
            </w:pPr>
            <w:r>
              <w:rPr>
                <w:rFonts w:ascii="Courier New" w:cs="Courier New" w:eastAsia="Courier New" w:hAnsi="Courier New"/>
                <w:color w:val="002868"/>
                <w:sz w:val="20"/>
                <w:szCs w:val="20"/>
              </w:rPr>
              <w:t xml:space="preserve">#FFFFFF</w:t>
            </w:r>
          </w:p>
        </w:tc>
        <w:tc>
          <w:tcPr>
            <w:tcW w:type="dxa" w:w="6360"/>
            <w:tcBorders>
              <w:top w:val="single" w:color="CCCCDD" w:sz="1"/>
              <w:left w:val="single" w:color="CCCCDD" w:sz="1"/>
              <w:bottom w:val="single" w:color="CCCCDD" w:sz="1"/>
              <w:right w:val="single" w:color="CCCCDD" w:sz="1"/>
            </w:tcBorders>
            <w:tcMar>
              <w:top w:type="dxa" w:w="120"/>
              <w:left w:type="dxa" w:w="180"/>
              <w:bottom w:type="dxa" w:w="120"/>
              <w:right w:type="dxa" w:w="180"/>
            </w:tcMar>
          </w:tcPr>
          <w:p>
            <w:r>
              <w:rPr>
                <w:rFonts w:ascii="Arial" w:cs="Arial" w:eastAsia="Arial" w:hAnsi="Arial"/>
                <w:color w:val="1A1A2E"/>
                <w:sz w:val="18"/>
                <w:szCs w:val="18"/>
              </w:rPr>
              <w:t xml:space="preserve">The primary background colour. Used for page backgrounds, card surfaces, and all light-mode contexts. Creates the breathing room that makes Navy stand out.</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DD" w:sz="1"/>
              <w:left w:val="single" w:color="CCCCDD" w:sz="1"/>
              <w:bottom w:val="single" w:color="CCCCDD" w:sz="1"/>
              <w:right w:val="single" w:color="CCCCDD" w:sz="1"/>
            </w:tcBorders>
            <w:shd w:fill="C9A84C" w:val="clear"/>
            <w:tcMar>
              <w:top w:type="dxa" w:w="200"/>
              <w:left w:type="dxa" w:w="200"/>
              <w:bottom w:type="dxa" w:w="200"/>
              <w:right w:type="dxa" w:w="200"/>
            </w:tcMar>
          </w:tcPr>
          <w:p>
            <w:pPr>
              <w:jc w:val="center"/>
            </w:pPr>
            <w:r>
              <w:rPr>
                <w:rFonts w:ascii="Arial" w:cs="Arial" w:eastAsia="Arial" w:hAnsi="Arial"/>
                <w:b/>
                <w:bCs/>
                <w:color w:val="002868"/>
                <w:sz w:val="24"/>
                <w:szCs w:val="24"/>
              </w:rPr>
              <w:t xml:space="preserve">Gold</w:t>
            </w:r>
          </w:p>
          <w:p>
            <w:pPr>
              <w:jc w:val="center"/>
            </w:pPr>
            <w:r>
              <w:rPr>
                <w:rFonts w:ascii="Courier New" w:cs="Courier New" w:eastAsia="Courier New" w:hAnsi="Courier New"/>
                <w:color w:val="002868"/>
                <w:sz w:val="20"/>
                <w:szCs w:val="20"/>
              </w:rPr>
              <w:t xml:space="preserve">#C9A84C</w:t>
            </w:r>
          </w:p>
        </w:tc>
        <w:tc>
          <w:tcPr>
            <w:tcW w:type="dxa" w:w="6360"/>
            <w:tcBorders>
              <w:top w:val="single" w:color="CCCCDD" w:sz="1"/>
              <w:left w:val="single" w:color="CCCCDD" w:sz="1"/>
              <w:bottom w:val="single" w:color="CCCCDD" w:sz="1"/>
              <w:right w:val="single" w:color="CCCCDD" w:sz="1"/>
            </w:tcBorders>
            <w:tcMar>
              <w:top w:type="dxa" w:w="120"/>
              <w:left w:type="dxa" w:w="180"/>
              <w:bottom w:type="dxa" w:w="120"/>
              <w:right w:type="dxa" w:w="180"/>
            </w:tcMar>
          </w:tcPr>
          <w:p>
            <w:r>
              <w:rPr>
                <w:rFonts w:ascii="Arial" w:cs="Arial" w:eastAsia="Arial" w:hAnsi="Arial"/>
                <w:color w:val="1A1A2E"/>
                <w:sz w:val="18"/>
                <w:szCs w:val="18"/>
              </w:rPr>
              <w:t xml:space="preserve">The accent and action colour. Used for CTAs, active states, highlights, badges, and key numerical data. Signals importance without shouting. Never used as a background for body text.</w:t>
            </w:r>
          </w:p>
        </w:tc>
      </w:tr>
    </w:tbl>
    <w:p>
      <w:pPr>
        <w:spacing w:after="0" w:before="80"/>
      </w:pPr>
    </w:p>
    <w:p>
      <w:pPr>
        <w:pStyle w:val="Heading2"/>
        <w:spacing w:after="80" w:before="240"/>
      </w:pPr>
      <w:r>
        <w:rPr>
          <w:rFonts w:ascii="Arial" w:cs="Arial" w:eastAsia="Arial" w:hAnsi="Arial"/>
          <w:b/>
          <w:bCs/>
          <w:color w:val="002868"/>
          <w:sz w:val="24"/>
          <w:szCs w:val="24"/>
        </w:rPr>
        <w:t xml:space="preserve">3.2   Extended Palette (Derived Tokens)</w:t>
      </w:r>
    </w:p>
    <w:p>
      <w:pPr>
        <w:spacing w:after="100" w:before="40"/>
        <w:jc w:val="both"/>
      </w:pPr>
      <w:r>
        <w:rPr>
          <w:rFonts w:ascii="Arial" w:cs="Arial" w:eastAsia="Arial" w:hAnsi="Arial"/>
          <w:b w:val="false"/>
          <w:bCs w:val="false"/>
          <w:i w:val="false"/>
          <w:iCs w:val="false"/>
          <w:color w:val="1A1A2E"/>
          <w:sz w:val="20"/>
          <w:szCs w:val="20"/>
        </w:rPr>
        <w:t xml:space="preserve">All derived shades maintain the original hue. Only lightness/saturation varies.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Token Name</w:t>
            </w:r>
          </w:p>
        </w:tc>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Hex</w:t>
            </w:r>
          </w:p>
        </w:tc>
        <w:tc>
          <w:tcPr>
            <w:tcW w:type="dxa" w:w="53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Usage</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--navy-900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#001540</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Darkest navy. Hover state for navy buttons. Active nav items.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--navy-800</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#002868</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Primary navy. ✦ Base token.</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--navy-700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#1A3F7A</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Slightly lighter navy. Secondary nav elements, card borders.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--navy-100</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#E8EDF5</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Pale navy tint. Table row alternates, subtle section backgrounds.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--navy-50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#F0F3F9</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Near-white with navy tint. Hover state for light UI elements.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--gold-900</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#8A6A1E</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Dark gold. Hover state for gold buttons.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--gold-700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#C9A84C</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Primary gold. ✦ Base token.</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--gold-300</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#E8CC84</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Light gold. Disabled gold state, inactive badges.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--gold-50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#F5E6B8</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Pale gold. Highlight backgrounds, callout boxes.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--white</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#FFFFFF</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Pure white. ✦ Base token. Page and card backgrounds.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--grey-800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#1A1A2E</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Near-black. Primary body text colour.</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--grey-600</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#555577</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Mid grey. Secondary text, captions, placeholders.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--grey-200</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#CCCCDD</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Light grey. Dividers, input borders, disabled states.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--grey-50</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#F4F4F8</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Near-white grey. Subtle section backgrounds, code blocks.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--success</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#1A7A4A</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Green. Verified badge, success toasts.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--error</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#C0392B</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Red. Validation errors, rejection states, disqualified banner.</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--warning</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#D4760A</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Amber. Flagged for review, pending states.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8"/>
                <w:szCs w:val="18"/>
              </w:rPr>
              <w:t xml:space="preserve">--info</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8"/>
                <w:szCs w:val="18"/>
              </w:rPr>
              <w:t xml:space="preserve">#1A5C9A</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Blue. Info toasts, informational callouts.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C9A84C"/>
                <w:sz w:val="19"/>
                <w:szCs w:val="19"/>
              </w:rPr>
              <w:t xml:space="preserve">Colour Rules</w:t>
            </w:r>
          </w:p>
          <w:p>
            <w:pPr>
              <w:spacing w:after="0"/>
              <w:jc w:val="both"/>
            </w:pPr>
            <w:r>
              <w:rPr>
                <w:rFonts w:ascii="Arial" w:cs="Arial" w:eastAsia="Arial" w:hAnsi="Arial"/>
                <w:color w:val="1A1A2E"/>
                <w:sz w:val="18"/>
                <w:szCs w:val="18"/>
              </w:rPr>
              <w:t xml:space="preserve">1. Never use gold as a background for paragraph text — contrast is insufficient.
2. Never introduce a colour not in this palette without Technical Lead approval.
3. All text on navy backgrounds must be white or gold-50.
4. All interactive elements must meet WCAG AA (4.5:1 for normal text, 3:1 for large text).
5. Error, warning, success, and info colours are semantic — never use them decoratively.</w:t>
            </w:r>
          </w:p>
        </w:tc>
      </w:tr>
    </w:tbl>
    <w:p>
      <w:r>
        <w:br w:type="page"/>
      </w:r>
    </w:p>
    <w:p>
      <w:pPr>
        <w:pStyle w:val="Heading1"/>
        <w:spacing w:after="120" w:before="400"/>
      </w:pPr>
      <w:r>
        <w:rPr>
          <w:rFonts w:ascii="Arial" w:cs="Arial" w:eastAsia="Arial" w:hAnsi="Arial"/>
          <w:b/>
          <w:bCs/>
          <w:color w:val="002868"/>
          <w:sz w:val="32"/>
          <w:szCs w:val="32"/>
        </w:rPr>
        <w:t xml:space="preserve">4.   Typography</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PIDEC uses two fonts exclusively. Plus Jakarta Sans for all display, heading, and hero text. DM Sans for all body copy, UI labels, inputs, captions, and data. Both are Google Fonts and loaded via next/font for zero layout shift.</w:t>
      </w:r>
    </w:p>
    <w:p>
      <w:pPr>
        <w:pStyle w:val="Heading2"/>
        <w:spacing w:after="80" w:before="240"/>
      </w:pPr>
      <w:r>
        <w:rPr>
          <w:rFonts w:ascii="Arial" w:cs="Arial" w:eastAsia="Arial" w:hAnsi="Arial"/>
          <w:b/>
          <w:bCs/>
          <w:color w:val="002868"/>
          <w:sz w:val="24"/>
          <w:szCs w:val="24"/>
        </w:rPr>
        <w:t xml:space="preserve">4.1   Typefaces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Font</w:t>
            </w:r>
          </w:p>
        </w:tc>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Weights Used</w:t>
            </w:r>
          </w:p>
        </w:tc>
        <w:tc>
          <w:tcPr>
            <w:tcW w:type="dxa" w:w="49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Used For</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Plus Jakarta Sans</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700, 800</w:t>
            </w:r>
          </w:p>
        </w:tc>
        <w:tc>
          <w:tcPr>
            <w:tcW w:type="dxa" w:w="4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H1, H2, H3 headings, hero text, competition stage names, large display numbers.</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DM Sans</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400, 500, 600</w:t>
            </w:r>
          </w:p>
        </w:tc>
        <w:tc>
          <w:tcPr>
            <w:tcW w:type="dxa" w:w="4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Body text, UI labels, button text, input fields, captions, table data, navigation links.</w:t>
            </w:r>
          </w:p>
        </w:tc>
      </w:tr>
    </w:tbl>
    <w:p>
      <w:pPr>
        <w:spacing w:after="0" w:before="80"/>
      </w:pPr>
    </w:p>
    <w:p>
      <w:pPr>
        <w:pStyle w:val="Heading2"/>
        <w:spacing w:after="80" w:before="240"/>
      </w:pPr>
      <w:r>
        <w:rPr>
          <w:rFonts w:ascii="Arial" w:cs="Arial" w:eastAsia="Arial" w:hAnsi="Arial"/>
          <w:b/>
          <w:bCs/>
          <w:color w:val="002868"/>
          <w:sz w:val="24"/>
          <w:szCs w:val="24"/>
        </w:rPr>
        <w:t xml:space="preserve">4.2   Type Scale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2960"/>
      </w:tblGrid>
      <w:tr>
        <w:trPr>
          <w:tblHeader/>
        </w:trPr>
        <w:tc>
          <w:tcPr>
            <w:tcW w:type="dxa" w:w="18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Token</w:t>
            </w:r>
          </w:p>
        </w:tc>
        <w:tc>
          <w:tcPr>
            <w:tcW w:type="dxa" w:w="16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Size</w:t>
            </w:r>
          </w:p>
        </w:tc>
        <w:tc>
          <w:tcPr>
            <w:tcW w:type="dxa" w:w="16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Line Height</w:t>
            </w:r>
          </w:p>
        </w:tc>
        <w:tc>
          <w:tcPr>
            <w:tcW w:type="dxa" w:w="14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Weight</w:t>
            </w:r>
          </w:p>
        </w:tc>
        <w:tc>
          <w:tcPr>
            <w:tcW w:type="dxa" w:w="29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Usage</w:t>
            </w:r>
          </w:p>
        </w:tc>
      </w:tr>
      <w:tr>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--text-display</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48px / 3rem</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1.1</w:t>
            </w:r>
          </w:p>
        </w:tc>
        <w:tc>
          <w:tcPr>
            <w:tcW w:type="dxa" w:w="1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800 PJS</w:t>
            </w:r>
          </w:p>
        </w:tc>
        <w:tc>
          <w:tcPr>
            <w:tcW w:type="dxa" w:w="2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Hero headlines, landing page title.</w:t>
            </w:r>
          </w:p>
        </w:tc>
      </w:tr>
      <w:tr>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--text-h1</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36px / 2.25rem</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1.15</w:t>
            </w:r>
          </w:p>
        </w:tc>
        <w:tc>
          <w:tcPr>
            <w:tcW w:type="dxa" w:w="1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700 PJS</w:t>
            </w:r>
          </w:p>
        </w:tc>
        <w:tc>
          <w:tcPr>
            <w:tcW w:type="dxa" w:w="2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Page-level H1 headings.</w:t>
            </w:r>
          </w:p>
        </w:tc>
      </w:tr>
      <w:tr>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--text-h2</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28px / 1.75rem</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1.2</w:t>
            </w:r>
          </w:p>
        </w:tc>
        <w:tc>
          <w:tcPr>
            <w:tcW w:type="dxa" w:w="1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700 PJS</w:t>
            </w:r>
          </w:p>
        </w:tc>
        <w:tc>
          <w:tcPr>
            <w:tcW w:type="dxa" w:w="2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Section headings.</w:t>
            </w:r>
          </w:p>
        </w:tc>
      </w:tr>
      <w:tr>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--text-h3</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22px / 1.375rem</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1.25</w:t>
            </w:r>
          </w:p>
        </w:tc>
        <w:tc>
          <w:tcPr>
            <w:tcW w:type="dxa" w:w="1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700 PJS</w:t>
            </w:r>
          </w:p>
        </w:tc>
        <w:tc>
          <w:tcPr>
            <w:tcW w:type="dxa" w:w="2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Sub-section, card titles.</w:t>
            </w:r>
          </w:p>
        </w:tc>
      </w:tr>
      <w:tr>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--text-h4</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18px / 1.125rem</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1.3</w:t>
            </w:r>
          </w:p>
        </w:tc>
        <w:tc>
          <w:tcPr>
            <w:tcW w:type="dxa" w:w="1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600 DM</w:t>
            </w:r>
          </w:p>
        </w:tc>
        <w:tc>
          <w:tcPr>
            <w:tcW w:type="dxa" w:w="2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Form group labels, small headings.</w:t>
            </w:r>
          </w:p>
        </w:tc>
      </w:tr>
      <w:tr>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--text-body-lg</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18px / 1.125rem</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1.6</w:t>
            </w:r>
          </w:p>
        </w:tc>
        <w:tc>
          <w:tcPr>
            <w:tcW w:type="dxa" w:w="1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400 DM</w:t>
            </w:r>
          </w:p>
        </w:tc>
        <w:tc>
          <w:tcPr>
            <w:tcW w:type="dxa" w:w="2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Lead paragraphs, intro copy.</w:t>
            </w:r>
          </w:p>
        </w:tc>
      </w:tr>
      <w:tr>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--text-body</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16px / 1rem</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1.6</w:t>
            </w:r>
          </w:p>
        </w:tc>
        <w:tc>
          <w:tcPr>
            <w:tcW w:type="dxa" w:w="1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400 DM</w:t>
            </w:r>
          </w:p>
        </w:tc>
        <w:tc>
          <w:tcPr>
            <w:tcW w:type="dxa" w:w="2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Standard body text.</w:t>
            </w:r>
          </w:p>
        </w:tc>
      </w:tr>
      <w:tr>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--text-sm</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14px / 0.875rem</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1.5</w:t>
            </w:r>
          </w:p>
        </w:tc>
        <w:tc>
          <w:tcPr>
            <w:tcW w:type="dxa" w:w="1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400 DM</w:t>
            </w:r>
          </w:p>
        </w:tc>
        <w:tc>
          <w:tcPr>
            <w:tcW w:type="dxa" w:w="2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Captions, helper text, metadata.</w:t>
            </w:r>
          </w:p>
        </w:tc>
      </w:tr>
      <w:tr>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--text-xs</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12px / 0.75rem</w:t>
            </w:r>
          </w:p>
        </w:tc>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1.4</w:t>
            </w:r>
          </w:p>
        </w:tc>
        <w:tc>
          <w:tcPr>
            <w:tcW w:type="dxa" w:w="1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500 DM</w:t>
            </w:r>
          </w:p>
        </w:tc>
        <w:tc>
          <w:tcPr>
            <w:tcW w:type="dxa" w:w="2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Badges, labels, timestamps.</w:t>
            </w:r>
          </w:p>
        </w:tc>
      </w:tr>
      <w:tr>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6"/>
                <w:szCs w:val="16"/>
              </w:rPr>
              <w:t xml:space="preserve">--text-code</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6"/>
                <w:szCs w:val="16"/>
              </w:rPr>
              <w:t xml:space="preserve">14px / 0.875rem</w:t>
            </w:r>
          </w:p>
        </w:tc>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1.5</w:t>
            </w:r>
          </w:p>
        </w:tc>
        <w:tc>
          <w:tcPr>
            <w:tcW w:type="dxa" w:w="1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6"/>
                <w:szCs w:val="16"/>
              </w:rPr>
              <w:t xml:space="preserve">400 Mono</w:t>
            </w:r>
          </w:p>
        </w:tc>
        <w:tc>
          <w:tcPr>
            <w:tcW w:type="dxa" w:w="2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6"/>
                <w:szCs w:val="16"/>
              </w:rPr>
              <w:t xml:space="preserve">Code snippets, tokens.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868" w:sz="4"/>
              <w:left w:val="single" w:color="002868"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002868"/>
                <w:sz w:val="19"/>
                <w:szCs w:val="19"/>
              </w:rPr>
              <w:t xml:space="preserve">Typography Rules</w:t>
            </w:r>
          </w:p>
          <w:p>
            <w:pPr>
              <w:spacing w:after="0"/>
              <w:jc w:val="both"/>
            </w:pPr>
            <w:r>
              <w:rPr>
                <w:rFonts w:ascii="Arial" w:cs="Arial" w:eastAsia="Arial" w:hAnsi="Arial"/>
                <w:color w:val="1A1A2E"/>
                <w:sz w:val="18"/>
                <w:szCs w:val="18"/>
              </w:rPr>
              <w:t xml:space="preserve">1. Never mix Plus Jakarta Sans and DM Sans in the same sentence.
2. Never use font weights outside those listed above.
3. Never set body text below 14px.
4. Headings are left-aligned by default. Centre only for hero/display contexts.
5. Never use italic for headings. Italic is allowed only in body copy for emphasis.
6. Load fonts via next/font/google with display: 'swap' for performance.</w:t>
            </w:r>
          </w:p>
        </w:tc>
      </w:tr>
    </w:tbl>
    <w:p>
      <w:r>
        <w:br w:type="page"/>
      </w:r>
    </w:p>
    <w:p>
      <w:pPr>
        <w:pStyle w:val="Heading1"/>
        <w:spacing w:after="120" w:before="400"/>
      </w:pPr>
      <w:r>
        <w:rPr>
          <w:rFonts w:ascii="Arial" w:cs="Arial" w:eastAsia="Arial" w:hAnsi="Arial"/>
          <w:b/>
          <w:bCs/>
          <w:color w:val="002868"/>
          <w:sz w:val="32"/>
          <w:szCs w:val="32"/>
        </w:rPr>
        <w:t xml:space="preserve">5.   Spacing System</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PIDEC uses an 8px base grid. All spacing values — margins, paddings, gaps — must be multiples of 8. Mantine’s spacing scale maps directly to this. Never use arbitrary pixel values for spacing.</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4160"/>
      </w:tblGrid>
      <w:tr>
        <w:trPr>
          <w:tblHeader/>
        </w:trPr>
        <w:tc>
          <w:tcPr>
            <w:tcW w:type="dxa" w:w="16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Token</w:t>
            </w:r>
          </w:p>
        </w:tc>
        <w:tc>
          <w:tcPr>
            <w:tcW w:type="dxa" w:w="18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Mantine</w:t>
            </w:r>
          </w:p>
        </w:tc>
        <w:tc>
          <w:tcPr>
            <w:tcW w:type="dxa" w:w="18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px / rem</w:t>
            </w:r>
          </w:p>
        </w:tc>
        <w:tc>
          <w:tcPr>
            <w:tcW w:type="dxa" w:w="41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Usage</w:t>
            </w:r>
          </w:p>
        </w:tc>
      </w:tr>
      <w:tr>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--space-1</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xs</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4px / 0.25rem</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Icon padding, tight inline gaps.</w:t>
            </w:r>
          </w:p>
        </w:tc>
      </w:tr>
      <w:tr>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--space-2</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sm</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8px / 0.5rem</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Input internal padding, badge padding.</w:t>
            </w:r>
          </w:p>
        </w:tc>
      </w:tr>
      <w:tr>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--space-3</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md</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16px / 1rem</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Card inner padding (small), list item gaps.</w:t>
            </w:r>
          </w:p>
        </w:tc>
      </w:tr>
      <w:tr>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--space-4</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lg</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24px / 1.5rem</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Card padding (standard), section element gaps.</w:t>
            </w:r>
          </w:p>
        </w:tc>
      </w:tr>
      <w:tr>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--space-5</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xl</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32px / 2rem</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Section padding (mobile), form group spacing.</w:t>
            </w:r>
          </w:p>
        </w:tc>
      </w:tr>
      <w:tr>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--space-6</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2xl</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48px / 3rem</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Section padding (tablet), major gaps.</w:t>
            </w:r>
          </w:p>
        </w:tc>
      </w:tr>
      <w:tr>
        <w:tc>
          <w:tcPr>
            <w:tcW w:type="dxa" w:w="16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--space-7</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3xl</w:t>
            </w:r>
          </w:p>
        </w:tc>
        <w:tc>
          <w:tcPr>
            <w:tcW w:type="dxa" w:w="1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64px / 4rem</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Section padding (desktop), hero padding.</w:t>
            </w:r>
          </w:p>
        </w:tc>
      </w:tr>
      <w:tr>
        <w:tc>
          <w:tcPr>
            <w:tcW w:type="dxa" w:w="16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--space-8</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4xl</w:t>
            </w:r>
          </w:p>
        </w:tc>
        <w:tc>
          <w:tcPr>
            <w:tcW w:type="dxa" w:w="1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96px / 6rem</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Page-level vertical rhythm between sections.</w:t>
            </w:r>
          </w:p>
        </w:tc>
      </w:tr>
    </w:tbl>
    <w:p>
      <w:pPr>
        <w:pStyle w:val="Heading1"/>
        <w:spacing w:after="120" w:before="400"/>
      </w:pPr>
      <w:r>
        <w:rPr>
          <w:rFonts w:ascii="Arial" w:cs="Arial" w:eastAsia="Arial" w:hAnsi="Arial"/>
          <w:b/>
          <w:bCs/>
          <w:color w:val="002868"/>
          <w:sz w:val="32"/>
          <w:szCs w:val="32"/>
        </w:rPr>
        <w:t xml:space="preserve">6.   Layout &amp; Grid</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The PIDEC platform uses a 12-column grid with fluid gutters. Mantine’s Container and Grid components enforce this automatically.</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Breakpoint</w:t>
            </w:r>
          </w:p>
        </w:tc>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Width</w:t>
            </w:r>
          </w:p>
        </w:tc>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Columns</w:t>
            </w:r>
          </w:p>
        </w:tc>
        <w:tc>
          <w:tcPr>
            <w:tcW w:type="dxa" w:w="33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Max Container Width</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xs (mobile)</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360px+</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8"/>
                <w:szCs w:val="18"/>
              </w:rPr>
              <w:t xml:space="preserve">4</w:t>
            </w:r>
          </w:p>
        </w:tc>
        <w:tc>
          <w:tcPr>
            <w:tcW w:type="dxa" w:w="3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100% — 16px margin each side</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sm (phablet)</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576px+</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8"/>
                <w:szCs w:val="18"/>
              </w:rPr>
              <w:t xml:space="preserve">8</w:t>
            </w:r>
          </w:p>
        </w:tc>
        <w:tc>
          <w:tcPr>
            <w:tcW w:type="dxa" w:w="3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540px</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md (tablet)</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768px+</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8"/>
                <w:szCs w:val="18"/>
              </w:rPr>
              <w:t xml:space="preserve">12</w:t>
            </w:r>
          </w:p>
        </w:tc>
        <w:tc>
          <w:tcPr>
            <w:tcW w:type="dxa" w:w="3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720px</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lg (laptop)</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1024px+</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8"/>
                <w:szCs w:val="18"/>
              </w:rPr>
              <w:t xml:space="preserve">12</w:t>
            </w:r>
          </w:p>
        </w:tc>
        <w:tc>
          <w:tcPr>
            <w:tcW w:type="dxa" w:w="3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960px</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xl (desktop)</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1280px+</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8"/>
                <w:szCs w:val="18"/>
              </w:rPr>
              <w:t xml:space="preserve">12</w:t>
            </w:r>
          </w:p>
        </w:tc>
        <w:tc>
          <w:tcPr>
            <w:tcW w:type="dxa" w:w="3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1200px</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2xl (wide)</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1536px+</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Arial" w:cs="Arial" w:eastAsia="Arial" w:hAnsi="Arial"/>
                <w:b w:val="false"/>
                <w:bCs w:val="false"/>
                <w:i w:val="false"/>
                <w:iCs w:val="false"/>
                <w:color w:val="1A1A2E"/>
                <w:sz w:val="18"/>
                <w:szCs w:val="18"/>
              </w:rPr>
              <w:t xml:space="preserve">12</w:t>
            </w:r>
          </w:p>
        </w:tc>
        <w:tc>
          <w:tcPr>
            <w:tcW w:type="dxa" w:w="3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1400px</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868" w:sz="4"/>
              <w:left w:val="single" w:color="002868"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002868"/>
                <w:sz w:val="19"/>
                <w:szCs w:val="19"/>
              </w:rPr>
              <w:t xml:space="preserve">Layout Rules</w:t>
            </w:r>
          </w:p>
          <w:p>
            <w:pPr>
              <w:spacing w:after="0"/>
              <w:jc w:val="both"/>
            </w:pPr>
            <w:r>
              <w:rPr>
                <w:rFonts w:ascii="Arial" w:cs="Arial" w:eastAsia="Arial" w:hAnsi="Arial"/>
                <w:color w:val="1A1A2E"/>
                <w:sz w:val="18"/>
                <w:szCs w:val="18"/>
              </w:rPr>
              <w:t xml:space="preserve">1. Always use Mantine Container — never set max-width on page wrappers manually.
2. The dashboard is a sidebar layout: 240px fixed sidebar + fluid content area.
3. The landing page uses full-width sections with constrained inner content.
4. Mobile-first: build for 360px and scale up. Never desktop-first.
5. Sidebar collapses to a drawer on screens below md breakpoint.</w:t>
            </w:r>
          </w:p>
        </w:tc>
      </w:tr>
    </w:tbl>
    <w:p>
      <w:r>
        <w:br w:type="page"/>
      </w:r>
    </w:p>
    <w:p>
      <w:pPr>
        <w:pStyle w:val="Heading1"/>
        <w:spacing w:after="120" w:before="400"/>
      </w:pPr>
      <w:r>
        <w:rPr>
          <w:rFonts w:ascii="Arial" w:cs="Arial" w:eastAsia="Arial" w:hAnsi="Arial"/>
          <w:b/>
          <w:bCs/>
          <w:color w:val="002868"/>
          <w:sz w:val="32"/>
          <w:szCs w:val="32"/>
        </w:rPr>
        <w:t xml:space="preserve">7.   Component System (Mantine)</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All UI components come from Mantine. No other component library is to be imported. Custom components must be built on top of Mantine primitives — never from scratch using raw HTML/CSS where a Mantine component exists. All Mantine components are themed globally via the MantineProvider theme object.</w:t>
      </w:r>
    </w:p>
    <w:p>
      <w:pPr>
        <w:pStyle w:val="Heading2"/>
        <w:spacing w:after="80" w:before="240"/>
      </w:pPr>
      <w:r>
        <w:rPr>
          <w:rFonts w:ascii="Arial" w:cs="Arial" w:eastAsia="Arial" w:hAnsi="Arial"/>
          <w:b/>
          <w:bCs/>
          <w:color w:val="002868"/>
          <w:sz w:val="24"/>
          <w:szCs w:val="24"/>
        </w:rPr>
        <w:t xml:space="preserve">7.1   Global Mantine Theme Config</w:t>
      </w:r>
    </w:p>
    <w:p>
      <w:pPr>
        <w:spacing w:after="100" w:before="40"/>
        <w:jc w:val="both"/>
      </w:pPr>
      <w:r>
        <w:rPr>
          <w:rFonts w:ascii="Arial" w:cs="Arial" w:eastAsia="Arial" w:hAnsi="Arial"/>
          <w:b w:val="false"/>
          <w:bCs w:val="false"/>
          <w:i w:val="false"/>
          <w:iCs w:val="false"/>
          <w:color w:val="1A1A2E"/>
          <w:sz w:val="20"/>
          <w:szCs w:val="20"/>
        </w:rPr>
        <w:t xml:space="preserve">The theme is configured once in src/app/providers.tsx and applies globally. Key overrides:</w:t>
      </w:r>
    </w:p>
    <w:p>
      <w:pPr>
        <w:spacing w:after="20" w:before="20"/>
      </w:pP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primaryColor: 'navy'</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primaryShade: { light: 8, dark: 7 }</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fontFamily: 'DM Sans, sans-serif'</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headings: { fontFamily: 'Plus Jakarta Sans, sans-serif' }</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defaultRadius: 'md'  // 8px</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colors: { navy: [...10 shades], gold: [...10 shades] }</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spacing: { xs:4, sm:8, md:16, lg:24, xl:32 }  // maps to --space tokens</w:t>
      </w:r>
    </w:p>
    <w:p>
      <w:pPr>
        <w:pBdr>
          <w:top w:val="single" w:color="CCCCDD" w:sz="1"/>
          <w:left w:val="single" w:color="C9A84C" w:sz="6"/>
          <w:bottom w:val="single" w:color="CCCCDD" w:sz="1"/>
          <w:right w:val="single" w:color="CCCCDD" w:sz="1"/>
        </w:pBdr>
        <w:shd w:fill="F4F4F8" w:val="clear"/>
        <w:spacing w:after="20" w:before="20"/>
      </w:pPr>
      <w:r>
        <w:rPr>
          <w:rFonts w:ascii="Courier New" w:cs="Courier New" w:eastAsia="Courier New" w:hAnsi="Courier New"/>
          <w:color w:val="001540"/>
          <w:sz w:val="18"/>
          <w:szCs w:val="18"/>
        </w:rPr>
        <w:t xml:space="preserve">breakpoints: { xs:'36em', sm:'48em', md:'62em', lg:'75em', xl:'88em' }</w:t>
      </w:r>
    </w:p>
    <w:p>
      <w:pPr>
        <w:spacing w:after="0" w:before="80"/>
      </w:pPr>
    </w:p>
    <w:p>
      <w:pPr>
        <w:pStyle w:val="Heading2"/>
        <w:spacing w:after="80" w:before="240"/>
      </w:pPr>
      <w:r>
        <w:rPr>
          <w:rFonts w:ascii="Arial" w:cs="Arial" w:eastAsia="Arial" w:hAnsi="Arial"/>
          <w:b/>
          <w:bCs/>
          <w:color w:val="002868"/>
          <w:sz w:val="24"/>
          <w:szCs w:val="24"/>
        </w:rPr>
        <w:t xml:space="preserve">7.2   Button Standards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Variant</w:t>
            </w:r>
          </w:p>
        </w:tc>
        <w:tc>
          <w:tcPr>
            <w:tcW w:type="dxa" w:w="3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When To Use</w:t>
            </w:r>
          </w:p>
        </w:tc>
        <w:tc>
          <w:tcPr>
            <w:tcW w:type="dxa" w:w="41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Mantine Props</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Primary (filled)</w:t>
            </w:r>
          </w:p>
        </w:tc>
        <w:tc>
          <w:tcPr>
            <w:tcW w:type="dxa" w:w="3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Main CTA — Submit, Register, Sign In, Create Team.</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variant='filled' color='navy' size='md'</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Gold (filled)</w:t>
            </w:r>
          </w:p>
        </w:tc>
        <w:tc>
          <w:tcPr>
            <w:tcW w:type="dxa" w:w="3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High-priority action — Stage submission, Advance team.</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variant='filled' color='gold' size='md'</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Outline</w:t>
            </w:r>
          </w:p>
        </w:tc>
        <w:tc>
          <w:tcPr>
            <w:tcW w:type="dxa" w:w="3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Secondary actions — Cancel, Go Back, View Details.</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variant='outline' color='navy' size='md'</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Subtle</w:t>
            </w:r>
          </w:p>
        </w:tc>
        <w:tc>
          <w:tcPr>
            <w:tcW w:type="dxa" w:w="3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Tertiary actions — in-table links, breadcrumb-style actions.</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variant='subtle' color='navy' size='sm'</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Light</w:t>
            </w:r>
          </w:p>
        </w:tc>
        <w:tc>
          <w:tcPr>
            <w:tcW w:type="dxa" w:w="3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Soft background actions — filter chips, tag-style buttons.</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variant='light' color='navy' size='sm'</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Danger</w:t>
            </w:r>
          </w:p>
        </w:tc>
        <w:tc>
          <w:tcPr>
            <w:tcW w:type="dxa" w:w="3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Destructive actions — Delete Team, Disqualify.</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variant='filled' color='red' size='md'</w:t>
            </w:r>
          </w:p>
        </w:tc>
      </w:tr>
    </w:tbl>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868" w:sz="4"/>
              <w:left w:val="single" w:color="002868"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002868"/>
                <w:sz w:val="19"/>
                <w:szCs w:val="19"/>
              </w:rPr>
              <w:t xml:space="preserve">Button Rules</w:t>
            </w:r>
          </w:p>
          <w:p>
            <w:pPr>
              <w:spacing w:after="0"/>
              <w:jc w:val="both"/>
            </w:pPr>
            <w:r>
              <w:rPr>
                <w:rFonts w:ascii="Arial" w:cs="Arial" w:eastAsia="Arial" w:hAnsi="Arial"/>
                <w:color w:val="1A1A2E"/>
                <w:sz w:val="18"/>
                <w:szCs w:val="18"/>
              </w:rPr>
              <w:t xml:space="preserve">1. Never use more than one Primary button per view section.
2. Always pair a primary button with an outline or subtle secondary.
3. All buttons must have a loading state using Mantine's loading prop.
4. Danger buttons require a confirmation modal before action executes.
5. Disabled state must always visually communicate non-interactability — use opacity 0.5.</w:t>
            </w:r>
          </w:p>
        </w:tc>
      </w:tr>
    </w:tbl>
    <w:p>
      <w:pPr>
        <w:spacing w:after="0" w:before="80"/>
      </w:pPr>
    </w:p>
    <w:p>
      <w:pPr>
        <w:pStyle w:val="Heading2"/>
        <w:spacing w:after="80" w:before="240"/>
      </w:pPr>
      <w:r>
        <w:rPr>
          <w:rFonts w:ascii="Arial" w:cs="Arial" w:eastAsia="Arial" w:hAnsi="Arial"/>
          <w:b/>
          <w:bCs/>
          <w:color w:val="002868"/>
          <w:sz w:val="24"/>
          <w:szCs w:val="24"/>
        </w:rPr>
        <w:t xml:space="preserve">7.3   Form Components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69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Usage &amp; Notes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TextInput</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All single-line text fields. Email, matric number, team name. Always use label + description + error props.</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PasswordInput</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Password fields only. Uses Mantine's built-in show/hide toggle.</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Textarea</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Multi-line form fields. Submission form sections. Set minRows and maxRows. Show live word count via a custom wrapper.</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Select</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Dropdown selections. Department, level. Always use searchable for long lists.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FileInput</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Document upload (verification). accept='.pdf,.jpg,.png' maxSize enforced client-side before upload.</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Checkbox</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Declaration checkboxes in Stage 1 submission form. Group with CheckboxGroup.</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NumberInput</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Any numeric inputs. Score entry in admin/judge console.</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Switch</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Toggle controls in admin — open/close signups, enable submissions.</w:t>
            </w:r>
          </w:p>
        </w:tc>
      </w:tr>
    </w:tbl>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868" w:sz="4"/>
              <w:left w:val="single" w:color="002868"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002868"/>
                <w:sz w:val="19"/>
                <w:szCs w:val="19"/>
              </w:rPr>
              <w:t xml:space="preserve">Form Rules</w:t>
            </w:r>
          </w:p>
          <w:p>
            <w:pPr>
              <w:spacing w:after="0"/>
              <w:jc w:val="both"/>
            </w:pPr>
            <w:r>
              <w:rPr>
                <w:rFonts w:ascii="Arial" w:cs="Arial" w:eastAsia="Arial" w:hAnsi="Arial"/>
                <w:color w:val="1A1A2E"/>
                <w:sz w:val="18"/>
                <w:szCs w:val="18"/>
              </w:rPr>
              <w:t xml:space="preserve">1. All forms use Mantine's useForm hook with Zod schema validation.
2. Error messages appear inline below each field — never as a toast.
3. All forms have a loading/disabled state on submit while awaiting response.
4. Required fields are marked with asterisk in label via Mantine's withAsterisk.
5. File inputs validate type and size client-side before triggering any upload.
6. Word count helper is shown live for all Textarea fields with word limits.</w:t>
            </w:r>
          </w:p>
        </w:tc>
      </w:tr>
    </w:tbl>
    <w:p>
      <w:pPr>
        <w:spacing w:after="0" w:before="80"/>
      </w:pPr>
    </w:p>
    <w:p>
      <w:pPr>
        <w:pStyle w:val="Heading2"/>
        <w:spacing w:after="80" w:before="240"/>
      </w:pPr>
      <w:r>
        <w:rPr>
          <w:rFonts w:ascii="Arial" w:cs="Arial" w:eastAsia="Arial" w:hAnsi="Arial"/>
          <w:b/>
          <w:bCs/>
          <w:color w:val="002868"/>
          <w:sz w:val="24"/>
          <w:szCs w:val="24"/>
        </w:rPr>
        <w:t xml:space="preserve">7.4   Feedback &amp; Status Components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71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When &amp; How</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Notification (toast)</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Non-blocking feedback. Success: submission confirmed, team created. Error: API failure, session expired. Use Mantine notifications.show().</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Alert</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Inline persistent messages. Disqualification banner (color='red'), flagged verification (color='yellow'), Stage 1 open (color='navy').</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Badge</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Status labels. Verified (green), Pending (yellow), Rejected (red), Advanced (navy), Disqualified (red). Always pair with an icon.</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Loader</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All async states. Use Mantine Loader color='navy'. Always show within the triggering component, not as a page overlay.</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Skeleton</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Loading state for cards and tables. Match the shape of the final content exactly.</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Modal</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Confirmations only. Danger actions (delete, disqualify). Never use for forms.</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Drawer</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Mobile navigation sidebar. Filter panels on admin tables. Slides in from left.</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Tooltip</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Icon-only buttons must always have a Tooltip. Never more than 80 characters.</w:t>
            </w:r>
          </w:p>
        </w:tc>
      </w:tr>
    </w:tbl>
    <w:p>
      <w:pPr>
        <w:spacing w:after="0" w:before="80"/>
      </w:pPr>
    </w:p>
    <w:p>
      <w:pPr>
        <w:pStyle w:val="Heading2"/>
        <w:spacing w:after="80" w:before="240"/>
      </w:pPr>
      <w:r>
        <w:rPr>
          <w:rFonts w:ascii="Arial" w:cs="Arial" w:eastAsia="Arial" w:hAnsi="Arial"/>
          <w:b/>
          <w:bCs/>
          <w:color w:val="002868"/>
          <w:sz w:val="24"/>
          <w:szCs w:val="24"/>
        </w:rPr>
        <w:t xml:space="preserve">7.5   Data Display Components</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Component</w:t>
            </w:r>
          </w:p>
        </w:tc>
        <w:tc>
          <w:tcPr>
            <w:tcW w:type="dxa" w:w="71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Usage</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Table (Mantine)</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All tabular data — team lists, submission lists, student directory, judge assignments. Use with Pagination and sorting.</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Card</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Team cards, submission cards, stage overview cards. radius='md' shadow='sm' withBorder.</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Tabs</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Multi-section dashboards — My Team / My Submissions / Notifications. Use variant='outline'.</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Stepper</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Competition stage progress indicator. 3 steps: Stage 1 / Stage 2 / Grand Finale. Active step = current stage.</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Progress</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Submission word count progress bar. Word used / Word limit.</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Timeline</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Notification feed, audit log in admin console.</w:t>
            </w:r>
          </w:p>
        </w:tc>
      </w:tr>
      <w:tr>
        <w:tc>
          <w:tcPr>
            <w:tcW w:type="dxa" w:w="22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Accordion</w:t>
            </w:r>
          </w:p>
        </w:tc>
        <w:tc>
          <w:tcPr>
            <w:tcW w:type="dxa" w:w="7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FAQ section on landing page. Stage details on competition info page.</w:t>
            </w:r>
          </w:p>
        </w:tc>
      </w:tr>
      <w:tr>
        <w:tc>
          <w:tcPr>
            <w:tcW w:type="dxa" w:w="22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002868"/>
                <w:sz w:val="18"/>
                <w:szCs w:val="18"/>
              </w:rPr>
              <w:t xml:space="preserve">Stats (custom)</w:t>
            </w:r>
          </w:p>
        </w:tc>
        <w:tc>
          <w:tcPr>
            <w:tcW w:type="dxa" w:w="7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Key numbers on landing hero — e.g. 10 Departments, 3 Stages, July 4 Finale. Built using Mantine Stack + Text.</w:t>
            </w:r>
          </w:p>
        </w:tc>
      </w:tr>
    </w:tbl>
    <w:p>
      <w:r>
        <w:br w:type="page"/>
      </w:r>
    </w:p>
    <w:p>
      <w:pPr>
        <w:pStyle w:val="Heading1"/>
        <w:spacing w:after="120" w:before="400"/>
      </w:pPr>
      <w:r>
        <w:rPr>
          <w:rFonts w:ascii="Arial" w:cs="Arial" w:eastAsia="Arial" w:hAnsi="Arial"/>
          <w:b/>
          <w:bCs/>
          <w:color w:val="002868"/>
          <w:sz w:val="32"/>
          <w:szCs w:val="32"/>
        </w:rPr>
        <w:t xml:space="preserve">8.   Iconography</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All icons come from the Tabler Icons library (@tabler/icons-react). This is the default icon set that ships with Mantine. No other icon set is to be used. Icons are always rendered at a consistent size per context.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Context</w:t>
            </w:r>
          </w:p>
        </w:tc>
        <w:tc>
          <w:tcPr>
            <w:tcW w:type="dxa" w:w="20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Size</w:t>
            </w:r>
          </w:p>
        </w:tc>
        <w:tc>
          <w:tcPr>
            <w:tcW w:type="dxa" w:w="53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Notes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Navigation sidebar</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20px</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Paired with text label. Colour: navy-100 (inactive), gold (active).</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Button icons</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16px</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Left of button text. Never icon-only on primary buttons.</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Icon-only buttons</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20px</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Must always have a Tooltip. Used in table action columns.</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Status badges</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14px</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Left of badge text. Matches badge colour.</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Form field prefix</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16px</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Inside TextInput leftSection. Colour: grey-600.</w:t>
            </w:r>
          </w:p>
        </w:tc>
      </w:tr>
      <w:tr>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Notification/toast</w:t>
            </w:r>
          </w:p>
        </w:tc>
        <w:tc>
          <w:tcPr>
            <w:tcW w:type="dxa" w:w="20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20px</w:t>
            </w:r>
          </w:p>
        </w:tc>
        <w:tc>
          <w:tcPr>
            <w:tcW w:type="dxa" w:w="53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Left of notification message.</w:t>
            </w:r>
          </w:p>
        </w:tc>
      </w:tr>
      <w:tr>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Empty states</w:t>
            </w:r>
          </w:p>
        </w:tc>
        <w:tc>
          <w:tcPr>
            <w:tcW w:type="dxa" w:w="20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center"/>
            </w:pPr>
            <w:r>
              <w:rPr>
                <w:rFonts w:ascii="Courier New" w:cs="Courier New" w:eastAsia="Courier New" w:hAnsi="Courier New"/>
                <w:b w:val="false"/>
                <w:bCs w:val="false"/>
                <w:i w:val="false"/>
                <w:iCs w:val="false"/>
                <w:color w:val="1A1A2E"/>
                <w:sz w:val="18"/>
                <w:szCs w:val="18"/>
              </w:rPr>
              <w:t xml:space="preserve">64px</w:t>
            </w:r>
          </w:p>
        </w:tc>
        <w:tc>
          <w:tcPr>
            <w:tcW w:type="dxa" w:w="53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Centre of empty state illustration area. Colour: grey-200.</w:t>
            </w:r>
          </w:p>
        </w:tc>
      </w:tr>
    </w:tbl>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868" w:sz="4"/>
              <w:left w:val="single" w:color="002868"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002868"/>
                <w:sz w:val="19"/>
                <w:szCs w:val="19"/>
              </w:rPr>
              <w:t xml:space="preserve">Icon Rules</w:t>
            </w:r>
          </w:p>
          <w:p>
            <w:pPr>
              <w:spacing w:after="0"/>
              <w:jc w:val="both"/>
            </w:pPr>
            <w:r>
              <w:rPr>
                <w:rFonts w:ascii="Arial" w:cs="Arial" w:eastAsia="Arial" w:hAnsi="Arial"/>
                <w:color w:val="1A1A2E"/>
                <w:sz w:val="18"/>
                <w:szCs w:val="18"/>
              </w:rPr>
              <w:t xml:space="preserve">1. Never use emoji as icons in UI components.
2. Icon + text: icon always on the left, 8px gap.
3. Decorative icons have aria-hidden='true'.
4. Interactive icon-only buttons have aria-label and a Tooltip.
5. Never import an entire icon pack. Import named icons only: import { IconCheck } from '@tabler/icons-react'</w:t>
            </w:r>
          </w:p>
        </w:tc>
      </w:tr>
    </w:tbl>
    <w:p>
      <w:pPr>
        <w:pStyle w:val="Heading1"/>
        <w:spacing w:after="120" w:before="400"/>
      </w:pPr>
      <w:r>
        <w:rPr>
          <w:rFonts w:ascii="Arial" w:cs="Arial" w:eastAsia="Arial" w:hAnsi="Arial"/>
          <w:b/>
          <w:bCs/>
          <w:color w:val="002868"/>
          <w:sz w:val="32"/>
          <w:szCs w:val="32"/>
        </w:rPr>
        <w:t xml:space="preserve">9.   Accessibility</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PIDEC targets WCAG 2.1 Level AA compliance. This is not optional. The platform will be used by 3,000+ students across a range of devices and conditions. Every component must be accessible by default.</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Requirement</w:t>
            </w:r>
          </w:p>
        </w:tc>
        <w:tc>
          <w:tcPr>
            <w:tcW w:type="dxa" w:w="65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Standard</w:t>
            </w:r>
          </w:p>
        </w:tc>
      </w:tr>
      <w:tr>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Colour contrast (text)</w:t>
            </w:r>
          </w:p>
        </w:tc>
        <w:tc>
          <w:tcPr>
            <w:tcW w:type="dxa" w:w="65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4.5:1 minimum for normal text. 3:1 for large text (18px+ bold or 24px+).</w:t>
            </w:r>
          </w:p>
        </w:tc>
      </w:tr>
      <w:tr>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Colour contrast (UI)</w:t>
            </w:r>
          </w:p>
        </w:tc>
        <w:tc>
          <w:tcPr>
            <w:tcW w:type="dxa" w:w="65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3:1 for interactive UI components (buttons, inputs, focus rings).</w:t>
            </w:r>
          </w:p>
        </w:tc>
      </w:tr>
      <w:tr>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Focus rings</w:t>
            </w:r>
          </w:p>
        </w:tc>
        <w:tc>
          <w:tcPr>
            <w:tcW w:type="dxa" w:w="65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All interactive elements must have a visible focus ring. Use Mantine's default focus ring — do not suppress it.</w:t>
            </w:r>
          </w:p>
        </w:tc>
      </w:tr>
      <w:tr>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Keyboard navigation</w:t>
            </w:r>
          </w:p>
        </w:tc>
        <w:tc>
          <w:tcPr>
            <w:tcW w:type="dxa" w:w="65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All features must be operable via keyboard only. Tab order must be logical.</w:t>
            </w:r>
          </w:p>
        </w:tc>
      </w:tr>
      <w:tr>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Screen readers</w:t>
            </w:r>
          </w:p>
        </w:tc>
        <w:tc>
          <w:tcPr>
            <w:tcW w:type="dxa" w:w="65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All images and icons have alt/aria-label. All form fields have associated labels.</w:t>
            </w:r>
          </w:p>
        </w:tc>
      </w:tr>
      <w:tr>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Error identification</w:t>
            </w:r>
          </w:p>
        </w:tc>
        <w:tc>
          <w:tcPr>
            <w:tcW w:type="dxa" w:w="65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Errors are described in text, not colour alone. Error icon + error message always paired.</w:t>
            </w:r>
          </w:p>
        </w:tc>
      </w:tr>
      <w:tr>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Motion</w:t>
            </w:r>
          </w:p>
        </w:tc>
        <w:tc>
          <w:tcPr>
            <w:tcW w:type="dxa" w:w="65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No auto-playing animations. Respect prefers-reduced-motion.</w:t>
            </w:r>
          </w:p>
        </w:tc>
      </w:tr>
    </w:tbl>
    <w:p>
      <w:r>
        <w:br w:type="page"/>
      </w:r>
    </w:p>
    <w:p>
      <w:pPr>
        <w:pStyle w:val="Heading1"/>
        <w:spacing w:after="120" w:before="400"/>
      </w:pPr>
      <w:r>
        <w:rPr>
          <w:rFonts w:ascii="Arial" w:cs="Arial" w:eastAsia="Arial" w:hAnsi="Arial"/>
          <w:b/>
          <w:bCs/>
          <w:color w:val="002868"/>
          <w:sz w:val="32"/>
          <w:szCs w:val="32"/>
        </w:rPr>
        <w:t xml:space="preserve">10.   Frontend File Structure (FSD)</w:t>
      </w:r>
    </w:p>
    <w:p>
      <w:pPr>
        <w:pBdr>
          <w:bottom w:val="single" w:color="002868" w:sz="6" w:space="1"/>
        </w:pBdr>
        <w:spacing w:after="0"/>
      </w:pPr>
    </w:p>
    <w:p>
      <w:pPr>
        <w:spacing w:after="100" w:before="0"/>
      </w:pPr>
    </w:p>
    <w:p>
      <w:pPr>
        <w:spacing w:after="100" w:before="40"/>
        <w:jc w:val="both"/>
      </w:pPr>
      <w:r>
        <w:rPr>
          <w:rFonts w:ascii="Arial" w:cs="Arial" w:eastAsia="Arial" w:hAnsi="Arial"/>
          <w:b w:val="false"/>
          <w:bCs w:val="false"/>
          <w:i w:val="false"/>
          <w:iCs w:val="false"/>
          <w:color w:val="1A1A2E"/>
          <w:sz w:val="20"/>
          <w:szCs w:val="20"/>
        </w:rPr>
        <w:t xml:space="preserve">The frontend follows Feature-Sliced Design (FSD). Every piece of code lives in a defined layer. Nothing imports from a higher layer. Shared utilities never import from features. This keeps the codebase navigable and scalable.</w:t>
      </w: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Layer / Folder</w:t>
            </w:r>
          </w:p>
        </w:tc>
        <w:tc>
          <w:tcPr>
            <w:tcW w:type="dxa" w:w="69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 Lives Here</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src/app/</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Next.js App Router pages, layouts, providers, global styles, font loading, MantineProvider setup.</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src/features/</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Self-contained feature modules. auth/, team/, submission/, dashboard/, admin/, judge/. Each has its own components/, hooks/, api/, types/, and utils/.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src/entities/</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Domain entities and their UI representations. user/, team/, submission/, notification/. Read-only data display components.</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src/shared/ui/</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Truly shared UI: AppShell layout, PageContainer, EmptyState, ConfirmModal, WordCountTextarea, StatusBadge.</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src/shared/lib/</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Shared utilities: supabaseClient.ts, apiClient.ts (typed Axios/fetch wrapper), cn() classname helper.</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src/shared/config/</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Environment variables, route constants, stage config, regex patterns (matric number).</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src/shared/types/</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Global TypeScript types shared across features: Database types (from Supabase), ApiResponse&lt;T&gt;, PaginatedResponse&lt;T&gt;.</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src/shared/hooks/</w:t>
            </w:r>
          </w:p>
        </w:tc>
        <w:tc>
          <w:tcPr>
            <w:tcW w:type="dxa" w:w="69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Shared React hooks: useAuth(), useCurrentUser(), useStage(), useNotifications().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bCs/>
                <w:i w:val="false"/>
                <w:iCs w:val="false"/>
                <w:color w:val="002868"/>
                <w:sz w:val="16"/>
                <w:szCs w:val="16"/>
              </w:rPr>
              <w:t xml:space="preserve">public/</w:t>
            </w:r>
          </w:p>
        </w:tc>
        <w:tc>
          <w:tcPr>
            <w:tcW w:type="dxa" w:w="69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1A2E"/>
                <w:sz w:val="18"/>
                <w:szCs w:val="18"/>
              </w:rPr>
              <w:t xml:space="preserve">Static assets: fonts (if self-hosted), logo SVG, og-image.</w:t>
            </w:r>
          </w:p>
        </w:tc>
      </w:tr>
    </w:tbl>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6"/>
              <w:bottom w:val="single" w:color="CCCCDD" w:sz="1"/>
              <w:right w:val="single" w:color="CCCCDD" w:sz="1"/>
            </w:tcBorders>
            <w:shd w:fill="F4F4F8" w:val="clear"/>
            <w:tcMar>
              <w:top w:type="dxa" w:w="120"/>
              <w:left w:type="dxa" w:w="180"/>
              <w:bottom w:type="dxa" w:w="120"/>
              <w:right w:type="dxa" w:w="180"/>
            </w:tcMar>
          </w:tcPr>
          <w:p>
            <w:pPr>
              <w:spacing w:after="50"/>
            </w:pPr>
            <w:r>
              <w:rPr>
                <w:rFonts w:ascii="Arial" w:cs="Arial" w:eastAsia="Arial" w:hAnsi="Arial"/>
                <w:b/>
                <w:bCs/>
                <w:color w:val="C9A84C"/>
                <w:sz w:val="19"/>
                <w:szCs w:val="19"/>
              </w:rPr>
              <w:t xml:space="preserve">FSD Import Rules</w:t>
            </w:r>
          </w:p>
          <w:p>
            <w:pPr>
              <w:spacing w:after="0"/>
              <w:jc w:val="both"/>
            </w:pPr>
            <w:r>
              <w:rPr>
                <w:rFonts w:ascii="Arial" w:cs="Arial" w:eastAsia="Arial" w:hAnsi="Arial"/>
                <w:color w:val="1A1A2E"/>
                <w:sz w:val="18"/>
                <w:szCs w:val="18"/>
              </w:rPr>
              <w:t xml:space="preserve">1. app/ can import from features/, entities/, shared/.
2. features/ can import from entities/ and shared/ only. Never from another feature directly.
3. entities/ can import from shared/ only.
4. shared/ imports nothing from features/ or entities/.
5. Cross-feature communication uses shared/hooks/ or Zustand stores in shared/lib/.</w:t>
            </w:r>
          </w:p>
        </w:tc>
      </w:tr>
    </w:tbl>
    <w:p>
      <w:pPr>
        <w:pStyle w:val="Heading1"/>
        <w:spacing w:after="120" w:before="400"/>
      </w:pPr>
      <w:r>
        <w:rPr>
          <w:rFonts w:ascii="Arial" w:cs="Arial" w:eastAsia="Arial" w:hAnsi="Arial"/>
          <w:b/>
          <w:bCs/>
          <w:color w:val="002868"/>
          <w:sz w:val="32"/>
          <w:szCs w:val="32"/>
        </w:rPr>
        <w:t xml:space="preserve">11.   Naming Conventions</w:t>
      </w:r>
    </w:p>
    <w:p>
      <w:pPr>
        <w:pBdr>
          <w:bottom w:val="single" w:color="002868" w:sz="6" w:space="1"/>
        </w:pBdr>
        <w:spacing w:after="0"/>
      </w:pPr>
    </w:p>
    <w:p>
      <w:pPr>
        <w:spacing w:after="100" w:before="0"/>
      </w:pP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Item</w:t>
            </w:r>
          </w:p>
        </w:tc>
        <w:tc>
          <w:tcPr>
            <w:tcW w:type="dxa" w:w="280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Convention</w:t>
            </w:r>
          </w:p>
        </w:tc>
        <w:tc>
          <w:tcPr>
            <w:tcW w:type="dxa" w:w="416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Example</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React components</w:t>
            </w:r>
          </w:p>
        </w:tc>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PascalCase</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TeamMemberCard.tsx, SubmissionForm.tsx</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Hooks</w:t>
            </w:r>
          </w:p>
        </w:tc>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camelCase, use prefix</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useTeamInvites.ts, useVerificationStatus.ts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Utility functions</w:t>
            </w:r>
          </w:p>
        </w:tc>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camelCase</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formatMatricNumber.ts, calculateWordCount.ts</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Types &amp; Interfaces</w:t>
            </w:r>
          </w:p>
        </w:tc>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PascalCase, I prefix for interfaces</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TeamMember, ISubmissionPayload</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Constants</w:t>
            </w:r>
          </w:p>
        </w:tc>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SCREAMING_SNAKE</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MAX_TEAM_SIZE, STAGE_1_DEADLINE</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CSS/Mantine classes</w:t>
            </w:r>
          </w:p>
        </w:tc>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camelCase in sx prop</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 backgroundColor: 'var(--navy-800)' }</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API route handlers</w:t>
            </w:r>
          </w:p>
        </w:tc>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camelCase file, REST verbs in function</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route.ts, GET, POST, PATCH, DELETE</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Supabase queries</w:t>
            </w:r>
          </w:p>
        </w:tc>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Named functions, verb + noun</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getTeamByDepartment, updateSubmissionStatus</w:t>
            </w:r>
          </w:p>
        </w:tc>
      </w:tr>
      <w:tr>
        <w:tc>
          <w:tcPr>
            <w:tcW w:type="dxa" w:w="24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Feature folders</w:t>
            </w:r>
          </w:p>
        </w:tc>
        <w:tc>
          <w:tcPr>
            <w:tcW w:type="dxa" w:w="280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kebab-case</w:t>
            </w:r>
          </w:p>
        </w:tc>
        <w:tc>
          <w:tcPr>
            <w:tcW w:type="dxa" w:w="416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team-management/, stage-submission/</w:t>
            </w:r>
          </w:p>
        </w:tc>
      </w:tr>
      <w:tr>
        <w:tc>
          <w:tcPr>
            <w:tcW w:type="dxa" w:w="24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1A1A2E"/>
                <w:sz w:val="18"/>
                <w:szCs w:val="18"/>
              </w:rPr>
              <w:t xml:space="preserve">Env variables</w:t>
            </w:r>
          </w:p>
        </w:tc>
        <w:tc>
          <w:tcPr>
            <w:tcW w:type="dxa" w:w="280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002868"/>
                <w:sz w:val="18"/>
                <w:szCs w:val="18"/>
              </w:rPr>
              <w:t xml:space="preserve">NEXT_PUBLIC_ prefix for client-side</w:t>
            </w:r>
          </w:p>
        </w:tc>
        <w:tc>
          <w:tcPr>
            <w:tcW w:type="dxa" w:w="416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Courier New" w:cs="Courier New" w:eastAsia="Courier New" w:hAnsi="Courier New"/>
                <w:b w:val="false"/>
                <w:bCs w:val="false"/>
                <w:i w:val="false"/>
                <w:iCs w:val="false"/>
                <w:color w:val="1A1A2E"/>
                <w:sz w:val="16"/>
                <w:szCs w:val="16"/>
              </w:rPr>
              <w:t xml:space="preserve">NEXT_PUBLIC_SUPABASE_URL</w:t>
            </w:r>
          </w:p>
        </w:tc>
      </w:tr>
    </w:tbl>
    <w:p>
      <w:r>
        <w:br w:type="page"/>
      </w:r>
    </w:p>
    <w:p>
      <w:pPr>
        <w:pStyle w:val="Heading1"/>
        <w:spacing w:after="120" w:before="400"/>
      </w:pPr>
      <w:r>
        <w:rPr>
          <w:rFonts w:ascii="Arial" w:cs="Arial" w:eastAsia="Arial" w:hAnsi="Arial"/>
          <w:b/>
          <w:bCs/>
          <w:color w:val="002868"/>
          <w:sz w:val="32"/>
          <w:szCs w:val="32"/>
        </w:rPr>
        <w:t xml:space="preserve">12.   Quick Reference: Do &amp; Don’t</w:t>
      </w:r>
    </w:p>
    <w:p>
      <w:pPr>
        <w:pBdr>
          <w:bottom w:val="single" w:color="002868" w:sz="6" w:space="1"/>
        </w:pBdr>
        <w:spacing w:after="0"/>
      </w:pPr>
    </w:p>
    <w:p>
      <w:pPr>
        <w:spacing w:after="100" w:before="0"/>
      </w:pPr>
    </w:p>
    <w:p>
      <w:pPr>
        <w:spacing w:after="6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DD" w:sz="1"/>
              <w:left w:val="single" w:color="CCCCDD" w:sz="1"/>
              <w:bottom w:val="single" w:color="CCCCDD" w:sz="1"/>
              <w:right w:val="single" w:color="CCCCDD" w:sz="1"/>
            </w:tcBorders>
            <w:shd w:fill="C9A84C" w:val="clear"/>
            <w:tcMar>
              <w:top w:type="dxa" w:w="100"/>
              <w:left w:type="dxa" w:w="120"/>
              <w:bottom w:type="dxa" w:w="100"/>
              <w:right w:type="dxa" w:w="120"/>
            </w:tcMar>
          </w:tcPr>
          <w:p>
            <w:pPr>
              <w:jc w:val="center"/>
            </w:pPr>
            <w:r>
              <w:rPr>
                <w:rFonts w:ascii="Arial" w:cs="Arial" w:eastAsia="Arial" w:hAnsi="Arial"/>
                <w:b/>
                <w:bCs/>
                <w:color w:val="002868"/>
                <w:sz w:val="18"/>
                <w:szCs w:val="18"/>
              </w:rPr>
              <w:t xml:space="preserve">✔  DO</w:t>
            </w:r>
          </w:p>
        </w:tc>
        <w:tc>
          <w:tcPr>
            <w:tcW w:type="dxa" w:w="4680"/>
            <w:tcBorders>
              <w:top w:val="single" w:color="CCCCDD" w:sz="1"/>
              <w:left w:val="single" w:color="CCCCDD" w:sz="1"/>
              <w:bottom w:val="single" w:color="CCCCDD" w:sz="1"/>
              <w:right w:val="single" w:color="CCCCDD" w:sz="1"/>
            </w:tcBorders>
            <w:shd w:fill="002868"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DON’T</w:t>
            </w:r>
          </w:p>
        </w:tc>
      </w:tr>
      <w:tr>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Use Mantine for every UI component.</w:t>
            </w:r>
          </w:p>
        </w:tc>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Install shadcn, Chakra, or any other component library.</w:t>
            </w:r>
          </w:p>
        </w:tc>
      </w:tr>
      <w:tr>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Use Plus Jakarta Sans for all headings.</w:t>
            </w:r>
          </w:p>
        </w:tc>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Use system fonts or Google Fonts outside the two approved.</w:t>
            </w:r>
          </w:p>
        </w:tc>
      </w:tr>
      <w:tr>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Use DM Sans for all body and UI text.</w:t>
            </w:r>
          </w:p>
        </w:tc>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Use font weights outside 400, 500, 600 (DM) and 700, 800 (PJS).</w:t>
            </w:r>
          </w:p>
        </w:tc>
      </w:tr>
      <w:tr>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Keep all spacing on the 8px grid.</w:t>
            </w:r>
          </w:p>
        </w:tc>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Use arbitrary values like 13px, 17px, or 22px for spacing.</w:t>
            </w:r>
          </w:p>
        </w:tc>
      </w:tr>
      <w:tr>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Validate all forms with Zod schemas.</w:t>
            </w:r>
          </w:p>
        </w:tc>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Let invalid data reach the API layer.</w:t>
            </w:r>
          </w:p>
        </w:tc>
      </w:tr>
      <w:tr>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Import only named Tabler icons.</w:t>
            </w:r>
          </w:p>
        </w:tc>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Import entire icon libraries or use emoji as icons.</w:t>
            </w:r>
          </w:p>
        </w:tc>
      </w:tr>
      <w:tr>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Show a Skeleton while data loads.</w:t>
            </w:r>
          </w:p>
        </w:tc>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Show an empty screen or a spinner that replaces content.</w:t>
            </w:r>
          </w:p>
        </w:tc>
      </w:tr>
      <w:tr>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Use Mantine useForm for all forms.</w:t>
            </w:r>
          </w:p>
        </w:tc>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Build uncontrolled forms or manage form state manually.</w:t>
            </w:r>
          </w:p>
        </w:tc>
      </w:tr>
      <w:tr>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Add aria-label to all icon-only buttons.</w:t>
            </w:r>
          </w:p>
        </w:tc>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Leave interactive elements without accessible labels.</w:t>
            </w:r>
          </w:p>
        </w:tc>
      </w:tr>
      <w:tr>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Use CSS variables for all colour values.</w:t>
            </w:r>
          </w:p>
        </w:tc>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Hardcode hex values in component styles.</w:t>
            </w:r>
          </w:p>
        </w:tc>
      </w:tr>
      <w:tr>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Test at 360px mobile width first.</w:t>
            </w:r>
          </w:p>
        </w:tc>
        <w:tc>
          <w:tcPr>
            <w:tcW w:type="dxa" w:w="4680"/>
            <w:gridSpan w:val="1"/>
            <w:tcBorders>
              <w:top w:val="single" w:color="CCCCDD" w:sz="1"/>
              <w:left w:val="single" w:color="CCCCDD" w:sz="1"/>
              <w:bottom w:val="single" w:color="CCCCDD" w:sz="1"/>
              <w:right w:val="single" w:color="CCCCDD" w:sz="1"/>
            </w:tcBorders>
            <w:shd w:fill="F4F4F8"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Design desktop-first and bolt on mobile later.</w:t>
            </w:r>
          </w:p>
        </w:tc>
      </w:tr>
      <w:tr>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1A7A4A"/>
                <w:sz w:val="18"/>
                <w:szCs w:val="18"/>
              </w:rPr>
              <w:t xml:space="preserve">Confirm before all destructive actions.</w:t>
            </w:r>
          </w:p>
        </w:tc>
        <w:tc>
          <w:tcPr>
            <w:tcW w:type="dxa" w:w="4680"/>
            <w:gridSpan w:val="1"/>
            <w:tcBorders>
              <w:top w:val="single" w:color="CCCCDD" w:sz="1"/>
              <w:left w:val="single" w:color="CCCCDD" w:sz="1"/>
              <w:bottom w:val="single" w:color="CCCCDD" w:sz="1"/>
              <w:right w:val="single" w:color="CCCC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C0392B"/>
                <w:sz w:val="18"/>
                <w:szCs w:val="18"/>
              </w:rPr>
              <w:t xml:space="preserve">Execute deletes or disqualifications on a single click.</w:t>
            </w:r>
          </w:p>
        </w:tc>
      </w:tr>
    </w:tbl>
    <w:p>
      <w:pPr>
        <w:spacing w:after="0" w:before="200"/>
      </w:pPr>
    </w:p>
    <w:p>
      <w:pPr>
        <w:pBdr>
          <w:bottom w:val="single" w:color="C9A84C" w:sz="4" w:space="1"/>
        </w:pBdr>
        <w:spacing w:after="0"/>
      </w:pPr>
    </w:p>
    <w:p>
      <w:pPr>
        <w:spacing w:after="80" w:before="80"/>
      </w:pPr>
    </w:p>
    <w:p>
      <w:pPr>
        <w:jc w:val="center"/>
      </w:pPr>
      <w:r>
        <w:rPr>
          <w:rFonts w:ascii="Arial" w:cs="Arial" w:eastAsia="Arial" w:hAnsi="Arial"/>
          <w:i/>
          <w:iCs/>
          <w:color w:val="555577"/>
          <w:sz w:val="16"/>
          <w:szCs w:val="16"/>
        </w:rPr>
        <w:t xml:space="preserve">PIDEC 1.0  •  Design System v1.0  •  Interim Edition  •  Competitions &amp; Technical Team  •  April 2026</w:t>
      </w:r>
    </w:p>
    <w:p>
      <w:pPr>
        <w:spacing w:before="40"/>
        <w:jc w:val="center"/>
      </w:pPr>
      <w:r>
        <w:rPr>
          <w:rFonts w:ascii="Arial" w:cs="Arial" w:eastAsia="Arial" w:hAnsi="Arial"/>
          <w:i/>
          <w:iCs/>
          <w:color w:val="555577"/>
          <w:sz w:val="16"/>
          <w:szCs w:val="16"/>
        </w:rPr>
        <w:t xml:space="preserve">This document is superseded by the official Teledua design system upon delivery. Until then, all decisions herein are binding.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2868" w:sz="4" w:space="1"/>
      </w:pBdr>
      <w:tabs>
        <w:tab w:val="right" w:pos="9360"/>
      </w:tabs>
      <w:spacing w:before="80"/>
    </w:pPr>
    <w:r>
      <w:rPr>
        <w:rFonts w:ascii="Arial" w:cs="Arial" w:eastAsia="Arial" w:hAnsi="Arial"/>
        <w:color w:val="555577"/>
        <w:sz w:val="16"/>
        <w:szCs w:val="16"/>
      </w:rPr>
      <w:t xml:space="preserve">PIDEC Design System  |  Competitions &amp; Technical Team  |  April 2026</w:t>
    </w:r>
    <w:r>
      <w:rPr>
        <w:rFonts w:ascii="Arial" w:cs="Arial" w:eastAsia="Arial" w:hAnsi="Arial"/>
        <w:color w:val="555577"/>
        <w:sz w:val="16"/>
        <w:szCs w:val="16"/>
      </w:rPr>
      <w:t xml:space="preserve">	Page </w:t>
    </w:r>
    <w:r>
      <w:rPr>
        <w:rFonts w:ascii="Arial" w:cs="Arial" w:eastAsia="Arial" w:hAnsi="Arial"/>
        <w:color w:val="555577"/>
        <w:sz w:val="16"/>
        <w:szCs w:val="16"/>
      </w:rPr>
      <w:fldChar w:fldCharType="begin"/>
      <w:instrText xml:space="preserve">PAGE</w:instrText>
      <w:fldChar w:fldCharType="separate"/>
      <w:fldChar w:fldCharType="end"/>
    </w:r>
    <w:r>
      <w:rPr>
        <w:rFonts w:ascii="Arial" w:cs="Arial" w:eastAsia="Arial" w:hAnsi="Arial"/>
        <w:color w:val="555577"/>
        <w:sz w:val="16"/>
        <w:szCs w:val="16"/>
      </w:rPr>
      <w:t xml:space="preserve"> of </w:t>
    </w:r>
    <w:r>
      <w:rPr>
        <w:rFonts w:ascii="Arial" w:cs="Arial" w:eastAsia="Arial" w:hAnsi="Arial"/>
        <w:color w:val="555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868" w:sz="4" w:space="1"/>
      </w:pBdr>
      <w:tabs>
        <w:tab w:val="right" w:pos="9360"/>
      </w:tabs>
      <w:spacing w:after="80"/>
    </w:pPr>
    <w:r>
      <w:rPr>
        <w:rFonts w:ascii="Arial" w:cs="Arial" w:eastAsia="Arial" w:hAnsi="Arial"/>
        <w:b/>
        <w:bCs/>
        <w:color w:val="002868"/>
        <w:sz w:val="18"/>
        <w:szCs w:val="18"/>
      </w:rPr>
      <w:t xml:space="preserve">PIDEC 1.0</w:t>
    </w:r>
    <w:r>
      <w:rPr>
        <w:rFonts w:ascii="Arial" w:cs="Arial" w:eastAsia="Arial" w:hAnsi="Arial"/>
        <w:color w:val="555577"/>
        <w:sz w:val="18"/>
        <w:szCs w:val="18"/>
      </w:rPr>
      <w:t xml:space="preserve">	Design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abstractNum w:abstractNumId="3" w15:restartNumberingAfterBreak="0">
    <w:multiLevelType w:val="hybridMultilevel"/>
    <w:lvl w:ilvl="0" w15:tentative="1">
      <w:start w:val="1"/>
      <w:numFmt w:val="bullet"/>
      <w:lvlText w:val="◦"/>
      <w:lvlJc w:val="left"/>
      <w:pPr>
        <w:ind w:start="1080" w:hanging="360"/>
      </w:pPr>
    </w:lvl>
  </w:abstractNum>
  <w:abstractNum w:abstractNumId="4" w15:restartNumberingAfterBreak="0">
    <w:multiLevelType w:val="hybridMultilevel"/>
    <w:lvl w:ilvl="0" w15:tentative="1">
      <w:start w:val="1"/>
      <w:numFmt w:val="decimal"/>
      <w:lvlText w:val="%1."/>
      <w:lvlJc w:val="left"/>
      <w:pPr>
        <w:ind w:star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0286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28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2026-04-24T20:52:26.015Z</dcterms:created>
  <dcterms:modified xsi:type="dcterms:W3CDTF">2026-04-24T20:52:26.017Z</dcterms:modified>
</cp:coreProperties>
</file>

<file path=docProps/custom.xml><?xml version="1.0" encoding="utf-8"?>
<Properties xmlns="http://schemas.openxmlformats.org/officeDocument/2006/custom-properties" xmlns:vt="http://schemas.openxmlformats.org/officeDocument/2006/docPropsVTypes"/>
</file>